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BEB6B" w14:textId="77777777" w:rsidR="005E6933" w:rsidRPr="007D35E9" w:rsidRDefault="005E6933" w:rsidP="005E6933"/>
    <w:p w14:paraId="38831B59" w14:textId="77777777" w:rsidR="005E6933" w:rsidRPr="007D35E9" w:rsidRDefault="005E6933" w:rsidP="005E6933">
      <w:bookmarkStart w:id="0" w:name="_Ref83895402"/>
      <w:bookmarkEnd w:id="0"/>
    </w:p>
    <w:bookmarkStart w:id="1" w:name="_Hlk178600545" w:displacedByCustomXml="next"/>
    <w:sdt>
      <w:sdtPr>
        <w:rPr>
          <w:rFonts w:asciiTheme="minorHAnsi" w:hAnsiTheme="minorHAnsi" w:cstheme="minorHAnsi"/>
          <w:iCs/>
          <w:color w:val="000000" w:themeColor="text2"/>
          <w:spacing w:val="15"/>
          <w:kern w:val="0"/>
          <w:sz w:val="34"/>
          <w:szCs w:val="24"/>
        </w:rPr>
        <w:id w:val="-1267543254"/>
        <w:docPartObj>
          <w:docPartGallery w:val="Cover Pages"/>
          <w:docPartUnique/>
        </w:docPartObj>
      </w:sdtPr>
      <w:sdtEndPr/>
      <w:sdtContent>
        <w:p w14:paraId="18BCF702" w14:textId="6D3DA486" w:rsidR="005E6933" w:rsidRPr="00563DEE" w:rsidRDefault="005E6933" w:rsidP="005E6933">
          <w:pPr>
            <w:pStyle w:val="CoverTitle"/>
            <w:rPr>
              <w:rFonts w:asciiTheme="minorHAnsi" w:hAnsiTheme="minorHAnsi" w:cstheme="minorHAnsi"/>
            </w:rPr>
          </w:pPr>
          <w:r w:rsidRPr="00563DEE">
            <w:rPr>
              <w:rFonts w:asciiTheme="minorHAnsi" w:hAnsiTheme="minorHAnsi" w:cstheme="minorHAnsi"/>
              <w:noProof/>
            </w:rPr>
            <mc:AlternateContent>
              <mc:Choice Requires="wps">
                <w:drawing>
                  <wp:anchor distT="0" distB="0" distL="114300" distR="114300" simplePos="0" relativeHeight="251658243" behindDoc="0" locked="1" layoutInCell="1" allowOverlap="1" wp14:anchorId="36240C10" wp14:editId="1FEFA120">
                    <wp:simplePos x="0" y="0"/>
                    <wp:positionH relativeFrom="margin">
                      <wp:align>right</wp:align>
                    </wp:positionH>
                    <wp:positionV relativeFrom="page">
                      <wp:posOffset>950595</wp:posOffset>
                    </wp:positionV>
                    <wp:extent cx="1745615" cy="542925"/>
                    <wp:effectExtent l="0" t="0" r="6985" b="9525"/>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542925"/>
                            </a:xfrm>
                            <a:prstGeom prst="rect">
                              <a:avLst/>
                            </a:prstGeom>
                            <a:noFill/>
                            <a:ln w="6350">
                              <a:noFill/>
                            </a:ln>
                          </wps:spPr>
                          <wps:txbx>
                            <w:txbxContent>
                              <w:p w14:paraId="79064E6F" w14:textId="77777777" w:rsidR="00597B45" w:rsidRPr="00883E43" w:rsidRDefault="00597B45" w:rsidP="005948F5">
                                <w:pPr>
                                  <w:pStyle w:val="BodyText"/>
                                  <w:jc w:val="left"/>
                                  <w:rPr>
                                    <w:b/>
                                  </w:rPr>
                                </w:pPr>
                                <w:r w:rsidRPr="00883E43">
                                  <w:t>Australia’s National</w:t>
                                </w:r>
                                <w:r w:rsidRPr="00883E43">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40C10" id="_x0000_t202" coordsize="21600,21600" o:spt="202" path="m,l,21600r21600,l21600,xe">
                    <v:stroke joinstyle="miter"/>
                    <v:path gradientshapeok="t" o:connecttype="rect"/>
                  </v:shapetype>
                  <v:shape id="Text Box 34" o:spid="_x0000_s1026" type="#_x0000_t202" alt="&quot;&quot;" style="position:absolute;margin-left:86.25pt;margin-top:74.85pt;width:137.45pt;height:42.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" filled="f" stroked="f" strokeweight=".5pt">
                    <v:textbox inset="0,0,0,0">
                      <w:txbxContent>
                        <w:p w14:paraId="79064E6F" w14:textId="77777777" w:rsidR="00597B45" w:rsidRPr="00883E43" w:rsidRDefault="00597B45" w:rsidP="005948F5">
                          <w:pPr>
                            <w:pStyle w:val="BodyText"/>
                            <w:jc w:val="left"/>
                            <w:rPr>
                              <w:b/>
                            </w:rPr>
                          </w:pPr>
                          <w:r w:rsidRPr="00883E43">
                            <w:t>Australia’s National</w:t>
                          </w:r>
                          <w:r w:rsidRPr="00883E43">
                            <w:br/>
                            <w:t>Science Agency</w:t>
                          </w:r>
                        </w:p>
                      </w:txbxContent>
                    </v:textbox>
                    <w10:wrap type="square" anchorx="margin" anchory="page"/>
                    <w10:anchorlock/>
                  </v:shape>
                </w:pict>
              </mc:Fallback>
            </mc:AlternateContent>
          </w:r>
          <w:r w:rsidRPr="00563DEE">
            <w:rPr>
              <w:rFonts w:asciiTheme="minorHAnsi" w:hAnsiTheme="minorHAnsi" w:cstheme="minorHAnsi"/>
              <w:noProof/>
            </w:rPr>
            <w:drawing>
              <wp:anchor distT="0" distB="180340" distL="114300" distR="360045" simplePos="0" relativeHeight="251658241" behindDoc="1" locked="1" layoutInCell="1" allowOverlap="1" wp14:anchorId="4704FDE6" wp14:editId="5BAA5FE1">
                <wp:simplePos x="0" y="0"/>
                <wp:positionH relativeFrom="page">
                  <wp:posOffset>723900</wp:posOffset>
                </wp:positionH>
                <wp:positionV relativeFrom="page">
                  <wp:posOffset>725805</wp:posOffset>
                </wp:positionV>
                <wp:extent cx="791362" cy="792000"/>
                <wp:effectExtent l="0" t="0" r="8890" b="8255"/>
                <wp:wrapTopAndBottom/>
                <wp:docPr id="37" name="Picture 37" descr="CSIR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SIRO logo">
                          <a:extLst>
                            <a:ext uri="{C183D7F6-B498-43B3-948B-1728B52AA6E4}">
                              <adec:decorative xmlns:adec="http://schemas.microsoft.com/office/drawing/2017/decorative" val="0"/>
                            </a:ext>
                          </a:extLst>
                        </pic:cNvPr>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Pr="00563DEE">
            <w:rPr>
              <w:rFonts w:asciiTheme="minorHAnsi" w:hAnsiTheme="minorHAnsi" w:cstheme="minorHAnsi"/>
            </w:rPr>
            <w:t xml:space="preserve">Prospective analysis of a national open access strategy for Australia  </w:t>
          </w:r>
        </w:p>
        <w:bookmarkEnd w:id="1"/>
        <w:p w14:paraId="5BF2DAD1" w14:textId="12B67CDD" w:rsidR="00C201AB" w:rsidRDefault="00C201AB" w:rsidP="00A47B69">
          <w:pPr>
            <w:pStyle w:val="BodyText"/>
          </w:pPr>
          <w:r>
            <w:t xml:space="preserve">Report prepared by </w:t>
          </w:r>
          <w:r w:rsidR="00E624B2">
            <w:t>CSIRO Futures for the Office of the Chief Scientist</w:t>
          </w:r>
        </w:p>
        <w:p w14:paraId="2EFFDB2C" w14:textId="1986A557" w:rsidR="00E624B2" w:rsidRDefault="00E624B2" w:rsidP="00A47B69">
          <w:pPr>
            <w:pStyle w:val="BodyText"/>
          </w:pPr>
          <w:r>
            <w:t xml:space="preserve">Not </w:t>
          </w:r>
          <w:r w:rsidR="003A36CD">
            <w:t xml:space="preserve">intended </w:t>
          </w:r>
          <w:r>
            <w:t>for public release</w:t>
          </w:r>
        </w:p>
        <w:p w14:paraId="17E7C4A3" w14:textId="546AB689" w:rsidR="005E6933" w:rsidRPr="00563DEE" w:rsidRDefault="00263B87" w:rsidP="00A47B69">
          <w:pPr>
            <w:pStyle w:val="BodyText"/>
          </w:pPr>
          <w:r>
            <w:t>16 November 2021</w:t>
          </w:r>
        </w:p>
        <w:p w14:paraId="316F6DCB" w14:textId="02571B45" w:rsidR="005E6933" w:rsidRPr="00563DEE" w:rsidRDefault="004D510A" w:rsidP="005E6933">
          <w:pPr>
            <w:pStyle w:val="CoverSubtitle"/>
            <w:ind w:left="720" w:hanging="720"/>
            <w:rPr>
              <w:rFonts w:asciiTheme="minorHAnsi" w:hAnsiTheme="minorHAnsi" w:cstheme="minorHAnsi"/>
              <w:sz w:val="24"/>
            </w:rPr>
          </w:pPr>
          <w:r w:rsidRPr="004D510A">
            <w:rPr>
              <w:rFonts w:asciiTheme="minorHAnsi" w:hAnsiTheme="minorHAnsi" w:cstheme="minorHAnsi"/>
              <w:noProof/>
            </w:rPr>
            <mc:AlternateContent>
              <mc:Choice Requires="wpg">
                <w:drawing>
                  <wp:anchor distT="0" distB="0" distL="114300" distR="114300" simplePos="0" relativeHeight="251658245" behindDoc="0" locked="0" layoutInCell="1" allowOverlap="1" wp14:anchorId="33A32856" wp14:editId="150E4831">
                    <wp:simplePos x="0" y="0"/>
                    <wp:positionH relativeFrom="margin">
                      <wp:align>center</wp:align>
                    </wp:positionH>
                    <wp:positionV relativeFrom="paragraph">
                      <wp:posOffset>1460563</wp:posOffset>
                    </wp:positionV>
                    <wp:extent cx="3905222" cy="3448195"/>
                    <wp:effectExtent l="0" t="0" r="19685" b="19050"/>
                    <wp:wrapNone/>
                    <wp:docPr id="35" name="Group 8" descr="Outline of map of Australia with the words Open Access and an orange open lock icon in the centre."/>
                    <wp:cNvGraphicFramePr/>
                    <a:graphic xmlns:a="http://schemas.openxmlformats.org/drawingml/2006/main">
                      <a:graphicData uri="http://schemas.microsoft.com/office/word/2010/wordprocessingGroup">
                        <wpg:wgp>
                          <wpg:cNvGrpSpPr/>
                          <wpg:grpSpPr>
                            <a:xfrm>
                              <a:off x="0" y="0"/>
                              <a:ext cx="3905222" cy="3448195"/>
                              <a:chOff x="0" y="0"/>
                              <a:chExt cx="4339258" cy="3830757"/>
                            </a:xfrm>
                          </wpg:grpSpPr>
                          <wps:wsp>
                            <wps:cNvPr id="46" name="Freeform: Shape 46"/>
                            <wps:cNvSpPr/>
                            <wps:spPr>
                              <a:xfrm>
                                <a:off x="0" y="0"/>
                                <a:ext cx="4339258" cy="3222125"/>
                              </a:xfrm>
                              <a:custGeom>
                                <a:avLst/>
                                <a:gdLst>
                                  <a:gd name="connsiteX0" fmla="*/ 19679 w 4339258"/>
                                  <a:gd name="connsiteY0" fmla="*/ 1767849 h 3222125"/>
                                  <a:gd name="connsiteX1" fmla="*/ 19679 w 4339258"/>
                                  <a:gd name="connsiteY1" fmla="*/ 1560565 h 3222125"/>
                                  <a:gd name="connsiteX2" fmla="*/ 11857 w 4339258"/>
                                  <a:gd name="connsiteY2" fmla="*/ 1415857 h 3222125"/>
                                  <a:gd name="connsiteX3" fmla="*/ 33758 w 4339258"/>
                                  <a:gd name="connsiteY3" fmla="*/ 1246901 h 3222125"/>
                                  <a:gd name="connsiteX4" fmla="*/ 100246 w 4339258"/>
                                  <a:gd name="connsiteY4" fmla="*/ 1246901 h 3222125"/>
                                  <a:gd name="connsiteX5" fmla="*/ 165951 w 4339258"/>
                                  <a:gd name="connsiteY5" fmla="*/ 1185889 h 3222125"/>
                                  <a:gd name="connsiteX6" fmla="*/ 284064 w 4339258"/>
                                  <a:gd name="connsiteY6" fmla="*/ 1107669 h 3222125"/>
                                  <a:gd name="connsiteX7" fmla="*/ 458496 w 4339258"/>
                                  <a:gd name="connsiteY7" fmla="*/ 1069340 h 3222125"/>
                                  <a:gd name="connsiteX8" fmla="*/ 633709 w 4339258"/>
                                  <a:gd name="connsiteY8" fmla="*/ 1002071 h 3222125"/>
                                  <a:gd name="connsiteX9" fmla="*/ 804230 w 4339258"/>
                                  <a:gd name="connsiteY9" fmla="*/ 955921 h 3222125"/>
                                  <a:gd name="connsiteX10" fmla="*/ 915303 w 4339258"/>
                                  <a:gd name="connsiteY10" fmla="*/ 822164 h 3222125"/>
                                  <a:gd name="connsiteX11" fmla="*/ 945027 w 4339258"/>
                                  <a:gd name="connsiteY11" fmla="*/ 689189 h 3222125"/>
                                  <a:gd name="connsiteX12" fmla="*/ 991177 w 4339258"/>
                                  <a:gd name="connsiteY12" fmla="*/ 639910 h 3222125"/>
                                  <a:gd name="connsiteX13" fmla="*/ 1069397 w 4339258"/>
                                  <a:gd name="connsiteY13" fmla="*/ 697793 h 3222125"/>
                                  <a:gd name="connsiteX14" fmla="*/ 1099121 w 4339258"/>
                                  <a:gd name="connsiteY14" fmla="*/ 586720 h 3222125"/>
                                  <a:gd name="connsiteX15" fmla="*/ 1188292 w 4339258"/>
                                  <a:gd name="connsiteY15" fmla="*/ 592978 h 3222125"/>
                                  <a:gd name="connsiteX16" fmla="*/ 1200808 w 4339258"/>
                                  <a:gd name="connsiteY16" fmla="*/ 496767 h 3222125"/>
                                  <a:gd name="connsiteX17" fmla="*/ 1256344 w 4339258"/>
                                  <a:gd name="connsiteY17" fmla="*/ 453746 h 3222125"/>
                                  <a:gd name="connsiteX18" fmla="*/ 1290761 w 4339258"/>
                                  <a:gd name="connsiteY18" fmla="*/ 393516 h 3222125"/>
                                  <a:gd name="connsiteX19" fmla="*/ 1460499 w 4339258"/>
                                  <a:gd name="connsiteY19" fmla="*/ 315295 h 3222125"/>
                                  <a:gd name="connsiteX20" fmla="*/ 1608336 w 4339258"/>
                                  <a:gd name="connsiteY20" fmla="*/ 432626 h 3222125"/>
                                  <a:gd name="connsiteX21" fmla="*/ 1720191 w 4339258"/>
                                  <a:gd name="connsiteY21" fmla="*/ 432626 h 3222125"/>
                                  <a:gd name="connsiteX22" fmla="*/ 1744440 w 4339258"/>
                                  <a:gd name="connsiteY22" fmla="*/ 385694 h 3222125"/>
                                  <a:gd name="connsiteX23" fmla="*/ 1744440 w 4339258"/>
                                  <a:gd name="connsiteY23" fmla="*/ 330939 h 3222125"/>
                                  <a:gd name="connsiteX24" fmla="*/ 1796065 w 4339258"/>
                                  <a:gd name="connsiteY24" fmla="*/ 258976 h 3222125"/>
                                  <a:gd name="connsiteX25" fmla="*/ 1902445 w 4339258"/>
                                  <a:gd name="connsiteY25" fmla="*/ 142428 h 3222125"/>
                                  <a:gd name="connsiteX26" fmla="*/ 2049500 w 4339258"/>
                                  <a:gd name="connsiteY26" fmla="*/ 120526 h 3222125"/>
                                  <a:gd name="connsiteX27" fmla="*/ 2076094 w 4339258"/>
                                  <a:gd name="connsiteY27" fmla="*/ 76723 h 3222125"/>
                                  <a:gd name="connsiteX28" fmla="*/ 2104254 w 4339258"/>
                                  <a:gd name="connsiteY28" fmla="*/ 57168 h 3222125"/>
                                  <a:gd name="connsiteX29" fmla="*/ 2158226 w 4339258"/>
                                  <a:gd name="connsiteY29" fmla="*/ 75941 h 3222125"/>
                                  <a:gd name="connsiteX30" fmla="*/ 2383501 w 4339258"/>
                                  <a:gd name="connsiteY30" fmla="*/ 123655 h 3222125"/>
                                  <a:gd name="connsiteX31" fmla="*/ 2455464 w 4339258"/>
                                  <a:gd name="connsiteY31" fmla="*/ 144775 h 3222125"/>
                                  <a:gd name="connsiteX32" fmla="*/ 2505525 w 4339258"/>
                                  <a:gd name="connsiteY32" fmla="*/ 132259 h 3222125"/>
                                  <a:gd name="connsiteX33" fmla="*/ 2427304 w 4339258"/>
                                  <a:gd name="connsiteY33" fmla="*/ 262888 h 3222125"/>
                                  <a:gd name="connsiteX34" fmla="*/ 2408531 w 4339258"/>
                                  <a:gd name="connsiteY34" fmla="*/ 347366 h 3222125"/>
                                  <a:gd name="connsiteX35" fmla="*/ 2380372 w 4339258"/>
                                  <a:gd name="connsiteY35" fmla="*/ 425586 h 3222125"/>
                                  <a:gd name="connsiteX36" fmla="*/ 2567319 w 4339258"/>
                                  <a:gd name="connsiteY36" fmla="*/ 558561 h 3222125"/>
                                  <a:gd name="connsiteX37" fmla="*/ 2741750 w 4339258"/>
                                  <a:gd name="connsiteY37" fmla="*/ 649297 h 3222125"/>
                                  <a:gd name="connsiteX38" fmla="*/ 2928697 w 4339258"/>
                                  <a:gd name="connsiteY38" fmla="*/ 734557 h 3222125"/>
                                  <a:gd name="connsiteX39" fmla="*/ 3049157 w 4339258"/>
                                  <a:gd name="connsiteY39" fmla="*/ 314513 h 3222125"/>
                                  <a:gd name="connsiteX40" fmla="*/ 3087485 w 4339258"/>
                                  <a:gd name="connsiteY40" fmla="*/ 101754 h 3222125"/>
                                  <a:gd name="connsiteX41" fmla="*/ 3171181 w 4339258"/>
                                  <a:gd name="connsiteY41" fmla="*/ 23533 h 3222125"/>
                                  <a:gd name="connsiteX42" fmla="*/ 3249401 w 4339258"/>
                                  <a:gd name="connsiteY42" fmla="*/ 226906 h 3222125"/>
                                  <a:gd name="connsiteX43" fmla="*/ 3272867 w 4339258"/>
                                  <a:gd name="connsiteY43" fmla="*/ 327028 h 3222125"/>
                                  <a:gd name="connsiteX44" fmla="*/ 3286165 w 4339258"/>
                                  <a:gd name="connsiteY44" fmla="*/ 377090 h 3222125"/>
                                  <a:gd name="connsiteX45" fmla="*/ 3364385 w 4339258"/>
                                  <a:gd name="connsiteY45" fmla="*/ 367703 h 3222125"/>
                                  <a:gd name="connsiteX46" fmla="*/ 3460597 w 4339258"/>
                                  <a:gd name="connsiteY46" fmla="*/ 540570 h 3222125"/>
                                  <a:gd name="connsiteX47" fmla="*/ 3538817 w 4339258"/>
                                  <a:gd name="connsiteY47" fmla="*/ 729864 h 3222125"/>
                                  <a:gd name="connsiteX48" fmla="*/ 3598264 w 4339258"/>
                                  <a:gd name="connsiteY48" fmla="*/ 901949 h 3222125"/>
                                  <a:gd name="connsiteX49" fmla="*/ 3799291 w 4339258"/>
                                  <a:gd name="connsiteY49" fmla="*/ 1020061 h 3222125"/>
                                  <a:gd name="connsiteX50" fmla="*/ 3893156 w 4339258"/>
                                  <a:gd name="connsiteY50" fmla="*/ 1171027 h 3222125"/>
                                  <a:gd name="connsiteX51" fmla="*/ 3922879 w 4339258"/>
                                  <a:gd name="connsiteY51" fmla="*/ 1249247 h 3222125"/>
                                  <a:gd name="connsiteX52" fmla="*/ 4015180 w 4339258"/>
                                  <a:gd name="connsiteY52" fmla="*/ 1287576 h 3222125"/>
                                  <a:gd name="connsiteX53" fmla="*/ 4052725 w 4339258"/>
                                  <a:gd name="connsiteY53" fmla="*/ 1358756 h 3222125"/>
                                  <a:gd name="connsiteX54" fmla="*/ 4109044 w 4339258"/>
                                  <a:gd name="connsiteY54" fmla="*/ 1436977 h 3222125"/>
                                  <a:gd name="connsiteX55" fmla="*/ 4276436 w 4339258"/>
                                  <a:gd name="connsiteY55" fmla="*/ 1608279 h 3222125"/>
                                  <a:gd name="connsiteX56" fmla="*/ 4293644 w 4339258"/>
                                  <a:gd name="connsiteY56" fmla="*/ 1767849 h 3222125"/>
                                  <a:gd name="connsiteX57" fmla="*/ 4339012 w 4339258"/>
                                  <a:gd name="connsiteY57" fmla="*/ 1997035 h 3222125"/>
                                  <a:gd name="connsiteX58" fmla="*/ 4281129 w 4339258"/>
                                  <a:gd name="connsiteY58" fmla="*/ 2267678 h 3222125"/>
                                  <a:gd name="connsiteX59" fmla="*/ 4191176 w 4339258"/>
                                  <a:gd name="connsiteY59" fmla="*/ 2471833 h 3222125"/>
                                  <a:gd name="connsiteX60" fmla="*/ 3975287 w 4339258"/>
                                  <a:gd name="connsiteY60" fmla="*/ 2869975 h 3222125"/>
                                  <a:gd name="connsiteX61" fmla="*/ 3926008 w 4339258"/>
                                  <a:gd name="connsiteY61" fmla="*/ 3077259 h 3222125"/>
                                  <a:gd name="connsiteX62" fmla="*/ 3724981 w 4339258"/>
                                  <a:gd name="connsiteY62" fmla="*/ 3116369 h 3222125"/>
                                  <a:gd name="connsiteX63" fmla="*/ 3568541 w 4339258"/>
                                  <a:gd name="connsiteY63" fmla="*/ 3221185 h 3222125"/>
                                  <a:gd name="connsiteX64" fmla="*/ 3412100 w 4339258"/>
                                  <a:gd name="connsiteY64" fmla="*/ 3110894 h 3222125"/>
                                  <a:gd name="connsiteX65" fmla="*/ 3204816 w 4339258"/>
                                  <a:gd name="connsiteY65" fmla="*/ 3207105 h 3222125"/>
                                  <a:gd name="connsiteX66" fmla="*/ 2974847 w 4339258"/>
                                  <a:gd name="connsiteY66" fmla="*/ 3139053 h 3222125"/>
                                  <a:gd name="connsiteX67" fmla="*/ 2862210 w 4339258"/>
                                  <a:gd name="connsiteY67" fmla="*/ 2963840 h 3222125"/>
                                  <a:gd name="connsiteX68" fmla="*/ 2815278 w 4339258"/>
                                  <a:gd name="connsiteY68" fmla="*/ 2860589 h 3222125"/>
                                  <a:gd name="connsiteX69" fmla="*/ 2712809 w 4339258"/>
                                  <a:gd name="connsiteY69" fmla="*/ 2826172 h 3222125"/>
                                  <a:gd name="connsiteX70" fmla="*/ 2665877 w 4339258"/>
                                  <a:gd name="connsiteY70" fmla="*/ 2669731 h 3222125"/>
                                  <a:gd name="connsiteX71" fmla="*/ 2569665 w 4339258"/>
                                  <a:gd name="connsiteY71" fmla="*/ 2773764 h 3222125"/>
                                  <a:gd name="connsiteX72" fmla="*/ 2604083 w 4339258"/>
                                  <a:gd name="connsiteY72" fmla="*/ 2737783 h 3222125"/>
                                  <a:gd name="connsiteX73" fmla="*/ 2615033 w 4339258"/>
                                  <a:gd name="connsiteY73" fmla="*/ 2647829 h 3222125"/>
                                  <a:gd name="connsiteX74" fmla="*/ 2636935 w 4339258"/>
                                  <a:gd name="connsiteY74" fmla="*/ 2504686 h 3222125"/>
                                  <a:gd name="connsiteX75" fmla="*/ 2531338 w 4339258"/>
                                  <a:gd name="connsiteY75" fmla="*/ 2605590 h 3222125"/>
                                  <a:gd name="connsiteX76" fmla="*/ 2405403 w 4339258"/>
                                  <a:gd name="connsiteY76" fmla="*/ 2733872 h 3222125"/>
                                  <a:gd name="connsiteX77" fmla="*/ 2302152 w 4339258"/>
                                  <a:gd name="connsiteY77" fmla="*/ 2550054 h 3222125"/>
                                  <a:gd name="connsiteX78" fmla="*/ 2183256 w 4339258"/>
                                  <a:gd name="connsiteY78" fmla="*/ 2411603 h 3222125"/>
                                  <a:gd name="connsiteX79" fmla="*/ 2087045 w 4339258"/>
                                  <a:gd name="connsiteY79" fmla="*/ 2393613 h 3222125"/>
                                  <a:gd name="connsiteX80" fmla="*/ 1954853 w 4339258"/>
                                  <a:gd name="connsiteY80" fmla="*/ 2345898 h 3222125"/>
                                  <a:gd name="connsiteX81" fmla="*/ 1707676 w 4339258"/>
                                  <a:gd name="connsiteY81" fmla="*/ 2351374 h 3222125"/>
                                  <a:gd name="connsiteX82" fmla="*/ 1473015 w 4339258"/>
                                  <a:gd name="connsiteY82" fmla="*/ 2420990 h 3222125"/>
                                  <a:gd name="connsiteX83" fmla="*/ 1238353 w 4339258"/>
                                  <a:gd name="connsiteY83" fmla="*/ 2482784 h 3222125"/>
                                  <a:gd name="connsiteX84" fmla="*/ 1146053 w 4339258"/>
                                  <a:gd name="connsiteY84" fmla="*/ 2537538 h 3222125"/>
                                  <a:gd name="connsiteX85" fmla="*/ 1101468 w 4339258"/>
                                  <a:gd name="connsiteY85" fmla="*/ 2606372 h 3222125"/>
                                  <a:gd name="connsiteX86" fmla="*/ 859766 w 4339258"/>
                                  <a:gd name="connsiteY86" fmla="*/ 2617323 h 3222125"/>
                                  <a:gd name="connsiteX87" fmla="*/ 650136 w 4339258"/>
                                  <a:gd name="connsiteY87" fmla="*/ 2663473 h 3222125"/>
                                  <a:gd name="connsiteX88" fmla="*/ 489001 w 4339258"/>
                                  <a:gd name="connsiteY88" fmla="*/ 2757338 h 3222125"/>
                                  <a:gd name="connsiteX89" fmla="*/ 174555 w 4339258"/>
                                  <a:gd name="connsiteY89" fmla="*/ 2604026 h 3222125"/>
                                  <a:gd name="connsiteX90" fmla="*/ 227745 w 4339258"/>
                                  <a:gd name="connsiteY90" fmla="*/ 2553182 h 3222125"/>
                                  <a:gd name="connsiteX91" fmla="*/ 241825 w 4339258"/>
                                  <a:gd name="connsiteY91" fmla="*/ 2425683 h 3222125"/>
                                  <a:gd name="connsiteX92" fmla="*/ 171426 w 4339258"/>
                                  <a:gd name="connsiteY92" fmla="*/ 2212141 h 3222125"/>
                                  <a:gd name="connsiteX93" fmla="*/ 122148 w 4339258"/>
                                  <a:gd name="connsiteY93" fmla="*/ 2002510 h 3222125"/>
                                  <a:gd name="connsiteX94" fmla="*/ 19679 w 4339258"/>
                                  <a:gd name="connsiteY94" fmla="*/ 1767849 h 322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4339258" h="3222125">
                                    <a:moveTo>
                                      <a:pt x="19679" y="1767849"/>
                                    </a:moveTo>
                                    <a:cubicBezTo>
                                      <a:pt x="104157" y="1684153"/>
                                      <a:pt x="60353" y="1658340"/>
                                      <a:pt x="19679" y="1560565"/>
                                    </a:cubicBezTo>
                                    <a:cubicBezTo>
                                      <a:pt x="-3489" y="1515666"/>
                                      <a:pt x="-6336" y="1462993"/>
                                      <a:pt x="11857" y="1415857"/>
                                    </a:cubicBezTo>
                                    <a:cubicBezTo>
                                      <a:pt x="22761" y="1360062"/>
                                      <a:pt x="30077" y="1303626"/>
                                      <a:pt x="33758" y="1246901"/>
                                    </a:cubicBezTo>
                                    <a:cubicBezTo>
                                      <a:pt x="83820" y="1271931"/>
                                      <a:pt x="63482" y="1271931"/>
                                      <a:pt x="100246" y="1246901"/>
                                    </a:cubicBezTo>
                                    <a:cubicBezTo>
                                      <a:pt x="125276" y="1228910"/>
                                      <a:pt x="137792" y="1203097"/>
                                      <a:pt x="165951" y="1185889"/>
                                    </a:cubicBezTo>
                                    <a:cubicBezTo>
                                      <a:pt x="194110" y="1168680"/>
                                      <a:pt x="244171" y="1134264"/>
                                      <a:pt x="284064" y="1107669"/>
                                    </a:cubicBezTo>
                                    <a:cubicBezTo>
                                      <a:pt x="343511" y="1070905"/>
                                      <a:pt x="395137" y="1086549"/>
                                      <a:pt x="458496" y="1069340"/>
                                    </a:cubicBezTo>
                                    <a:cubicBezTo>
                                      <a:pt x="521854" y="1052132"/>
                                      <a:pt x="571915" y="1016933"/>
                                      <a:pt x="633709" y="1002071"/>
                                    </a:cubicBezTo>
                                    <a:cubicBezTo>
                                      <a:pt x="692523" y="995219"/>
                                      <a:pt x="749992" y="979668"/>
                                      <a:pt x="804230" y="955921"/>
                                    </a:cubicBezTo>
                                    <a:cubicBezTo>
                                      <a:pt x="850005" y="919392"/>
                                      <a:pt x="887801" y="873867"/>
                                      <a:pt x="915303" y="822164"/>
                                    </a:cubicBezTo>
                                    <a:cubicBezTo>
                                      <a:pt x="955195" y="765845"/>
                                      <a:pt x="922343" y="743943"/>
                                      <a:pt x="945027" y="689189"/>
                                    </a:cubicBezTo>
                                    <a:cubicBezTo>
                                      <a:pt x="953827" y="667647"/>
                                      <a:pt x="970261" y="650102"/>
                                      <a:pt x="991177" y="639910"/>
                                    </a:cubicBezTo>
                                    <a:cubicBezTo>
                                      <a:pt x="1038891" y="625831"/>
                                      <a:pt x="1042020" y="658683"/>
                                      <a:pt x="1069397" y="697793"/>
                                    </a:cubicBezTo>
                                    <a:cubicBezTo>
                                      <a:pt x="1109290" y="662594"/>
                                      <a:pt x="1105379" y="639128"/>
                                      <a:pt x="1099121" y="586720"/>
                                    </a:cubicBezTo>
                                    <a:cubicBezTo>
                                      <a:pt x="1113983" y="586720"/>
                                      <a:pt x="1177342" y="601582"/>
                                      <a:pt x="1188292" y="592978"/>
                                    </a:cubicBezTo>
                                    <a:cubicBezTo>
                                      <a:pt x="1199243" y="584374"/>
                                      <a:pt x="1188292" y="514757"/>
                                      <a:pt x="1200808" y="496767"/>
                                    </a:cubicBezTo>
                                    <a:cubicBezTo>
                                      <a:pt x="1213323" y="478776"/>
                                      <a:pt x="1243047" y="470954"/>
                                      <a:pt x="1256344" y="453746"/>
                                    </a:cubicBezTo>
                                    <a:cubicBezTo>
                                      <a:pt x="1269642" y="436537"/>
                                      <a:pt x="1271988" y="409942"/>
                                      <a:pt x="1290761" y="393516"/>
                                    </a:cubicBezTo>
                                    <a:cubicBezTo>
                                      <a:pt x="1342277" y="357628"/>
                                      <a:pt x="1399746" y="331143"/>
                                      <a:pt x="1460499" y="315295"/>
                                    </a:cubicBezTo>
                                    <a:cubicBezTo>
                                      <a:pt x="1534027" y="315295"/>
                                      <a:pt x="1555146" y="419328"/>
                                      <a:pt x="1608336" y="432626"/>
                                    </a:cubicBezTo>
                                    <a:cubicBezTo>
                                      <a:pt x="1645499" y="436928"/>
                                      <a:pt x="1683029" y="436928"/>
                                      <a:pt x="1720191" y="432626"/>
                                    </a:cubicBezTo>
                                    <a:cubicBezTo>
                                      <a:pt x="1757737" y="421675"/>
                                      <a:pt x="1742093" y="418546"/>
                                      <a:pt x="1744440" y="385694"/>
                                    </a:cubicBezTo>
                                    <a:cubicBezTo>
                                      <a:pt x="1746786" y="352841"/>
                                      <a:pt x="1735053" y="357534"/>
                                      <a:pt x="1744440" y="330939"/>
                                    </a:cubicBezTo>
                                    <a:cubicBezTo>
                                      <a:pt x="1753826" y="304345"/>
                                      <a:pt x="1781986" y="284007"/>
                                      <a:pt x="1796065" y="258976"/>
                                    </a:cubicBezTo>
                                    <a:cubicBezTo>
                                      <a:pt x="1825789" y="209698"/>
                                      <a:pt x="1839869" y="165894"/>
                                      <a:pt x="1902445" y="142428"/>
                                    </a:cubicBezTo>
                                    <a:cubicBezTo>
                                      <a:pt x="1945466" y="126002"/>
                                      <a:pt x="2009607" y="148686"/>
                                      <a:pt x="2049500" y="120526"/>
                                    </a:cubicBezTo>
                                    <a:cubicBezTo>
                                      <a:pt x="2064361" y="110358"/>
                                      <a:pt x="2064361" y="86892"/>
                                      <a:pt x="2076094" y="76723"/>
                                    </a:cubicBezTo>
                                    <a:cubicBezTo>
                                      <a:pt x="2102690" y="54039"/>
                                      <a:pt x="2065144" y="61079"/>
                                      <a:pt x="2104254" y="57168"/>
                                    </a:cubicBezTo>
                                    <a:cubicBezTo>
                                      <a:pt x="2123136" y="60469"/>
                                      <a:pt x="2141369" y="66812"/>
                                      <a:pt x="2158226" y="75941"/>
                                    </a:cubicBezTo>
                                    <a:cubicBezTo>
                                      <a:pt x="2231910" y="97889"/>
                                      <a:pt x="2307244" y="113846"/>
                                      <a:pt x="2383501" y="123655"/>
                                    </a:cubicBezTo>
                                    <a:cubicBezTo>
                                      <a:pt x="2407045" y="132127"/>
                                      <a:pt x="2431075" y="139182"/>
                                      <a:pt x="2455464" y="144775"/>
                                    </a:cubicBezTo>
                                    <a:cubicBezTo>
                                      <a:pt x="2475019" y="144775"/>
                                      <a:pt x="2484405" y="117398"/>
                                      <a:pt x="2505525" y="132259"/>
                                    </a:cubicBezTo>
                                    <a:cubicBezTo>
                                      <a:pt x="2550893" y="163548"/>
                                      <a:pt x="2434344" y="244115"/>
                                      <a:pt x="2427304" y="262888"/>
                                    </a:cubicBezTo>
                                    <a:cubicBezTo>
                                      <a:pt x="2420264" y="281660"/>
                                      <a:pt x="2420264" y="321553"/>
                                      <a:pt x="2408531" y="347366"/>
                                    </a:cubicBezTo>
                                    <a:cubicBezTo>
                                      <a:pt x="2396798" y="373178"/>
                                      <a:pt x="2367075" y="392733"/>
                                      <a:pt x="2380372" y="425586"/>
                                    </a:cubicBezTo>
                                    <a:cubicBezTo>
                                      <a:pt x="2404620" y="481905"/>
                                      <a:pt x="2516476" y="529619"/>
                                      <a:pt x="2567319" y="558561"/>
                                    </a:cubicBezTo>
                                    <a:cubicBezTo>
                                      <a:pt x="2618162" y="587502"/>
                                      <a:pt x="2685432" y="617226"/>
                                      <a:pt x="2741750" y="649297"/>
                                    </a:cubicBezTo>
                                    <a:cubicBezTo>
                                      <a:pt x="2798069" y="681367"/>
                                      <a:pt x="2855170" y="763498"/>
                                      <a:pt x="2928697" y="734557"/>
                                    </a:cubicBezTo>
                                    <a:cubicBezTo>
                                      <a:pt x="3056979" y="684496"/>
                                      <a:pt x="3046810" y="421675"/>
                                      <a:pt x="3049157" y="314513"/>
                                    </a:cubicBezTo>
                                    <a:cubicBezTo>
                                      <a:pt x="3052137" y="242175"/>
                                      <a:pt x="3065028" y="170587"/>
                                      <a:pt x="3087485" y="101754"/>
                                    </a:cubicBezTo>
                                    <a:cubicBezTo>
                                      <a:pt x="3103129" y="51692"/>
                                      <a:pt x="3117991" y="-44519"/>
                                      <a:pt x="3171181" y="23533"/>
                                    </a:cubicBezTo>
                                    <a:cubicBezTo>
                                      <a:pt x="3207788" y="86790"/>
                                      <a:pt x="3234187" y="155421"/>
                                      <a:pt x="3249401" y="226906"/>
                                    </a:cubicBezTo>
                                    <a:cubicBezTo>
                                      <a:pt x="3255189" y="260721"/>
                                      <a:pt x="3263027" y="294160"/>
                                      <a:pt x="3272867" y="327028"/>
                                    </a:cubicBezTo>
                                    <a:cubicBezTo>
                                      <a:pt x="3272867" y="334850"/>
                                      <a:pt x="3279125" y="373178"/>
                                      <a:pt x="3286165" y="377090"/>
                                    </a:cubicBezTo>
                                    <a:cubicBezTo>
                                      <a:pt x="3293205" y="381001"/>
                                      <a:pt x="3342483" y="363010"/>
                                      <a:pt x="3364385" y="367703"/>
                                    </a:cubicBezTo>
                                    <a:cubicBezTo>
                                      <a:pt x="3442606" y="388040"/>
                                      <a:pt x="3448081" y="479558"/>
                                      <a:pt x="3460597" y="540570"/>
                                    </a:cubicBezTo>
                                    <a:cubicBezTo>
                                      <a:pt x="3473112" y="601582"/>
                                      <a:pt x="3519262" y="662594"/>
                                      <a:pt x="3538817" y="729864"/>
                                    </a:cubicBezTo>
                                    <a:cubicBezTo>
                                      <a:pt x="3558372" y="797133"/>
                                      <a:pt x="3548203" y="855799"/>
                                      <a:pt x="3598264" y="901949"/>
                                    </a:cubicBezTo>
                                    <a:cubicBezTo>
                                      <a:pt x="3648325" y="948099"/>
                                      <a:pt x="3742190" y="969218"/>
                                      <a:pt x="3799291" y="1020061"/>
                                    </a:cubicBezTo>
                                    <a:cubicBezTo>
                                      <a:pt x="3838777" y="1064796"/>
                                      <a:pt x="3870503" y="1115819"/>
                                      <a:pt x="3893156" y="1171027"/>
                                    </a:cubicBezTo>
                                    <a:cubicBezTo>
                                      <a:pt x="3900633" y="1197958"/>
                                      <a:pt x="3910591" y="1224146"/>
                                      <a:pt x="3922879" y="1249247"/>
                                    </a:cubicBezTo>
                                    <a:cubicBezTo>
                                      <a:pt x="3945563" y="1277407"/>
                                      <a:pt x="3984673" y="1268803"/>
                                      <a:pt x="4015180" y="1287576"/>
                                    </a:cubicBezTo>
                                    <a:cubicBezTo>
                                      <a:pt x="4045685" y="1306348"/>
                                      <a:pt x="4038646" y="1314953"/>
                                      <a:pt x="4052725" y="1358756"/>
                                    </a:cubicBezTo>
                                    <a:cubicBezTo>
                                      <a:pt x="4062800" y="1390107"/>
                                      <a:pt x="4082504" y="1417484"/>
                                      <a:pt x="4109044" y="1436977"/>
                                    </a:cubicBezTo>
                                    <a:cubicBezTo>
                                      <a:pt x="4172684" y="1485849"/>
                                      <a:pt x="4229050" y="1543528"/>
                                      <a:pt x="4276436" y="1608279"/>
                                    </a:cubicBezTo>
                                    <a:cubicBezTo>
                                      <a:pt x="4294114" y="1659498"/>
                                      <a:pt x="4299996" y="1714041"/>
                                      <a:pt x="4293644" y="1767849"/>
                                    </a:cubicBezTo>
                                    <a:cubicBezTo>
                                      <a:pt x="4299120" y="1846070"/>
                                      <a:pt x="4342923" y="1918815"/>
                                      <a:pt x="4339012" y="1997035"/>
                                    </a:cubicBezTo>
                                    <a:cubicBezTo>
                                      <a:pt x="4326262" y="2088522"/>
                                      <a:pt x="4306918" y="2178976"/>
                                      <a:pt x="4281129" y="2267678"/>
                                    </a:cubicBezTo>
                                    <a:cubicBezTo>
                                      <a:pt x="4273581" y="2343552"/>
                                      <a:pt x="4242081" y="2415061"/>
                                      <a:pt x="4191176" y="2471833"/>
                                    </a:cubicBezTo>
                                    <a:cubicBezTo>
                                      <a:pt x="4091507" y="2587537"/>
                                      <a:pt x="4017886" y="2723320"/>
                                      <a:pt x="3975287" y="2869975"/>
                                    </a:cubicBezTo>
                                    <a:cubicBezTo>
                                      <a:pt x="3954950" y="2927076"/>
                                      <a:pt x="3975287" y="3032674"/>
                                      <a:pt x="3926008" y="3077259"/>
                                    </a:cubicBezTo>
                                    <a:cubicBezTo>
                                      <a:pt x="3876729" y="3121845"/>
                                      <a:pt x="3782865" y="3090557"/>
                                      <a:pt x="3724981" y="3116369"/>
                                    </a:cubicBezTo>
                                    <a:cubicBezTo>
                                      <a:pt x="3667098" y="3142182"/>
                                      <a:pt x="3637375" y="3211799"/>
                                      <a:pt x="3568541" y="3221185"/>
                                    </a:cubicBezTo>
                                    <a:cubicBezTo>
                                      <a:pt x="3499707" y="3230571"/>
                                      <a:pt x="3444952" y="3167995"/>
                                      <a:pt x="3412100" y="3110894"/>
                                    </a:cubicBezTo>
                                    <a:cubicBezTo>
                                      <a:pt x="3345612" y="3165649"/>
                                      <a:pt x="3294769" y="3237611"/>
                                      <a:pt x="3204816" y="3207105"/>
                                    </a:cubicBezTo>
                                    <a:cubicBezTo>
                                      <a:pt x="3126924" y="3188825"/>
                                      <a:pt x="3050142" y="3166102"/>
                                      <a:pt x="2974847" y="3139053"/>
                                    </a:cubicBezTo>
                                    <a:cubicBezTo>
                                      <a:pt x="2905654" y="3108414"/>
                                      <a:pt x="2861357" y="3039510"/>
                                      <a:pt x="2862210" y="2963840"/>
                                    </a:cubicBezTo>
                                    <a:cubicBezTo>
                                      <a:pt x="2854724" y="2926270"/>
                                      <a:pt x="2838666" y="2890931"/>
                                      <a:pt x="2815278" y="2860589"/>
                                    </a:cubicBezTo>
                                    <a:cubicBezTo>
                                      <a:pt x="2779296" y="2802706"/>
                                      <a:pt x="2780079" y="2808963"/>
                                      <a:pt x="2712809" y="2826172"/>
                                    </a:cubicBezTo>
                                    <a:cubicBezTo>
                                      <a:pt x="2730002" y="2769329"/>
                                      <a:pt x="2711518" y="2707723"/>
                                      <a:pt x="2665877" y="2669731"/>
                                    </a:cubicBezTo>
                                    <a:cubicBezTo>
                                      <a:pt x="2642410" y="2719010"/>
                                      <a:pt x="2636935" y="2776111"/>
                                      <a:pt x="2569665" y="2773764"/>
                                    </a:cubicBezTo>
                                    <a:cubicBezTo>
                                      <a:pt x="2569665" y="2748734"/>
                                      <a:pt x="2600172" y="2757338"/>
                                      <a:pt x="2604083" y="2737783"/>
                                    </a:cubicBezTo>
                                    <a:cubicBezTo>
                                      <a:pt x="2605279" y="2707550"/>
                                      <a:pt x="2608940" y="2677467"/>
                                      <a:pt x="2615033" y="2647829"/>
                                    </a:cubicBezTo>
                                    <a:cubicBezTo>
                                      <a:pt x="2625984" y="2617323"/>
                                      <a:pt x="2693254" y="2518765"/>
                                      <a:pt x="2636935" y="2504686"/>
                                    </a:cubicBezTo>
                                    <a:cubicBezTo>
                                      <a:pt x="2616598" y="2499210"/>
                                      <a:pt x="2550893" y="2590728"/>
                                      <a:pt x="2531338" y="2605590"/>
                                    </a:cubicBezTo>
                                    <a:cubicBezTo>
                                      <a:pt x="2485312" y="2644184"/>
                                      <a:pt x="2443144" y="2687143"/>
                                      <a:pt x="2405403" y="2733872"/>
                                    </a:cubicBezTo>
                                    <a:cubicBezTo>
                                      <a:pt x="2376046" y="2669887"/>
                                      <a:pt x="2341520" y="2608414"/>
                                      <a:pt x="2302152" y="2550054"/>
                                    </a:cubicBezTo>
                                    <a:cubicBezTo>
                                      <a:pt x="2261477" y="2504686"/>
                                      <a:pt x="2238011" y="2438981"/>
                                      <a:pt x="2183256" y="2411603"/>
                                    </a:cubicBezTo>
                                    <a:cubicBezTo>
                                      <a:pt x="2152039" y="2401701"/>
                                      <a:pt x="2119726" y="2395662"/>
                                      <a:pt x="2087045" y="2393613"/>
                                    </a:cubicBezTo>
                                    <a:cubicBezTo>
                                      <a:pt x="2038549" y="2382662"/>
                                      <a:pt x="2000221" y="2359978"/>
                                      <a:pt x="1954853" y="2345898"/>
                                    </a:cubicBezTo>
                                    <a:cubicBezTo>
                                      <a:pt x="1873222" y="2327767"/>
                                      <a:pt x="1788423" y="2329652"/>
                                      <a:pt x="1707676" y="2351374"/>
                                    </a:cubicBezTo>
                                    <a:cubicBezTo>
                                      <a:pt x="1630707" y="2378610"/>
                                      <a:pt x="1552385" y="2401849"/>
                                      <a:pt x="1473015" y="2420990"/>
                                    </a:cubicBezTo>
                                    <a:cubicBezTo>
                                      <a:pt x="1391587" y="2426528"/>
                                      <a:pt x="1311951" y="2447499"/>
                                      <a:pt x="1238353" y="2482784"/>
                                    </a:cubicBezTo>
                                    <a:cubicBezTo>
                                      <a:pt x="1204374" y="2494987"/>
                                      <a:pt x="1173047" y="2513572"/>
                                      <a:pt x="1146053" y="2537538"/>
                                    </a:cubicBezTo>
                                    <a:cubicBezTo>
                                      <a:pt x="1128845" y="2555529"/>
                                      <a:pt x="1121805" y="2591510"/>
                                      <a:pt x="1101468" y="2606372"/>
                                    </a:cubicBezTo>
                                    <a:cubicBezTo>
                                      <a:pt x="1050624" y="2645483"/>
                                      <a:pt x="919996" y="2619670"/>
                                      <a:pt x="859766" y="2617323"/>
                                    </a:cubicBezTo>
                                    <a:cubicBezTo>
                                      <a:pt x="786709" y="2609102"/>
                                      <a:pt x="712986" y="2625333"/>
                                      <a:pt x="650136" y="2663473"/>
                                    </a:cubicBezTo>
                                    <a:cubicBezTo>
                                      <a:pt x="599441" y="2699681"/>
                                      <a:pt x="545502" y="2731103"/>
                                      <a:pt x="489001" y="2757338"/>
                                    </a:cubicBezTo>
                                    <a:cubicBezTo>
                                      <a:pt x="415474" y="2784715"/>
                                      <a:pt x="126059" y="2706494"/>
                                      <a:pt x="174555" y="2604026"/>
                                    </a:cubicBezTo>
                                    <a:cubicBezTo>
                                      <a:pt x="183160" y="2586817"/>
                                      <a:pt x="216012" y="2573520"/>
                                      <a:pt x="227745" y="2553182"/>
                                    </a:cubicBezTo>
                                    <a:cubicBezTo>
                                      <a:pt x="241194" y="2512109"/>
                                      <a:pt x="245988" y="2468697"/>
                                      <a:pt x="241825" y="2425683"/>
                                    </a:cubicBezTo>
                                    <a:cubicBezTo>
                                      <a:pt x="241825" y="2342769"/>
                                      <a:pt x="193328" y="2288797"/>
                                      <a:pt x="171426" y="2212141"/>
                                    </a:cubicBezTo>
                                    <a:cubicBezTo>
                                      <a:pt x="163215" y="2140585"/>
                                      <a:pt x="146677" y="2070234"/>
                                      <a:pt x="122148" y="2002510"/>
                                    </a:cubicBezTo>
                                    <a:cubicBezTo>
                                      <a:pt x="81473" y="1924290"/>
                                      <a:pt x="55660" y="1846070"/>
                                      <a:pt x="19679" y="1767849"/>
                                    </a:cubicBezTo>
                                    <a:close/>
                                  </a:path>
                                </a:pathLst>
                              </a:custGeom>
                              <a:solidFill>
                                <a:schemeClr val="bg1"/>
                              </a:solidFill>
                              <a:ln w="19050" cap="flat">
                                <a:solidFill>
                                  <a:schemeClr val="tx1"/>
                                </a:solidFill>
                                <a:prstDash val="solid"/>
                                <a:miter/>
                              </a:ln>
                            </wps:spPr>
                            <wps:bodyPr rtlCol="0" anchor="ctr"/>
                          </wps:wsp>
                          <wps:wsp>
                            <wps:cNvPr id="48" name="Freeform: Shape 48"/>
                            <wps:cNvSpPr/>
                            <wps:spPr>
                              <a:xfrm>
                                <a:off x="3391939" y="3488699"/>
                                <a:ext cx="381879" cy="342058"/>
                              </a:xfrm>
                              <a:custGeom>
                                <a:avLst/>
                                <a:gdLst>
                                  <a:gd name="connsiteX0" fmla="*/ 5299 w 381879"/>
                                  <a:gd name="connsiteY0" fmla="*/ 0 h 342058"/>
                                  <a:gd name="connsiteX1" fmla="*/ 150789 w 381879"/>
                                  <a:gd name="connsiteY1" fmla="*/ 43021 h 342058"/>
                                  <a:gd name="connsiteX2" fmla="*/ 325221 w 381879"/>
                                  <a:gd name="connsiteY2" fmla="*/ 12516 h 342058"/>
                                  <a:gd name="connsiteX3" fmla="*/ 325221 w 381879"/>
                                  <a:gd name="connsiteY3" fmla="*/ 247177 h 342058"/>
                                  <a:gd name="connsiteX4" fmla="*/ 86649 w 381879"/>
                                  <a:gd name="connsiteY4" fmla="*/ 272989 h 342058"/>
                                  <a:gd name="connsiteX5" fmla="*/ 35805 w 381879"/>
                                  <a:gd name="connsiteY5" fmla="*/ 132193 h 342058"/>
                                  <a:gd name="connsiteX6" fmla="*/ 5299 w 381879"/>
                                  <a:gd name="connsiteY6" fmla="*/ 0 h 342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1879" h="342058">
                                    <a:moveTo>
                                      <a:pt x="5299" y="0"/>
                                    </a:moveTo>
                                    <a:cubicBezTo>
                                      <a:pt x="60836" y="0"/>
                                      <a:pt x="99164" y="33635"/>
                                      <a:pt x="150789" y="43021"/>
                                    </a:cubicBezTo>
                                    <a:cubicBezTo>
                                      <a:pt x="202415" y="52408"/>
                                      <a:pt x="264991" y="11733"/>
                                      <a:pt x="325221" y="12516"/>
                                    </a:cubicBezTo>
                                    <a:cubicBezTo>
                                      <a:pt x="429254" y="12516"/>
                                      <a:pt x="365896" y="191640"/>
                                      <a:pt x="325221" y="247177"/>
                                    </a:cubicBezTo>
                                    <a:cubicBezTo>
                                      <a:pt x="257951" y="346517"/>
                                      <a:pt x="158611" y="387191"/>
                                      <a:pt x="86649" y="272989"/>
                                    </a:cubicBezTo>
                                    <a:cubicBezTo>
                                      <a:pt x="66796" y="227160"/>
                                      <a:pt x="49815" y="180134"/>
                                      <a:pt x="35805" y="132193"/>
                                    </a:cubicBezTo>
                                    <a:cubicBezTo>
                                      <a:pt x="13904" y="86042"/>
                                      <a:pt x="-11127" y="55536"/>
                                      <a:pt x="5299" y="0"/>
                                    </a:cubicBezTo>
                                    <a:close/>
                                  </a:path>
                                </a:pathLst>
                              </a:custGeom>
                              <a:solidFill>
                                <a:schemeClr val="bg1"/>
                              </a:solidFill>
                              <a:ln w="19050" cap="flat">
                                <a:solidFill>
                                  <a:schemeClr val="tx1"/>
                                </a:solidFill>
                                <a:prstDash val="solid"/>
                                <a:miter/>
                              </a:ln>
                            </wps:spPr>
                            <wps:bodyPr rtlCol="0" anchor="ctr"/>
                          </wps:wsp>
                          <pic:pic xmlns:pic="http://schemas.openxmlformats.org/drawingml/2006/picture">
                            <pic:nvPicPr>
                              <pic:cNvPr id="50" name="Picture 50"/>
                              <pic:cNvPicPr>
                                <a:picLocks noChangeAspect="1"/>
                              </pic:cNvPicPr>
                            </pic:nvPicPr>
                            <pic:blipFill>
                              <a:blip r:embed="rId12"/>
                              <a:stretch>
                                <a:fillRect/>
                              </a:stretch>
                            </pic:blipFill>
                            <pic:spPr>
                              <a:xfrm>
                                <a:off x="656587" y="1048814"/>
                                <a:ext cx="3117231" cy="1125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89A93" id="Group 8" o:spid="_x0000_s1026" alt="Outline of map of Australia with the words Open Access and an orange open lock icon in the centre." style="position:absolute;margin-left:0;margin-top:115pt;width:307.5pt;height:271.5pt;z-index:251658245;mso-position-horizontal:center;mso-position-horizontal-relative:margin;mso-width-relative:margin;mso-height-relative:margin" coordsize="43392,3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">
                    <v:shape id="Freeform: Shape 46" o:spid="_x0000_s1027" style="position:absolute;width:43392;height:32221;visibility:visible;mso-wrap-style:square;v-text-anchor:middle" coordsize="4339258,322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" path="m19679,1767849v84478,-83696,40674,-109509,,-207284c-3489,1515666,-6336,1462993,11857,1415857v10904,-55795,18220,-112231,21901,-168956c83820,1271931,63482,1271931,100246,1246901v25030,-17991,37546,-43804,65705,-61012c194110,1168680,244171,1134264,284064,1107669v59447,-36764,111073,-21120,174432,-38329c521854,1052132,571915,1016933,633709,1002071v58814,-6852,116283,-22403,170521,-46150c850005,919392,887801,873867,915303,822164v39892,-56319,7040,-78221,29724,-132975c953827,667647,970261,650102,991177,639910v47714,-14079,50843,18773,78220,57883c1109290,662594,1105379,639128,1099121,586720v14862,,78221,14862,89171,6258c1199243,584374,1188292,514757,1200808,496767v12515,-17991,42239,-25813,55536,-43021c1269642,436537,1271988,409942,1290761,393516v51516,-35888,108985,-62373,169738,-78221c1534027,315295,1555146,419328,1608336,432626v37163,4302,74693,4302,111855,c1757737,421675,1742093,418546,1744440,385694v2346,-32853,-9387,-28160,,-54755c1753826,304345,1781986,284007,1796065,258976v29724,-49278,43804,-93082,106380,-116548c1945466,126002,2009607,148686,2049500,120526v14861,-10168,14861,-33634,26594,-43803c2102690,54039,2065144,61079,2104254,57168v18882,3301,37115,9644,53972,18773c2231910,97889,2307244,113846,2383501,123655v23544,8472,47574,15527,71963,21120c2475019,144775,2484405,117398,2505525,132259v45368,31289,-71181,111856,-78221,130629c2420264,281660,2420264,321553,2408531,347366v-11733,25812,-41456,45367,-28159,78220c2404620,481905,2516476,529619,2567319,558561v50843,28941,118113,58665,174431,90736c2798069,681367,2855170,763498,2928697,734557v128282,-50061,118113,-312882,120460,-420044c3052137,242175,3065028,170587,3087485,101754v15644,-50062,30506,-146273,83696,-78221c3207788,86790,3234187,155421,3249401,226906v5788,33815,13626,67254,23466,100122c3272867,334850,3279125,373178,3286165,377090v7040,3911,56318,-14080,78220,-9387c3442606,388040,3448081,479558,3460597,540570v12515,61012,58665,122024,78220,189294c3558372,797133,3548203,855799,3598264,901949v50061,46150,143926,67269,201027,118112c3838777,1064796,3870503,1115819,3893156,1171027v7477,26931,17435,53119,29723,78220c3945563,1277407,3984673,1268803,4015180,1287576v30505,18772,23466,27377,37545,71180c4062800,1390107,4082504,1417484,4109044,1436977v63640,48872,120006,106551,167392,171302c4294114,1659498,4299996,1714041,4293644,1767849v5476,78221,49279,150966,45368,229186c4326262,2088522,4306918,2178976,4281129,2267678v-7548,75874,-39048,147383,-89953,204155c4091507,2587537,4017886,2723320,3975287,2869975v-20337,57101,,162699,-49279,207284c3876729,3121845,3782865,3090557,3724981,3116369v-57883,25813,-87606,95430,-156440,104816c3499707,3230571,3444952,3167995,3412100,3110894v-66488,54755,-117331,126717,-207284,96211c3126924,3188825,3050142,3166102,2974847,3139053v-69193,-30639,-113490,-99543,-112637,-175213c2854724,2926270,2838666,2890931,2815278,2860589v-35982,-57883,-35199,-51626,-102469,-34417c2730002,2769329,2711518,2707723,2665877,2669731v-23467,49279,-28942,106380,-96212,104033c2569665,2748734,2600172,2757338,2604083,2737783v1196,-30233,4857,-60316,10950,-89954c2625984,2617323,2693254,2518765,2636935,2504686v-20337,-5476,-86042,86042,-105597,100904c2485312,2644184,2443144,2687143,2405403,2733872v-29357,-63985,-63883,-125458,-103251,-183818c2261477,2504686,2238011,2438981,2183256,2411603v-31217,-9902,-63530,-15941,-96211,-17990c2038549,2382662,2000221,2359978,1954853,2345898v-81631,-18131,-166430,-16246,-247177,5476c1630707,2378610,1552385,2401849,1473015,2420990v-81428,5538,-161064,26509,-234662,61794c1204374,2494987,1173047,2513572,1146053,2537538v-17208,17991,-24248,53972,-44585,68834c1050624,2645483,919996,2619670,859766,2617323v-73057,-8221,-146780,8010,-209630,46150c599441,2699681,545502,2731103,489001,2757338v-73527,27377,-362942,-50844,-314446,-153312c183160,2586817,216012,2573520,227745,2553182v13449,-41073,18243,-84485,14080,-127499c241825,2342769,193328,2288797,171426,2212141v-8211,-71556,-24749,-141907,-49278,-209631c81473,1924290,55660,1846070,19679,1767849xe" fillcolor="white [3212]" strokecolor="black [3213]" strokeweight="1.5pt">
                      <v:stroke joinstyle="miter"/>
                      <v:path arrowok="t" o:connecttype="custom" o:connectlocs="19679,1767849;19679,1560565;11857,1415857;33758,1246901;100246,1246901;165951,1185889;284064,1107669;458496,1069340;633709,1002071;804230,955921;915303,822164;945027,689189;991177,639910;1069397,697793;1099121,586720;1188292,592978;1200808,496767;1256344,453746;1290761,393516;1460499,315295;1608336,432626;1720191,432626;1744440,385694;1744440,330939;1796065,258976;1902445,142428;2049500,120526;2076094,76723;2104254,57168;2158226,75941;2383501,123655;2455464,144775;2505525,132259;2427304,262888;2408531,347366;2380372,425586;2567319,558561;2741750,649297;2928697,734557;3049157,314513;3087485,101754;3171181,23533;3249401,226906;3272867,327028;3286165,377090;3364385,367703;3460597,540570;3538817,729864;3598264,901949;3799291,1020061;3893156,1171027;3922879,1249247;4015180,1287576;4052725,1358756;4109044,1436977;4276436,1608279;4293644,1767849;4339012,1997035;4281129,2267678;4191176,2471833;3975287,2869975;3926008,3077259;3724981,3116369;3568541,3221185;3412100,3110894;3204816,3207105;2974847,3139053;2862210,2963840;2815278,2860589;2712809,2826172;2665877,2669731;2569665,2773764;2604083,2737783;2615033,2647829;2636935,2504686;2531338,2605590;2405403,2733872;2302152,2550054;2183256,2411603;2087045,2393613;1954853,2345898;1707676,2351374;1473015,2420990;1238353,2482784;1146053,2537538;1101468,2606372;859766,2617323;650136,2663473;489001,2757338;174555,2604026;227745,2553182;241825,2425683;171426,2212141;122148,2002510;19679,1767849" o:connectangles="0,0,0,0,0,0,0,0,0,0,0,0,0,0,0,0,0,0,0,0,0,0,0,0,0,0,0,0,0,0,0,0,0,0,0,0,0,0,0,0,0,0,0,0,0,0,0,0,0,0,0,0,0,0,0,0,0,0,0,0,0,0,0,0,0,0,0,0,0,0,0,0,0,0,0,0,0,0,0,0,0,0,0,0,0,0,0,0,0,0,0,0,0,0,0"/>
                    </v:shape>
                    <v:shape id="Freeform: Shape 48" o:spid="_x0000_s1028" style="position:absolute;left:33919;top:34886;width:3819;height:3421;visibility:visible;mso-wrap-style:square;v-text-anchor:middle" coordsize="381879,34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" path="m5299,c60836,,99164,33635,150789,43021,202415,52408,264991,11733,325221,12516v104033,,40675,179124,,234661c257951,346517,158611,387191,86649,272989,66796,227160,49815,180134,35805,132193,13904,86042,-11127,55536,5299,xe" fillcolor="white [3212]" strokecolor="black [3213]" strokeweight="1.5pt">
                      <v:stroke joinstyle="miter"/>
                      <v:path arrowok="t" o:connecttype="custom" o:connectlocs="5299,0;150789,43021;325221,12516;325221,247177;86649,272989;35805,132193;5299,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left:6565;top:10488;width:31173;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">
                      <v:imagedata r:id="rId13" o:title=""/>
                    </v:shape>
                    <w10:wrap anchorx="margin"/>
                  </v:group>
                </w:pict>
              </mc:Fallback>
            </mc:AlternateContent>
          </w:r>
          <w:r w:rsidR="005E6933" w:rsidRPr="00563DEE">
            <w:rPr>
              <w:rFonts w:asciiTheme="minorHAnsi" w:eastAsia="Arial" w:hAnsiTheme="minorHAnsi" w:cstheme="minorHAnsi"/>
              <w:noProof/>
              <w:color w:val="001D34" w:themeColor="accent2"/>
              <w:sz w:val="24"/>
              <w:szCs w:val="22"/>
            </w:rPr>
            <mc:AlternateContent>
              <mc:Choice Requires="wps">
                <w:drawing>
                  <wp:anchor distT="0" distB="0" distL="114300" distR="114300" simplePos="0" relativeHeight="251658242" behindDoc="1" locked="1" layoutInCell="1" allowOverlap="1" wp14:anchorId="36DD9CAA" wp14:editId="6ECFFCF9">
                    <wp:simplePos x="0" y="0"/>
                    <wp:positionH relativeFrom="page">
                      <wp:posOffset>0</wp:posOffset>
                    </wp:positionH>
                    <wp:positionV relativeFrom="page">
                      <wp:posOffset>5346700</wp:posOffset>
                    </wp:positionV>
                    <wp:extent cx="7560310" cy="5346065"/>
                    <wp:effectExtent l="0" t="3175" r="2540" b="3810"/>
                    <wp:wrapNone/>
                    <wp:docPr id="36"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c="http://schemas.openxmlformats.org/drawingml/2006/chart"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BB14764">
                  <v:rect id="Rectangle 85" style="position:absolute;margin-left:0;margin-top:421pt;width:595.3pt;height:420.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00a9ce [3204]" stroked="f" w14:anchorId="45FEC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">
                    <w10:wrap anchorx="page" anchory="page"/>
                    <w10:anchorlock/>
                  </v:rect>
                </w:pict>
              </mc:Fallback>
            </mc:AlternateContent>
          </w:r>
          <w:r w:rsidR="005E6933" w:rsidRPr="00563DEE">
            <w:rPr>
              <w:rFonts w:asciiTheme="minorHAnsi" w:hAnsiTheme="minorHAnsi" w:cstheme="minorHAnsi"/>
            </w:rPr>
            <w:br w:type="page"/>
          </w:r>
        </w:p>
      </w:sdtContent>
    </w:sdt>
    <w:p w14:paraId="3E295087" w14:textId="3B20094C" w:rsidR="008973FD" w:rsidRDefault="00C96744" w:rsidP="00120578">
      <w:pPr>
        <w:pStyle w:val="BodyText"/>
        <w:rPr>
          <w:b/>
          <w:bCs/>
        </w:rPr>
      </w:pPr>
      <w:r>
        <w:rPr>
          <w:b/>
          <w:bCs/>
        </w:rPr>
        <w:lastRenderedPageBreak/>
        <w:t>Recommended c</w:t>
      </w:r>
      <w:r w:rsidR="00D0288E">
        <w:rPr>
          <w:b/>
          <w:bCs/>
        </w:rPr>
        <w:t>itation</w:t>
      </w:r>
    </w:p>
    <w:p w14:paraId="33CB2CE3" w14:textId="31FAD6FC" w:rsidR="00D0288E" w:rsidRPr="00D0288E" w:rsidRDefault="00D0288E" w:rsidP="00120578">
      <w:pPr>
        <w:pStyle w:val="BodyText"/>
      </w:pPr>
      <w:r>
        <w:t xml:space="preserve">CSIRO (2021) </w:t>
      </w:r>
      <w:r w:rsidRPr="00D0288E">
        <w:t>Prospective analysis of a national open access strategy for Australia</w:t>
      </w:r>
      <w:r w:rsidR="002472C5">
        <w:t xml:space="preserve">: </w:t>
      </w:r>
      <w:r w:rsidR="00C96744">
        <w:t>Report prepared by CSIRO Futures for the Office of the Chief Scientist</w:t>
      </w:r>
      <w:r w:rsidR="002472C5">
        <w:t>.</w:t>
      </w:r>
    </w:p>
    <w:p w14:paraId="54054021" w14:textId="26CC21C7" w:rsidR="008973FD" w:rsidRDefault="008973FD" w:rsidP="00120578">
      <w:pPr>
        <w:pStyle w:val="BodyText"/>
      </w:pPr>
      <w:r w:rsidRPr="008973FD">
        <w:t xml:space="preserve">This report was </w:t>
      </w:r>
      <w:r w:rsidR="002150C2">
        <w:t>prepared</w:t>
      </w:r>
      <w:r w:rsidR="002150C2" w:rsidRPr="008973FD">
        <w:t xml:space="preserve"> </w:t>
      </w:r>
      <w:r w:rsidR="002150C2">
        <w:t>for the Office of the Chief Scientist</w:t>
      </w:r>
      <w:r w:rsidR="00306473">
        <w:t xml:space="preserve"> </w:t>
      </w:r>
      <w:r w:rsidRPr="008973FD">
        <w:t>by Dominic Banfield, Audrey Towns, Sebastian Charnock, Mingji Liu</w:t>
      </w:r>
      <w:r w:rsidR="004D510A">
        <w:t xml:space="preserve"> and </w:t>
      </w:r>
      <w:r w:rsidR="004D510A" w:rsidRPr="008973FD">
        <w:t>Vivek Srinivasan</w:t>
      </w:r>
      <w:r w:rsidRPr="008973FD">
        <w:t>.</w:t>
      </w:r>
    </w:p>
    <w:p w14:paraId="61700B63" w14:textId="134BAE61" w:rsidR="00D0288E" w:rsidRPr="00D0288E" w:rsidRDefault="000C6670" w:rsidP="00D0288E">
      <w:pPr>
        <w:pStyle w:val="BodyText"/>
        <w:rPr>
          <w:b/>
          <w:bCs/>
        </w:rPr>
      </w:pPr>
      <w:r>
        <w:rPr>
          <w:b/>
          <w:bCs/>
        </w:rPr>
        <w:t>Ownership and licensing</w:t>
      </w:r>
    </w:p>
    <w:p w14:paraId="4E48DE8C" w14:textId="77777777" w:rsidR="000C6670" w:rsidRDefault="00D0288E" w:rsidP="000C6670">
      <w:pPr>
        <w:pStyle w:val="BodyText"/>
        <w:rPr>
          <w:rFonts w:asciiTheme="minorHAnsi" w:hAnsiTheme="minorHAnsi" w:cstheme="minorHAnsi"/>
        </w:rPr>
      </w:pPr>
      <w:r w:rsidRPr="00D0288E">
        <w:rPr>
          <w:rFonts w:asciiTheme="minorHAnsi" w:hAnsiTheme="minorHAnsi" w:cstheme="minorHAnsi"/>
        </w:rPr>
        <w:t>The content of this Report is owned by Commonwealth Scientific and Industrial Research Organisation (CSIRO).</w:t>
      </w:r>
      <w:r>
        <w:rPr>
          <w:rFonts w:asciiTheme="minorHAnsi" w:hAnsiTheme="minorHAnsi" w:cstheme="minorHAnsi"/>
        </w:rPr>
        <w:t xml:space="preserve"> </w:t>
      </w:r>
      <w:r w:rsidRPr="00D0288E">
        <w:rPr>
          <w:rFonts w:asciiTheme="minorHAnsi" w:hAnsiTheme="minorHAnsi" w:cstheme="minorHAnsi"/>
        </w:rPr>
        <w:t>CSIRO has granted the Commonwealth, represented by the Department of Industry, Science and Resources (the Department), a non-exclusive, irrevocable, royalty-free, perpetual, world-wide licence to exercise the intellectual property rights in the Report for any purpose.</w:t>
      </w:r>
    </w:p>
    <w:p w14:paraId="12672050" w14:textId="3C922958" w:rsidR="000C6670" w:rsidRPr="000C6670" w:rsidRDefault="00D0288E" w:rsidP="000C6670">
      <w:pPr>
        <w:pStyle w:val="BodyText"/>
        <w:rPr>
          <w:rFonts w:asciiTheme="minorHAnsi" w:hAnsiTheme="minorHAnsi" w:cstheme="minorHAnsi"/>
        </w:rPr>
      </w:pPr>
      <w:r w:rsidRPr="00D0288E">
        <w:rPr>
          <w:rFonts w:asciiTheme="minorHAnsi" w:hAnsiTheme="minorHAnsi" w:cstheme="minorHAnsi"/>
        </w:rPr>
        <w:t xml:space="preserve">The Department sublicenses these rights to Third Parties, under </w:t>
      </w:r>
      <w:r w:rsidR="000C6670">
        <w:rPr>
          <w:rFonts w:asciiTheme="minorHAnsi" w:hAnsiTheme="minorHAnsi" w:cstheme="minorHAnsi"/>
        </w:rPr>
        <w:t xml:space="preserve">the </w:t>
      </w:r>
      <w:r w:rsidR="000C6670" w:rsidRPr="000C6670">
        <w:rPr>
          <w:rFonts w:asciiTheme="minorHAnsi" w:hAnsiTheme="minorHAnsi" w:cstheme="minorHAnsi"/>
        </w:rPr>
        <w:t>CC BY 4.0</w:t>
      </w:r>
      <w:r w:rsidR="000C6670">
        <w:rPr>
          <w:rFonts w:asciiTheme="minorHAnsi" w:hAnsiTheme="minorHAnsi" w:cstheme="minorHAnsi"/>
        </w:rPr>
        <w:t xml:space="preserve"> (</w:t>
      </w:r>
      <w:r w:rsidR="000C6670" w:rsidRPr="000C6670">
        <w:rPr>
          <w:rFonts w:asciiTheme="minorHAnsi" w:hAnsiTheme="minorHAnsi" w:cstheme="minorHAnsi"/>
        </w:rPr>
        <w:t>Creative Commons Attribution 4.0 International</w:t>
      </w:r>
      <w:r w:rsidR="000C6670">
        <w:rPr>
          <w:rFonts w:asciiTheme="minorHAnsi" w:hAnsiTheme="minorHAnsi" w:cstheme="minorHAnsi"/>
        </w:rPr>
        <w:t xml:space="preserve">). </w:t>
      </w:r>
      <w:r w:rsidR="000C6670" w:rsidRPr="000C6670">
        <w:rPr>
          <w:rFonts w:asciiTheme="minorHAnsi" w:hAnsiTheme="minorHAnsi" w:cstheme="minorHAnsi"/>
        </w:rPr>
        <w:t>This license requires that reusers give credit to the creator. It allows reusers to distribute, remix, adapt, and build upon the material in any medium or format, even for commercial purposes.</w:t>
      </w:r>
    </w:p>
    <w:p w14:paraId="40C7B2E5" w14:textId="5D60924B" w:rsidR="00306473" w:rsidRDefault="00306473" w:rsidP="000C6670">
      <w:pPr>
        <w:pStyle w:val="BodyText"/>
        <w:rPr>
          <w:b/>
          <w:bCs/>
        </w:rPr>
      </w:pPr>
      <w:r>
        <w:rPr>
          <w:b/>
          <w:bCs/>
        </w:rPr>
        <w:t>Disclosure statement</w:t>
      </w:r>
    </w:p>
    <w:p w14:paraId="20BCF2E7" w14:textId="57653ACB" w:rsidR="00306473" w:rsidRPr="00306473" w:rsidRDefault="00306473" w:rsidP="00120578">
      <w:pPr>
        <w:pStyle w:val="BodyText"/>
        <w:rPr>
          <w:b/>
          <w:bCs/>
        </w:rPr>
      </w:pPr>
      <w:r w:rsidRPr="00306473">
        <w:t xml:space="preserve">CSIRO has an academic publishing arm (CSIRO Publishing) that may be impacted by the outcomes of this work. </w:t>
      </w:r>
      <w:r>
        <w:t>At the request of the Office of the Chief Scien</w:t>
      </w:r>
      <w:r w:rsidR="00263B87">
        <w:t>tist</w:t>
      </w:r>
      <w:r w:rsidR="00E14C9E">
        <w:t>, the</w:t>
      </w:r>
      <w:r w:rsidRPr="00306473">
        <w:t xml:space="preserve"> Director of CSIRO Publishing was interviewed by the project team. CSIRO Publishing had no other influence on this report's development.</w:t>
      </w:r>
    </w:p>
    <w:p w14:paraId="1BBCD462" w14:textId="77777777" w:rsidR="00120578" w:rsidRPr="008919FA" w:rsidRDefault="00120578" w:rsidP="00120578">
      <w:pPr>
        <w:pStyle w:val="BodyText"/>
        <w:rPr>
          <w:b/>
        </w:rPr>
      </w:pPr>
      <w:r w:rsidRPr="008919FA">
        <w:rPr>
          <w:b/>
        </w:rPr>
        <w:t>Acknowledgements</w:t>
      </w:r>
    </w:p>
    <w:p w14:paraId="362C72FE" w14:textId="77777777" w:rsidR="00120578" w:rsidRPr="001343E0" w:rsidRDefault="00120578" w:rsidP="00120578">
      <w:pPr>
        <w:pStyle w:val="BodyText"/>
      </w:pPr>
      <w:r w:rsidRPr="001343E0">
        <w:t>CSIRO acknowledges the Traditional Owners of the land, sea</w:t>
      </w:r>
      <w:r>
        <w:t>,</w:t>
      </w:r>
      <w:r w:rsidRPr="001343E0">
        <w:t xml:space="preserve"> and waters of the area that we live and work on across Australia. We acknowledge </w:t>
      </w:r>
      <w:r w:rsidRPr="001343E0">
        <w:rPr>
          <w:noProof/>
          <w:color w:val="001D34" w:themeColor="accent2"/>
        </w:rPr>
        <mc:AlternateContent>
          <mc:Choice Requires="wps">
            <w:drawing>
              <wp:anchor distT="0" distB="0" distL="114300" distR="114300" simplePos="0" relativeHeight="251658244" behindDoc="1" locked="1" layoutInCell="1" allowOverlap="1" wp14:anchorId="227345C6" wp14:editId="6DFA3E55">
                <wp:simplePos x="0" y="0"/>
                <wp:positionH relativeFrom="page">
                  <wp:align>left</wp:align>
                </wp:positionH>
                <wp:positionV relativeFrom="page">
                  <wp:posOffset>-314960</wp:posOffset>
                </wp:positionV>
                <wp:extent cx="7639050" cy="10725150"/>
                <wp:effectExtent l="0" t="0" r="0" b="0"/>
                <wp:wrapNone/>
                <wp:docPr id="4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072515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D19F" id="Rectangle 85" o:spid="_x0000_s1026" alt="&quot;&quot;" style="position:absolute;margin-left:0;margin-top:-24.8pt;width:601.5pt;height:844.5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" fillcolor="#f2f2f2 [3052]" stroked="f">
                <w10:wrap anchorx="page" anchory="page"/>
                <w10:anchorlock/>
              </v:rect>
            </w:pict>
          </mc:Fallback>
        </mc:AlternateContent>
      </w:r>
      <w:r w:rsidRPr="001343E0">
        <w:t>their continuing connection to their culture, and we pay our respects to their Elders past and present.</w:t>
      </w:r>
    </w:p>
    <w:p w14:paraId="6244475F" w14:textId="792141F9" w:rsidR="00120578" w:rsidRDefault="00120578" w:rsidP="00120578">
      <w:pPr>
        <w:pStyle w:val="BodyText"/>
      </w:pPr>
      <w:r w:rsidRPr="001343E0">
        <w:t xml:space="preserve">The project team is grateful to the many stakeholders who generously gave their time to provide </w:t>
      </w:r>
      <w:r>
        <w:t xml:space="preserve">input, </w:t>
      </w:r>
      <w:r w:rsidRPr="001343E0">
        <w:t>advice and feedback on this report.</w:t>
      </w:r>
    </w:p>
    <w:p w14:paraId="4363A37D" w14:textId="77777777" w:rsidR="00D0288E" w:rsidRPr="008919FA" w:rsidRDefault="00D0288E" w:rsidP="00D0288E">
      <w:pPr>
        <w:pStyle w:val="BodyText"/>
        <w:rPr>
          <w:b/>
        </w:rPr>
      </w:pPr>
      <w:r w:rsidRPr="008919FA">
        <w:rPr>
          <w:b/>
        </w:rPr>
        <w:t>CSIRO Futures</w:t>
      </w:r>
    </w:p>
    <w:p w14:paraId="6083BFBC" w14:textId="77777777" w:rsidR="00D0288E" w:rsidRDefault="00D0288E" w:rsidP="00D0288E">
      <w:pPr>
        <w:pStyle w:val="BodyText"/>
      </w:pPr>
      <w:r w:rsidRPr="001343E0">
        <w:t xml:space="preserve">At CSIRO Futures we bring together science, technology and economics to help </w:t>
      </w:r>
      <w:r>
        <w:t>governments and businesses</w:t>
      </w:r>
      <w:r w:rsidRPr="001343E0">
        <w:t xml:space="preserve"> develop transformative strategies that tackle </w:t>
      </w:r>
      <w:r>
        <w:t>their</w:t>
      </w:r>
      <w:r w:rsidRPr="001343E0">
        <w:t xml:space="preserve"> biggest challenges. As the strategic advisory arm of Australia’s national science agency, we are uniquely positioned to transform complexity into clarity, uncertainty into opportunity, </w:t>
      </w:r>
      <w:r>
        <w:t xml:space="preserve">and </w:t>
      </w:r>
      <w:r w:rsidRPr="001343E0">
        <w:t>insights into action.</w:t>
      </w:r>
    </w:p>
    <w:p w14:paraId="30ACD1E9" w14:textId="60FD29C5" w:rsidR="0096785B" w:rsidRDefault="0096785B">
      <w:pPr>
        <w:spacing w:before="0" w:after="0" w:line="240" w:lineRule="auto"/>
        <w:rPr>
          <w:rFonts w:asciiTheme="minorHAnsi" w:eastAsiaTheme="majorEastAsia" w:hAnsiTheme="minorHAnsi" w:cstheme="minorHAnsi"/>
          <w:bCs/>
          <w:color w:val="757579" w:themeColor="accent3"/>
          <w:sz w:val="44"/>
          <w:szCs w:val="28"/>
        </w:rPr>
      </w:pPr>
      <w:r>
        <w:rPr>
          <w:rFonts w:asciiTheme="minorHAnsi" w:hAnsiTheme="minorHAnsi" w:cstheme="minorHAnsi"/>
        </w:rPr>
        <w:br w:type="page"/>
      </w:r>
    </w:p>
    <w:p w14:paraId="1AD3D0A7" w14:textId="7DC8C11F" w:rsidR="005E6933" w:rsidRPr="00563DEE" w:rsidRDefault="005E6933" w:rsidP="005E6933">
      <w:pPr>
        <w:pStyle w:val="Heading1noTOC"/>
        <w:rPr>
          <w:rFonts w:asciiTheme="minorHAnsi" w:hAnsiTheme="minorHAnsi" w:cstheme="minorHAnsi"/>
          <w:caps/>
          <w:kern w:val="28"/>
          <w:sz w:val="24"/>
          <w:szCs w:val="22"/>
        </w:rPr>
      </w:pPr>
      <w:r w:rsidRPr="00563DEE">
        <w:rPr>
          <w:rFonts w:asciiTheme="minorHAnsi" w:hAnsiTheme="minorHAnsi" w:cstheme="minorHAnsi"/>
        </w:rPr>
        <w:lastRenderedPageBreak/>
        <w:t>Contents</w:t>
      </w:r>
    </w:p>
    <w:p w14:paraId="4E81E1B1" w14:textId="53809F1A" w:rsidR="000772DF" w:rsidRDefault="005E6933">
      <w:pPr>
        <w:pStyle w:val="TOC2"/>
        <w:rPr>
          <w:rFonts w:asciiTheme="minorHAnsi" w:eastAsiaTheme="minorEastAsia" w:hAnsiTheme="minorHAnsi" w:cstheme="minorBidi"/>
          <w:color w:val="auto"/>
          <w:sz w:val="22"/>
        </w:rPr>
      </w:pPr>
      <w:r w:rsidRPr="00563DEE">
        <w:rPr>
          <w:noProof w:val="0"/>
        </w:rPr>
        <w:fldChar w:fldCharType="begin"/>
      </w:r>
      <w:r w:rsidRPr="00563DEE">
        <w:instrText xml:space="preserve"> TOC \h \z \t "Heading 1,2,Heading 2,3,PartTitle,1,Heading 1 Numbered,2,Heading 1 not numbered,2,Heading 2 not numbered,3,Appendix Heading 1,2" </w:instrText>
      </w:r>
      <w:r w:rsidRPr="00563DEE">
        <w:rPr>
          <w:noProof w:val="0"/>
        </w:rPr>
        <w:fldChar w:fldCharType="separate"/>
      </w:r>
      <w:hyperlink w:anchor="_Toc87629926" w:history="1">
        <w:r w:rsidR="000772DF" w:rsidRPr="00F91940">
          <w:rPr>
            <w:rStyle w:val="Hyperlink"/>
            <w:rFonts w:cstheme="minorHAnsi"/>
          </w:rPr>
          <w:t>Glossary</w:t>
        </w:r>
        <w:r w:rsidR="000772DF">
          <w:rPr>
            <w:webHidden/>
          </w:rPr>
          <w:tab/>
        </w:r>
        <w:r w:rsidR="00674D18">
          <w:rPr>
            <w:webHidden/>
          </w:rPr>
          <w:tab/>
        </w:r>
        <w:r w:rsidR="000772DF">
          <w:rPr>
            <w:webHidden/>
          </w:rPr>
          <w:fldChar w:fldCharType="begin"/>
        </w:r>
        <w:r w:rsidR="000772DF">
          <w:rPr>
            <w:webHidden/>
          </w:rPr>
          <w:instrText xml:space="preserve"> PAGEREF _Toc87629926 \h </w:instrText>
        </w:r>
        <w:r w:rsidR="000772DF">
          <w:rPr>
            <w:webHidden/>
          </w:rPr>
        </w:r>
        <w:r w:rsidR="000772DF">
          <w:rPr>
            <w:webHidden/>
          </w:rPr>
          <w:fldChar w:fldCharType="separate"/>
        </w:r>
        <w:r w:rsidR="003B28D9">
          <w:rPr>
            <w:webHidden/>
          </w:rPr>
          <w:t>3</w:t>
        </w:r>
        <w:r w:rsidR="000772DF">
          <w:rPr>
            <w:webHidden/>
          </w:rPr>
          <w:fldChar w:fldCharType="end"/>
        </w:r>
      </w:hyperlink>
    </w:p>
    <w:p w14:paraId="67BC20BC" w14:textId="4786C61F" w:rsidR="000772DF" w:rsidRDefault="002472C5">
      <w:pPr>
        <w:pStyle w:val="TOC2"/>
        <w:rPr>
          <w:rFonts w:asciiTheme="minorHAnsi" w:eastAsiaTheme="minorEastAsia" w:hAnsiTheme="minorHAnsi" w:cstheme="minorBidi"/>
          <w:color w:val="auto"/>
          <w:sz w:val="22"/>
        </w:rPr>
      </w:pPr>
      <w:hyperlink w:anchor="_Toc87629927" w:history="1">
        <w:r w:rsidR="000772DF" w:rsidRPr="00F91940">
          <w:rPr>
            <w:rStyle w:val="Hyperlink"/>
          </w:rPr>
          <w:t>Executive Summary</w:t>
        </w:r>
        <w:r w:rsidR="000772DF">
          <w:rPr>
            <w:webHidden/>
          </w:rPr>
          <w:tab/>
        </w:r>
        <w:r w:rsidR="000772DF">
          <w:rPr>
            <w:webHidden/>
          </w:rPr>
          <w:fldChar w:fldCharType="begin"/>
        </w:r>
        <w:r w:rsidR="000772DF">
          <w:rPr>
            <w:webHidden/>
          </w:rPr>
          <w:instrText xml:space="preserve"> PAGEREF _Toc87629927 \h </w:instrText>
        </w:r>
        <w:r w:rsidR="000772DF">
          <w:rPr>
            <w:webHidden/>
          </w:rPr>
        </w:r>
        <w:r w:rsidR="000772DF">
          <w:rPr>
            <w:webHidden/>
          </w:rPr>
          <w:fldChar w:fldCharType="separate"/>
        </w:r>
        <w:r w:rsidR="003B28D9">
          <w:rPr>
            <w:webHidden/>
          </w:rPr>
          <w:t>7</w:t>
        </w:r>
        <w:r w:rsidR="000772DF">
          <w:rPr>
            <w:webHidden/>
          </w:rPr>
          <w:fldChar w:fldCharType="end"/>
        </w:r>
      </w:hyperlink>
    </w:p>
    <w:p w14:paraId="3740B98B" w14:textId="270808B4" w:rsidR="000772DF" w:rsidRDefault="002472C5">
      <w:pPr>
        <w:pStyle w:val="TOC2"/>
        <w:rPr>
          <w:rFonts w:asciiTheme="minorHAnsi" w:eastAsiaTheme="minorEastAsia" w:hAnsiTheme="minorHAnsi" w:cstheme="minorBidi"/>
          <w:color w:val="auto"/>
          <w:sz w:val="22"/>
        </w:rPr>
      </w:pPr>
      <w:hyperlink w:anchor="_Toc87629928" w:history="1">
        <w:r w:rsidR="000772DF" w:rsidRPr="00F91940">
          <w:rPr>
            <w:rStyle w:val="Hyperlink"/>
          </w:rPr>
          <w:t>1</w:t>
        </w:r>
        <w:r w:rsidR="000772DF">
          <w:rPr>
            <w:rFonts w:asciiTheme="minorHAnsi" w:eastAsiaTheme="minorEastAsia" w:hAnsiTheme="minorHAnsi" w:cstheme="minorBidi"/>
            <w:color w:val="auto"/>
            <w:sz w:val="22"/>
          </w:rPr>
          <w:tab/>
        </w:r>
        <w:r w:rsidR="000772DF" w:rsidRPr="00F91940">
          <w:rPr>
            <w:rStyle w:val="Hyperlink"/>
            <w:rFonts w:cstheme="minorHAnsi"/>
          </w:rPr>
          <w:t>Why Open Access?</w:t>
        </w:r>
        <w:r w:rsidR="000772DF">
          <w:rPr>
            <w:webHidden/>
          </w:rPr>
          <w:tab/>
        </w:r>
        <w:r w:rsidR="000772DF">
          <w:rPr>
            <w:webHidden/>
          </w:rPr>
          <w:fldChar w:fldCharType="begin"/>
        </w:r>
        <w:r w:rsidR="000772DF">
          <w:rPr>
            <w:webHidden/>
          </w:rPr>
          <w:instrText xml:space="preserve"> PAGEREF _Toc87629928 \h </w:instrText>
        </w:r>
        <w:r w:rsidR="000772DF">
          <w:rPr>
            <w:webHidden/>
          </w:rPr>
        </w:r>
        <w:r w:rsidR="000772DF">
          <w:rPr>
            <w:webHidden/>
          </w:rPr>
          <w:fldChar w:fldCharType="separate"/>
        </w:r>
        <w:r w:rsidR="003B28D9">
          <w:rPr>
            <w:webHidden/>
          </w:rPr>
          <w:t>12</w:t>
        </w:r>
        <w:r w:rsidR="000772DF">
          <w:rPr>
            <w:webHidden/>
          </w:rPr>
          <w:fldChar w:fldCharType="end"/>
        </w:r>
      </w:hyperlink>
    </w:p>
    <w:p w14:paraId="491ADCE4" w14:textId="429840F4" w:rsidR="000772DF" w:rsidRDefault="002472C5">
      <w:pPr>
        <w:pStyle w:val="TOC2"/>
        <w:rPr>
          <w:rFonts w:asciiTheme="minorHAnsi" w:eastAsiaTheme="minorEastAsia" w:hAnsiTheme="minorHAnsi" w:cstheme="minorBidi"/>
          <w:color w:val="auto"/>
          <w:sz w:val="22"/>
        </w:rPr>
      </w:pPr>
      <w:hyperlink w:anchor="_Toc87629929" w:history="1">
        <w:r w:rsidR="000772DF" w:rsidRPr="00F91940">
          <w:rPr>
            <w:rStyle w:val="Hyperlink"/>
          </w:rPr>
          <w:t>2</w:t>
        </w:r>
        <w:r w:rsidR="000772DF">
          <w:rPr>
            <w:rFonts w:asciiTheme="minorHAnsi" w:eastAsiaTheme="minorEastAsia" w:hAnsiTheme="minorHAnsi" w:cstheme="minorBidi"/>
            <w:color w:val="auto"/>
            <w:sz w:val="22"/>
          </w:rPr>
          <w:tab/>
        </w:r>
        <w:r w:rsidR="000772DF" w:rsidRPr="00F91940">
          <w:rPr>
            <w:rStyle w:val="Hyperlink"/>
            <w:rFonts w:cstheme="minorHAnsi"/>
          </w:rPr>
          <w:t>Open access in Australia</w:t>
        </w:r>
        <w:r w:rsidR="000772DF">
          <w:rPr>
            <w:webHidden/>
          </w:rPr>
          <w:tab/>
        </w:r>
        <w:r w:rsidR="000772DF">
          <w:rPr>
            <w:webHidden/>
          </w:rPr>
          <w:fldChar w:fldCharType="begin"/>
        </w:r>
        <w:r w:rsidR="000772DF">
          <w:rPr>
            <w:webHidden/>
          </w:rPr>
          <w:instrText xml:space="preserve"> PAGEREF _Toc87629929 \h </w:instrText>
        </w:r>
        <w:r w:rsidR="000772DF">
          <w:rPr>
            <w:webHidden/>
          </w:rPr>
        </w:r>
        <w:r w:rsidR="000772DF">
          <w:rPr>
            <w:webHidden/>
          </w:rPr>
          <w:fldChar w:fldCharType="separate"/>
        </w:r>
        <w:r w:rsidR="003B28D9">
          <w:rPr>
            <w:webHidden/>
          </w:rPr>
          <w:t>16</w:t>
        </w:r>
        <w:r w:rsidR="000772DF">
          <w:rPr>
            <w:webHidden/>
          </w:rPr>
          <w:fldChar w:fldCharType="end"/>
        </w:r>
      </w:hyperlink>
    </w:p>
    <w:p w14:paraId="2698F70A" w14:textId="4E790B99" w:rsidR="000772DF" w:rsidRDefault="002472C5">
      <w:pPr>
        <w:pStyle w:val="TOC3"/>
        <w:rPr>
          <w:rFonts w:asciiTheme="minorHAnsi" w:eastAsiaTheme="minorEastAsia" w:hAnsiTheme="minorHAnsi" w:cstheme="minorBidi"/>
          <w:noProof/>
          <w:color w:val="auto"/>
          <w:sz w:val="22"/>
        </w:rPr>
      </w:pPr>
      <w:hyperlink w:anchor="_Toc87629930" w:history="1">
        <w:r w:rsidR="000772DF" w:rsidRPr="00F91940">
          <w:rPr>
            <w:rStyle w:val="Hyperlink"/>
            <w:noProof/>
          </w:rPr>
          <w:t>2.1</w:t>
        </w:r>
        <w:r w:rsidR="000772DF">
          <w:rPr>
            <w:rFonts w:asciiTheme="minorHAnsi" w:eastAsiaTheme="minorEastAsia" w:hAnsiTheme="minorHAnsi" w:cstheme="minorBidi"/>
            <w:noProof/>
            <w:color w:val="auto"/>
            <w:sz w:val="22"/>
          </w:rPr>
          <w:tab/>
        </w:r>
        <w:r w:rsidR="000772DF" w:rsidRPr="00F91940">
          <w:rPr>
            <w:rStyle w:val="Hyperlink"/>
            <w:rFonts w:cstheme="minorHAnsi"/>
            <w:noProof/>
          </w:rPr>
          <w:t>Publishing Australia’s research</w:t>
        </w:r>
        <w:r w:rsidR="000772DF">
          <w:rPr>
            <w:noProof/>
            <w:webHidden/>
          </w:rPr>
          <w:tab/>
        </w:r>
        <w:r w:rsidR="000772DF">
          <w:rPr>
            <w:noProof/>
            <w:webHidden/>
          </w:rPr>
          <w:fldChar w:fldCharType="begin"/>
        </w:r>
        <w:r w:rsidR="000772DF">
          <w:rPr>
            <w:noProof/>
            <w:webHidden/>
          </w:rPr>
          <w:instrText xml:space="preserve"> PAGEREF _Toc87629930 \h </w:instrText>
        </w:r>
        <w:r w:rsidR="000772DF">
          <w:rPr>
            <w:noProof/>
            <w:webHidden/>
          </w:rPr>
        </w:r>
        <w:r w:rsidR="000772DF">
          <w:rPr>
            <w:noProof/>
            <w:webHidden/>
          </w:rPr>
          <w:fldChar w:fldCharType="separate"/>
        </w:r>
        <w:r w:rsidR="003B28D9">
          <w:rPr>
            <w:noProof/>
            <w:webHidden/>
          </w:rPr>
          <w:t>17</w:t>
        </w:r>
        <w:r w:rsidR="000772DF">
          <w:rPr>
            <w:noProof/>
            <w:webHidden/>
          </w:rPr>
          <w:fldChar w:fldCharType="end"/>
        </w:r>
      </w:hyperlink>
    </w:p>
    <w:p w14:paraId="5549F6CD" w14:textId="26B1307D" w:rsidR="000772DF" w:rsidRDefault="002472C5">
      <w:pPr>
        <w:pStyle w:val="TOC3"/>
        <w:rPr>
          <w:rFonts w:asciiTheme="minorHAnsi" w:eastAsiaTheme="minorEastAsia" w:hAnsiTheme="minorHAnsi" w:cstheme="minorBidi"/>
          <w:noProof/>
          <w:color w:val="auto"/>
          <w:sz w:val="22"/>
        </w:rPr>
      </w:pPr>
      <w:hyperlink w:anchor="_Toc87629931" w:history="1">
        <w:r w:rsidR="000772DF" w:rsidRPr="00F91940">
          <w:rPr>
            <w:rStyle w:val="Hyperlink"/>
            <w:noProof/>
          </w:rPr>
          <w:t>2.2</w:t>
        </w:r>
        <w:r w:rsidR="000772DF">
          <w:rPr>
            <w:rFonts w:asciiTheme="minorHAnsi" w:eastAsiaTheme="minorEastAsia" w:hAnsiTheme="minorHAnsi" w:cstheme="minorBidi"/>
            <w:noProof/>
            <w:color w:val="auto"/>
            <w:sz w:val="22"/>
          </w:rPr>
          <w:tab/>
        </w:r>
        <w:r w:rsidR="000772DF" w:rsidRPr="00F91940">
          <w:rPr>
            <w:rStyle w:val="Hyperlink"/>
            <w:rFonts w:cstheme="minorHAnsi"/>
            <w:noProof/>
          </w:rPr>
          <w:t>Open access initiatives</w:t>
        </w:r>
        <w:r w:rsidR="000772DF">
          <w:rPr>
            <w:noProof/>
            <w:webHidden/>
          </w:rPr>
          <w:tab/>
        </w:r>
        <w:r w:rsidR="000772DF">
          <w:rPr>
            <w:noProof/>
            <w:webHidden/>
          </w:rPr>
          <w:fldChar w:fldCharType="begin"/>
        </w:r>
        <w:r w:rsidR="000772DF">
          <w:rPr>
            <w:noProof/>
            <w:webHidden/>
          </w:rPr>
          <w:instrText xml:space="preserve"> PAGEREF _Toc87629931 \h </w:instrText>
        </w:r>
        <w:r w:rsidR="000772DF">
          <w:rPr>
            <w:noProof/>
            <w:webHidden/>
          </w:rPr>
        </w:r>
        <w:r w:rsidR="000772DF">
          <w:rPr>
            <w:noProof/>
            <w:webHidden/>
          </w:rPr>
          <w:fldChar w:fldCharType="separate"/>
        </w:r>
        <w:r w:rsidR="003B28D9">
          <w:rPr>
            <w:noProof/>
            <w:webHidden/>
          </w:rPr>
          <w:t>20</w:t>
        </w:r>
        <w:r w:rsidR="000772DF">
          <w:rPr>
            <w:noProof/>
            <w:webHidden/>
          </w:rPr>
          <w:fldChar w:fldCharType="end"/>
        </w:r>
      </w:hyperlink>
    </w:p>
    <w:p w14:paraId="118DEAD8" w14:textId="6A215653" w:rsidR="000772DF" w:rsidRDefault="002472C5">
      <w:pPr>
        <w:pStyle w:val="TOC3"/>
        <w:rPr>
          <w:rFonts w:asciiTheme="minorHAnsi" w:eastAsiaTheme="minorEastAsia" w:hAnsiTheme="minorHAnsi" w:cstheme="minorBidi"/>
          <w:noProof/>
          <w:color w:val="auto"/>
          <w:sz w:val="22"/>
        </w:rPr>
      </w:pPr>
      <w:hyperlink w:anchor="_Toc87629932" w:history="1">
        <w:r w:rsidR="000772DF" w:rsidRPr="00F91940">
          <w:rPr>
            <w:rStyle w:val="Hyperlink"/>
            <w:noProof/>
          </w:rPr>
          <w:t>2.3</w:t>
        </w:r>
        <w:r w:rsidR="000772DF">
          <w:rPr>
            <w:rFonts w:asciiTheme="minorHAnsi" w:eastAsiaTheme="minorEastAsia" w:hAnsiTheme="minorHAnsi" w:cstheme="minorBidi"/>
            <w:noProof/>
            <w:color w:val="auto"/>
            <w:sz w:val="22"/>
          </w:rPr>
          <w:tab/>
        </w:r>
        <w:r w:rsidR="000772DF" w:rsidRPr="00F91940">
          <w:rPr>
            <w:rStyle w:val="Hyperlink"/>
            <w:rFonts w:cstheme="minorHAnsi"/>
            <w:noProof/>
          </w:rPr>
          <w:t>Current state of open access in Australia</w:t>
        </w:r>
        <w:r w:rsidR="000772DF">
          <w:rPr>
            <w:noProof/>
            <w:webHidden/>
          </w:rPr>
          <w:tab/>
        </w:r>
        <w:r w:rsidR="000772DF">
          <w:rPr>
            <w:noProof/>
            <w:webHidden/>
          </w:rPr>
          <w:fldChar w:fldCharType="begin"/>
        </w:r>
        <w:r w:rsidR="000772DF">
          <w:rPr>
            <w:noProof/>
            <w:webHidden/>
          </w:rPr>
          <w:instrText xml:space="preserve"> PAGEREF _Toc87629932 \h </w:instrText>
        </w:r>
        <w:r w:rsidR="000772DF">
          <w:rPr>
            <w:noProof/>
            <w:webHidden/>
          </w:rPr>
        </w:r>
        <w:r w:rsidR="000772DF">
          <w:rPr>
            <w:noProof/>
            <w:webHidden/>
          </w:rPr>
          <w:fldChar w:fldCharType="separate"/>
        </w:r>
        <w:r w:rsidR="003B28D9">
          <w:rPr>
            <w:noProof/>
            <w:webHidden/>
          </w:rPr>
          <w:t>21</w:t>
        </w:r>
        <w:r w:rsidR="000772DF">
          <w:rPr>
            <w:noProof/>
            <w:webHidden/>
          </w:rPr>
          <w:fldChar w:fldCharType="end"/>
        </w:r>
      </w:hyperlink>
    </w:p>
    <w:p w14:paraId="0C77282E" w14:textId="4E372176" w:rsidR="000772DF" w:rsidRDefault="002472C5">
      <w:pPr>
        <w:pStyle w:val="TOC3"/>
        <w:rPr>
          <w:rFonts w:asciiTheme="minorHAnsi" w:eastAsiaTheme="minorEastAsia" w:hAnsiTheme="minorHAnsi" w:cstheme="minorBidi"/>
          <w:noProof/>
          <w:color w:val="auto"/>
          <w:sz w:val="22"/>
        </w:rPr>
      </w:pPr>
      <w:hyperlink w:anchor="_Toc87629933" w:history="1">
        <w:r w:rsidR="000772DF" w:rsidRPr="00F91940">
          <w:rPr>
            <w:rStyle w:val="Hyperlink"/>
            <w:noProof/>
          </w:rPr>
          <w:t>2.4</w:t>
        </w:r>
        <w:r w:rsidR="000772DF">
          <w:rPr>
            <w:rFonts w:asciiTheme="minorHAnsi" w:eastAsiaTheme="minorEastAsia" w:hAnsiTheme="minorHAnsi" w:cstheme="minorBidi"/>
            <w:noProof/>
            <w:color w:val="auto"/>
            <w:sz w:val="22"/>
          </w:rPr>
          <w:tab/>
        </w:r>
        <w:r w:rsidR="000772DF" w:rsidRPr="00F91940">
          <w:rPr>
            <w:rStyle w:val="Hyperlink"/>
            <w:noProof/>
          </w:rPr>
          <w:t>Current expenditure on journal subscriptions and open access publishing</w:t>
        </w:r>
        <w:r w:rsidR="000772DF">
          <w:rPr>
            <w:noProof/>
            <w:webHidden/>
          </w:rPr>
          <w:tab/>
        </w:r>
        <w:r w:rsidR="000772DF">
          <w:rPr>
            <w:noProof/>
            <w:webHidden/>
          </w:rPr>
          <w:fldChar w:fldCharType="begin"/>
        </w:r>
        <w:r w:rsidR="000772DF">
          <w:rPr>
            <w:noProof/>
            <w:webHidden/>
          </w:rPr>
          <w:instrText xml:space="preserve"> PAGEREF _Toc87629933 \h </w:instrText>
        </w:r>
        <w:r w:rsidR="000772DF">
          <w:rPr>
            <w:noProof/>
            <w:webHidden/>
          </w:rPr>
        </w:r>
        <w:r w:rsidR="000772DF">
          <w:rPr>
            <w:noProof/>
            <w:webHidden/>
          </w:rPr>
          <w:fldChar w:fldCharType="separate"/>
        </w:r>
        <w:r w:rsidR="003B28D9">
          <w:rPr>
            <w:noProof/>
            <w:webHidden/>
          </w:rPr>
          <w:t>23</w:t>
        </w:r>
        <w:r w:rsidR="000772DF">
          <w:rPr>
            <w:noProof/>
            <w:webHidden/>
          </w:rPr>
          <w:fldChar w:fldCharType="end"/>
        </w:r>
      </w:hyperlink>
    </w:p>
    <w:p w14:paraId="524D19AB" w14:textId="452873F8" w:rsidR="000772DF" w:rsidRDefault="002472C5">
      <w:pPr>
        <w:pStyle w:val="TOC2"/>
        <w:rPr>
          <w:rFonts w:asciiTheme="minorHAnsi" w:eastAsiaTheme="minorEastAsia" w:hAnsiTheme="minorHAnsi" w:cstheme="minorBidi"/>
          <w:color w:val="auto"/>
          <w:sz w:val="22"/>
        </w:rPr>
      </w:pPr>
      <w:hyperlink w:anchor="_Toc87629934" w:history="1">
        <w:r w:rsidR="000772DF" w:rsidRPr="00F91940">
          <w:rPr>
            <w:rStyle w:val="Hyperlink"/>
          </w:rPr>
          <w:t>3</w:t>
        </w:r>
        <w:r w:rsidR="000772DF">
          <w:rPr>
            <w:rFonts w:asciiTheme="minorHAnsi" w:eastAsiaTheme="minorEastAsia" w:hAnsiTheme="minorHAnsi" w:cstheme="minorBidi"/>
            <w:color w:val="auto"/>
            <w:sz w:val="22"/>
          </w:rPr>
          <w:tab/>
        </w:r>
        <w:r w:rsidR="000772DF" w:rsidRPr="00F91940">
          <w:rPr>
            <w:rStyle w:val="Hyperlink"/>
            <w:rFonts w:cstheme="minorHAnsi"/>
          </w:rPr>
          <w:t>A proposed Australian model for open access</w:t>
        </w:r>
        <w:r w:rsidR="000772DF">
          <w:rPr>
            <w:webHidden/>
          </w:rPr>
          <w:tab/>
        </w:r>
        <w:r w:rsidR="000772DF">
          <w:rPr>
            <w:webHidden/>
          </w:rPr>
          <w:fldChar w:fldCharType="begin"/>
        </w:r>
        <w:r w:rsidR="000772DF">
          <w:rPr>
            <w:webHidden/>
          </w:rPr>
          <w:instrText xml:space="preserve"> PAGEREF _Toc87629934 \h </w:instrText>
        </w:r>
        <w:r w:rsidR="000772DF">
          <w:rPr>
            <w:webHidden/>
          </w:rPr>
        </w:r>
        <w:r w:rsidR="000772DF">
          <w:rPr>
            <w:webHidden/>
          </w:rPr>
          <w:fldChar w:fldCharType="separate"/>
        </w:r>
        <w:r w:rsidR="003B28D9">
          <w:rPr>
            <w:webHidden/>
          </w:rPr>
          <w:t>26</w:t>
        </w:r>
        <w:r w:rsidR="000772DF">
          <w:rPr>
            <w:webHidden/>
          </w:rPr>
          <w:fldChar w:fldCharType="end"/>
        </w:r>
      </w:hyperlink>
    </w:p>
    <w:p w14:paraId="72DE8E5C" w14:textId="6CF878DD" w:rsidR="000772DF" w:rsidRDefault="002472C5">
      <w:pPr>
        <w:pStyle w:val="TOC3"/>
        <w:rPr>
          <w:rFonts w:asciiTheme="minorHAnsi" w:eastAsiaTheme="minorEastAsia" w:hAnsiTheme="minorHAnsi" w:cstheme="minorBidi"/>
          <w:noProof/>
          <w:color w:val="auto"/>
          <w:sz w:val="22"/>
        </w:rPr>
      </w:pPr>
      <w:hyperlink w:anchor="_Toc87629935" w:history="1">
        <w:r w:rsidR="000772DF" w:rsidRPr="00F91940">
          <w:rPr>
            <w:rStyle w:val="Hyperlink"/>
            <w:noProof/>
          </w:rPr>
          <w:t>3.1</w:t>
        </w:r>
        <w:r w:rsidR="000772DF">
          <w:rPr>
            <w:rFonts w:asciiTheme="minorHAnsi" w:eastAsiaTheme="minorEastAsia" w:hAnsiTheme="minorHAnsi" w:cstheme="minorBidi"/>
            <w:noProof/>
            <w:color w:val="auto"/>
            <w:sz w:val="22"/>
          </w:rPr>
          <w:tab/>
        </w:r>
        <w:r w:rsidR="000772DF" w:rsidRPr="00F91940">
          <w:rPr>
            <w:rStyle w:val="Hyperlink"/>
            <w:noProof/>
          </w:rPr>
          <w:t>Objectives and principles</w:t>
        </w:r>
        <w:r w:rsidR="000772DF">
          <w:rPr>
            <w:noProof/>
            <w:webHidden/>
          </w:rPr>
          <w:tab/>
        </w:r>
        <w:r w:rsidR="000772DF">
          <w:rPr>
            <w:noProof/>
            <w:webHidden/>
          </w:rPr>
          <w:fldChar w:fldCharType="begin"/>
        </w:r>
        <w:r w:rsidR="000772DF">
          <w:rPr>
            <w:noProof/>
            <w:webHidden/>
          </w:rPr>
          <w:instrText xml:space="preserve"> PAGEREF _Toc87629935 \h </w:instrText>
        </w:r>
        <w:r w:rsidR="000772DF">
          <w:rPr>
            <w:noProof/>
            <w:webHidden/>
          </w:rPr>
        </w:r>
        <w:r w:rsidR="000772DF">
          <w:rPr>
            <w:noProof/>
            <w:webHidden/>
          </w:rPr>
          <w:fldChar w:fldCharType="separate"/>
        </w:r>
        <w:r w:rsidR="003B28D9">
          <w:rPr>
            <w:noProof/>
            <w:webHidden/>
          </w:rPr>
          <w:t>26</w:t>
        </w:r>
        <w:r w:rsidR="000772DF">
          <w:rPr>
            <w:noProof/>
            <w:webHidden/>
          </w:rPr>
          <w:fldChar w:fldCharType="end"/>
        </w:r>
      </w:hyperlink>
    </w:p>
    <w:p w14:paraId="5F084612" w14:textId="67E8A05D" w:rsidR="000772DF" w:rsidRDefault="002472C5">
      <w:pPr>
        <w:pStyle w:val="TOC3"/>
        <w:rPr>
          <w:rFonts w:asciiTheme="minorHAnsi" w:eastAsiaTheme="minorEastAsia" w:hAnsiTheme="minorHAnsi" w:cstheme="minorBidi"/>
          <w:noProof/>
          <w:color w:val="auto"/>
          <w:sz w:val="22"/>
        </w:rPr>
      </w:pPr>
      <w:hyperlink w:anchor="_Toc87629936" w:history="1">
        <w:r w:rsidR="000772DF" w:rsidRPr="00F91940">
          <w:rPr>
            <w:rStyle w:val="Hyperlink"/>
            <w:noProof/>
          </w:rPr>
          <w:t>3.2</w:t>
        </w:r>
        <w:r w:rsidR="000772DF">
          <w:rPr>
            <w:rFonts w:asciiTheme="minorHAnsi" w:eastAsiaTheme="minorEastAsia" w:hAnsiTheme="minorHAnsi" w:cstheme="minorBidi"/>
            <w:noProof/>
            <w:color w:val="auto"/>
            <w:sz w:val="22"/>
          </w:rPr>
          <w:tab/>
        </w:r>
        <w:r w:rsidR="000772DF" w:rsidRPr="00F91940">
          <w:rPr>
            <w:rStyle w:val="Hyperlink"/>
            <w:rFonts w:cstheme="minorHAnsi"/>
            <w:noProof/>
          </w:rPr>
          <w:t>Overview</w:t>
        </w:r>
        <w:r w:rsidR="000772DF">
          <w:rPr>
            <w:noProof/>
            <w:webHidden/>
          </w:rPr>
          <w:tab/>
        </w:r>
        <w:r w:rsidR="000772DF">
          <w:rPr>
            <w:noProof/>
            <w:webHidden/>
          </w:rPr>
          <w:fldChar w:fldCharType="begin"/>
        </w:r>
        <w:r w:rsidR="000772DF">
          <w:rPr>
            <w:noProof/>
            <w:webHidden/>
          </w:rPr>
          <w:instrText xml:space="preserve"> PAGEREF _Toc87629936 \h </w:instrText>
        </w:r>
        <w:r w:rsidR="000772DF">
          <w:rPr>
            <w:noProof/>
            <w:webHidden/>
          </w:rPr>
        </w:r>
        <w:r w:rsidR="000772DF">
          <w:rPr>
            <w:noProof/>
            <w:webHidden/>
          </w:rPr>
          <w:fldChar w:fldCharType="separate"/>
        </w:r>
        <w:r w:rsidR="003B28D9">
          <w:rPr>
            <w:noProof/>
            <w:webHidden/>
          </w:rPr>
          <w:t>26</w:t>
        </w:r>
        <w:r w:rsidR="000772DF">
          <w:rPr>
            <w:noProof/>
            <w:webHidden/>
          </w:rPr>
          <w:fldChar w:fldCharType="end"/>
        </w:r>
      </w:hyperlink>
    </w:p>
    <w:p w14:paraId="5B751B0C" w14:textId="78F593E3" w:rsidR="000772DF" w:rsidRDefault="002472C5">
      <w:pPr>
        <w:pStyle w:val="TOC2"/>
        <w:rPr>
          <w:rFonts w:asciiTheme="minorHAnsi" w:eastAsiaTheme="minorEastAsia" w:hAnsiTheme="minorHAnsi" w:cstheme="minorBidi"/>
          <w:color w:val="auto"/>
          <w:sz w:val="22"/>
        </w:rPr>
      </w:pPr>
      <w:hyperlink w:anchor="_Toc87629937" w:history="1">
        <w:r w:rsidR="000772DF" w:rsidRPr="00F91940">
          <w:rPr>
            <w:rStyle w:val="Hyperlink"/>
          </w:rPr>
          <w:t>4</w:t>
        </w:r>
        <w:r w:rsidR="000772DF">
          <w:rPr>
            <w:rFonts w:asciiTheme="minorHAnsi" w:eastAsiaTheme="minorEastAsia" w:hAnsiTheme="minorHAnsi" w:cstheme="minorBidi"/>
            <w:color w:val="auto"/>
            <w:sz w:val="22"/>
          </w:rPr>
          <w:tab/>
        </w:r>
        <w:r w:rsidR="000772DF" w:rsidRPr="00F91940">
          <w:rPr>
            <w:rStyle w:val="Hyperlink"/>
            <w:rFonts w:cstheme="minorHAnsi"/>
          </w:rPr>
          <w:t>Design considerations</w:t>
        </w:r>
        <w:r w:rsidR="000772DF">
          <w:rPr>
            <w:webHidden/>
          </w:rPr>
          <w:tab/>
        </w:r>
        <w:r w:rsidR="000772DF">
          <w:rPr>
            <w:webHidden/>
          </w:rPr>
          <w:fldChar w:fldCharType="begin"/>
        </w:r>
        <w:r w:rsidR="000772DF">
          <w:rPr>
            <w:webHidden/>
          </w:rPr>
          <w:instrText xml:space="preserve"> PAGEREF _Toc87629937 \h </w:instrText>
        </w:r>
        <w:r w:rsidR="000772DF">
          <w:rPr>
            <w:webHidden/>
          </w:rPr>
        </w:r>
        <w:r w:rsidR="000772DF">
          <w:rPr>
            <w:webHidden/>
          </w:rPr>
          <w:fldChar w:fldCharType="separate"/>
        </w:r>
        <w:r w:rsidR="003B28D9">
          <w:rPr>
            <w:webHidden/>
          </w:rPr>
          <w:t>29</w:t>
        </w:r>
        <w:r w:rsidR="000772DF">
          <w:rPr>
            <w:webHidden/>
          </w:rPr>
          <w:fldChar w:fldCharType="end"/>
        </w:r>
      </w:hyperlink>
    </w:p>
    <w:p w14:paraId="369B7486" w14:textId="3F9DE19E" w:rsidR="000772DF" w:rsidRDefault="002472C5">
      <w:pPr>
        <w:pStyle w:val="TOC3"/>
        <w:rPr>
          <w:rFonts w:asciiTheme="minorHAnsi" w:eastAsiaTheme="minorEastAsia" w:hAnsiTheme="minorHAnsi" w:cstheme="minorBidi"/>
          <w:noProof/>
          <w:color w:val="auto"/>
          <w:sz w:val="22"/>
        </w:rPr>
      </w:pPr>
      <w:hyperlink w:anchor="_Toc87629938" w:history="1">
        <w:r w:rsidR="000772DF" w:rsidRPr="00F91940">
          <w:rPr>
            <w:rStyle w:val="Hyperlink"/>
            <w:rFonts w:eastAsia="Courier New"/>
            <w:noProof/>
          </w:rPr>
          <w:t>4.1</w:t>
        </w:r>
        <w:r w:rsidR="000772DF">
          <w:rPr>
            <w:rFonts w:asciiTheme="minorHAnsi" w:eastAsiaTheme="minorEastAsia" w:hAnsiTheme="minorHAnsi" w:cstheme="minorBidi"/>
            <w:noProof/>
            <w:color w:val="auto"/>
            <w:sz w:val="22"/>
          </w:rPr>
          <w:tab/>
        </w:r>
        <w:r w:rsidR="000772DF" w:rsidRPr="00F91940">
          <w:rPr>
            <w:rStyle w:val="Hyperlink"/>
            <w:rFonts w:eastAsia="Courier New" w:cstheme="minorHAnsi"/>
            <w:noProof/>
          </w:rPr>
          <w:t>Market dynamics and competition</w:t>
        </w:r>
        <w:r w:rsidR="000772DF">
          <w:rPr>
            <w:noProof/>
            <w:webHidden/>
          </w:rPr>
          <w:tab/>
        </w:r>
        <w:r w:rsidR="000772DF">
          <w:rPr>
            <w:noProof/>
            <w:webHidden/>
          </w:rPr>
          <w:fldChar w:fldCharType="begin"/>
        </w:r>
        <w:r w:rsidR="000772DF">
          <w:rPr>
            <w:noProof/>
            <w:webHidden/>
          </w:rPr>
          <w:instrText xml:space="preserve"> PAGEREF _Toc87629938 \h </w:instrText>
        </w:r>
        <w:r w:rsidR="000772DF">
          <w:rPr>
            <w:noProof/>
            <w:webHidden/>
          </w:rPr>
        </w:r>
        <w:r w:rsidR="000772DF">
          <w:rPr>
            <w:noProof/>
            <w:webHidden/>
          </w:rPr>
          <w:fldChar w:fldCharType="separate"/>
        </w:r>
        <w:r w:rsidR="003B28D9">
          <w:rPr>
            <w:noProof/>
            <w:webHidden/>
          </w:rPr>
          <w:t>30</w:t>
        </w:r>
        <w:r w:rsidR="000772DF">
          <w:rPr>
            <w:noProof/>
            <w:webHidden/>
          </w:rPr>
          <w:fldChar w:fldCharType="end"/>
        </w:r>
      </w:hyperlink>
    </w:p>
    <w:p w14:paraId="04D2185E" w14:textId="73453B34" w:rsidR="000772DF" w:rsidRDefault="002472C5">
      <w:pPr>
        <w:pStyle w:val="TOC3"/>
        <w:rPr>
          <w:rFonts w:asciiTheme="minorHAnsi" w:eastAsiaTheme="minorEastAsia" w:hAnsiTheme="minorHAnsi" w:cstheme="minorBidi"/>
          <w:noProof/>
          <w:color w:val="auto"/>
          <w:sz w:val="22"/>
        </w:rPr>
      </w:pPr>
      <w:hyperlink w:anchor="_Toc87629939" w:history="1">
        <w:r w:rsidR="000772DF" w:rsidRPr="00F91940">
          <w:rPr>
            <w:rStyle w:val="Hyperlink"/>
            <w:rFonts w:eastAsia="Courier New"/>
            <w:noProof/>
          </w:rPr>
          <w:t>4.2</w:t>
        </w:r>
        <w:r w:rsidR="000772DF">
          <w:rPr>
            <w:rFonts w:asciiTheme="minorHAnsi" w:eastAsiaTheme="minorEastAsia" w:hAnsiTheme="minorHAnsi" w:cstheme="minorBidi"/>
            <w:noProof/>
            <w:color w:val="auto"/>
            <w:sz w:val="22"/>
          </w:rPr>
          <w:tab/>
        </w:r>
        <w:r w:rsidR="000772DF" w:rsidRPr="00F91940">
          <w:rPr>
            <w:rStyle w:val="Hyperlink"/>
            <w:rFonts w:eastAsia="Courier New" w:cstheme="minorHAnsi"/>
            <w:noProof/>
          </w:rPr>
          <w:t>Funding and affordability</w:t>
        </w:r>
        <w:r w:rsidR="000772DF">
          <w:rPr>
            <w:noProof/>
            <w:webHidden/>
          </w:rPr>
          <w:tab/>
        </w:r>
        <w:r w:rsidR="000772DF">
          <w:rPr>
            <w:noProof/>
            <w:webHidden/>
          </w:rPr>
          <w:fldChar w:fldCharType="begin"/>
        </w:r>
        <w:r w:rsidR="000772DF">
          <w:rPr>
            <w:noProof/>
            <w:webHidden/>
          </w:rPr>
          <w:instrText xml:space="preserve"> PAGEREF _Toc87629939 \h </w:instrText>
        </w:r>
        <w:r w:rsidR="000772DF">
          <w:rPr>
            <w:noProof/>
            <w:webHidden/>
          </w:rPr>
        </w:r>
        <w:r w:rsidR="000772DF">
          <w:rPr>
            <w:noProof/>
            <w:webHidden/>
          </w:rPr>
          <w:fldChar w:fldCharType="separate"/>
        </w:r>
        <w:r w:rsidR="003B28D9">
          <w:rPr>
            <w:noProof/>
            <w:webHidden/>
          </w:rPr>
          <w:t>33</w:t>
        </w:r>
        <w:r w:rsidR="000772DF">
          <w:rPr>
            <w:noProof/>
            <w:webHidden/>
          </w:rPr>
          <w:fldChar w:fldCharType="end"/>
        </w:r>
      </w:hyperlink>
    </w:p>
    <w:p w14:paraId="0AFD7FE8" w14:textId="09335791" w:rsidR="000772DF" w:rsidRDefault="002472C5">
      <w:pPr>
        <w:pStyle w:val="TOC3"/>
        <w:rPr>
          <w:rFonts w:asciiTheme="minorHAnsi" w:eastAsiaTheme="minorEastAsia" w:hAnsiTheme="minorHAnsi" w:cstheme="minorBidi"/>
          <w:noProof/>
          <w:color w:val="auto"/>
          <w:sz w:val="22"/>
        </w:rPr>
      </w:pPr>
      <w:hyperlink w:anchor="_Toc87629940" w:history="1">
        <w:r w:rsidR="000772DF" w:rsidRPr="00F91940">
          <w:rPr>
            <w:rStyle w:val="Hyperlink"/>
            <w:noProof/>
          </w:rPr>
          <w:t>4.3</w:t>
        </w:r>
        <w:r w:rsidR="000772DF">
          <w:rPr>
            <w:rFonts w:asciiTheme="minorHAnsi" w:eastAsiaTheme="minorEastAsia" w:hAnsiTheme="minorHAnsi" w:cstheme="minorBidi"/>
            <w:noProof/>
            <w:color w:val="auto"/>
            <w:sz w:val="22"/>
          </w:rPr>
          <w:tab/>
        </w:r>
        <w:r w:rsidR="000772DF" w:rsidRPr="00F91940">
          <w:rPr>
            <w:rStyle w:val="Hyperlink"/>
            <w:rFonts w:cstheme="minorHAnsi"/>
            <w:noProof/>
          </w:rPr>
          <w:t>Access and impact</w:t>
        </w:r>
        <w:r w:rsidR="000772DF">
          <w:rPr>
            <w:noProof/>
            <w:webHidden/>
          </w:rPr>
          <w:tab/>
        </w:r>
        <w:r w:rsidR="000772DF">
          <w:rPr>
            <w:noProof/>
            <w:webHidden/>
          </w:rPr>
          <w:fldChar w:fldCharType="begin"/>
        </w:r>
        <w:r w:rsidR="000772DF">
          <w:rPr>
            <w:noProof/>
            <w:webHidden/>
          </w:rPr>
          <w:instrText xml:space="preserve"> PAGEREF _Toc87629940 \h </w:instrText>
        </w:r>
        <w:r w:rsidR="000772DF">
          <w:rPr>
            <w:noProof/>
            <w:webHidden/>
          </w:rPr>
        </w:r>
        <w:r w:rsidR="000772DF">
          <w:rPr>
            <w:noProof/>
            <w:webHidden/>
          </w:rPr>
          <w:fldChar w:fldCharType="separate"/>
        </w:r>
        <w:r w:rsidR="003B28D9">
          <w:rPr>
            <w:noProof/>
            <w:webHidden/>
          </w:rPr>
          <w:t>41</w:t>
        </w:r>
        <w:r w:rsidR="000772DF">
          <w:rPr>
            <w:noProof/>
            <w:webHidden/>
          </w:rPr>
          <w:fldChar w:fldCharType="end"/>
        </w:r>
      </w:hyperlink>
    </w:p>
    <w:p w14:paraId="3A208BC6" w14:textId="40D75EE9" w:rsidR="000772DF" w:rsidRDefault="002472C5">
      <w:pPr>
        <w:pStyle w:val="TOC2"/>
        <w:rPr>
          <w:rFonts w:asciiTheme="minorHAnsi" w:eastAsiaTheme="minorEastAsia" w:hAnsiTheme="minorHAnsi" w:cstheme="minorBidi"/>
          <w:color w:val="auto"/>
          <w:sz w:val="22"/>
        </w:rPr>
      </w:pPr>
      <w:hyperlink w:anchor="_Toc87629941" w:history="1">
        <w:r w:rsidR="000772DF" w:rsidRPr="00F91940">
          <w:rPr>
            <w:rStyle w:val="Hyperlink"/>
          </w:rPr>
          <w:t>5</w:t>
        </w:r>
        <w:r w:rsidR="000772DF">
          <w:rPr>
            <w:rFonts w:asciiTheme="minorHAnsi" w:eastAsiaTheme="minorEastAsia" w:hAnsiTheme="minorHAnsi" w:cstheme="minorBidi"/>
            <w:color w:val="auto"/>
            <w:sz w:val="22"/>
          </w:rPr>
          <w:tab/>
        </w:r>
        <w:r w:rsidR="000772DF" w:rsidRPr="00F91940">
          <w:rPr>
            <w:rStyle w:val="Hyperlink"/>
            <w:rFonts w:cstheme="minorHAnsi"/>
          </w:rPr>
          <w:t>The way forward</w:t>
        </w:r>
        <w:r w:rsidR="000772DF">
          <w:rPr>
            <w:webHidden/>
          </w:rPr>
          <w:tab/>
        </w:r>
        <w:r w:rsidR="000772DF">
          <w:rPr>
            <w:webHidden/>
          </w:rPr>
          <w:fldChar w:fldCharType="begin"/>
        </w:r>
        <w:r w:rsidR="000772DF">
          <w:rPr>
            <w:webHidden/>
          </w:rPr>
          <w:instrText xml:space="preserve"> PAGEREF _Toc87629941 \h </w:instrText>
        </w:r>
        <w:r w:rsidR="000772DF">
          <w:rPr>
            <w:webHidden/>
          </w:rPr>
        </w:r>
        <w:r w:rsidR="000772DF">
          <w:rPr>
            <w:webHidden/>
          </w:rPr>
          <w:fldChar w:fldCharType="separate"/>
        </w:r>
        <w:r w:rsidR="003B28D9">
          <w:rPr>
            <w:webHidden/>
          </w:rPr>
          <w:t>48</w:t>
        </w:r>
        <w:r w:rsidR="000772DF">
          <w:rPr>
            <w:webHidden/>
          </w:rPr>
          <w:fldChar w:fldCharType="end"/>
        </w:r>
      </w:hyperlink>
    </w:p>
    <w:p w14:paraId="0D9EF004" w14:textId="31607E9B" w:rsidR="000772DF" w:rsidRDefault="002472C5">
      <w:pPr>
        <w:pStyle w:val="TOC3"/>
        <w:rPr>
          <w:rFonts w:asciiTheme="minorHAnsi" w:eastAsiaTheme="minorEastAsia" w:hAnsiTheme="minorHAnsi" w:cstheme="minorBidi"/>
          <w:noProof/>
          <w:color w:val="auto"/>
          <w:sz w:val="22"/>
        </w:rPr>
      </w:pPr>
      <w:hyperlink w:anchor="_Toc87629942" w:history="1">
        <w:r w:rsidR="000772DF" w:rsidRPr="00F91940">
          <w:rPr>
            <w:rStyle w:val="Hyperlink"/>
            <w:rFonts w:eastAsia="Courier New"/>
            <w:noProof/>
          </w:rPr>
          <w:t>5.1</w:t>
        </w:r>
        <w:r w:rsidR="000772DF">
          <w:rPr>
            <w:rFonts w:asciiTheme="minorHAnsi" w:eastAsiaTheme="minorEastAsia" w:hAnsiTheme="minorHAnsi" w:cstheme="minorBidi"/>
            <w:noProof/>
            <w:color w:val="auto"/>
            <w:sz w:val="22"/>
          </w:rPr>
          <w:tab/>
        </w:r>
        <w:r w:rsidR="000772DF" w:rsidRPr="00F91940">
          <w:rPr>
            <w:rStyle w:val="Hyperlink"/>
            <w:rFonts w:eastAsia="Courier New" w:cstheme="minorHAnsi"/>
            <w:noProof/>
          </w:rPr>
          <w:t>Next steps</w:t>
        </w:r>
        <w:r w:rsidR="000772DF">
          <w:rPr>
            <w:noProof/>
            <w:webHidden/>
          </w:rPr>
          <w:tab/>
        </w:r>
        <w:r w:rsidR="000772DF">
          <w:rPr>
            <w:noProof/>
            <w:webHidden/>
          </w:rPr>
          <w:fldChar w:fldCharType="begin"/>
        </w:r>
        <w:r w:rsidR="000772DF">
          <w:rPr>
            <w:noProof/>
            <w:webHidden/>
          </w:rPr>
          <w:instrText xml:space="preserve"> PAGEREF _Toc87629942 \h </w:instrText>
        </w:r>
        <w:r w:rsidR="000772DF">
          <w:rPr>
            <w:noProof/>
            <w:webHidden/>
          </w:rPr>
        </w:r>
        <w:r w:rsidR="000772DF">
          <w:rPr>
            <w:noProof/>
            <w:webHidden/>
          </w:rPr>
          <w:fldChar w:fldCharType="separate"/>
        </w:r>
        <w:r w:rsidR="003B28D9">
          <w:rPr>
            <w:noProof/>
            <w:webHidden/>
          </w:rPr>
          <w:t>48</w:t>
        </w:r>
        <w:r w:rsidR="000772DF">
          <w:rPr>
            <w:noProof/>
            <w:webHidden/>
          </w:rPr>
          <w:fldChar w:fldCharType="end"/>
        </w:r>
      </w:hyperlink>
    </w:p>
    <w:p w14:paraId="256A8F10" w14:textId="0F1E4352" w:rsidR="000772DF" w:rsidRDefault="002472C5">
      <w:pPr>
        <w:pStyle w:val="TOC3"/>
        <w:rPr>
          <w:rFonts w:asciiTheme="minorHAnsi" w:eastAsiaTheme="minorEastAsia" w:hAnsiTheme="minorHAnsi" w:cstheme="minorBidi"/>
          <w:noProof/>
          <w:color w:val="auto"/>
          <w:sz w:val="22"/>
        </w:rPr>
      </w:pPr>
      <w:hyperlink w:anchor="_Toc87629943" w:history="1">
        <w:r w:rsidR="000772DF" w:rsidRPr="00F91940">
          <w:rPr>
            <w:rStyle w:val="Hyperlink"/>
            <w:rFonts w:eastAsia="Courier New"/>
            <w:noProof/>
          </w:rPr>
          <w:t>5.2</w:t>
        </w:r>
        <w:r w:rsidR="000772DF">
          <w:rPr>
            <w:rFonts w:asciiTheme="minorHAnsi" w:eastAsiaTheme="minorEastAsia" w:hAnsiTheme="minorHAnsi" w:cstheme="minorBidi"/>
            <w:noProof/>
            <w:color w:val="auto"/>
            <w:sz w:val="22"/>
          </w:rPr>
          <w:tab/>
        </w:r>
        <w:r w:rsidR="000772DF" w:rsidRPr="00F91940">
          <w:rPr>
            <w:rStyle w:val="Hyperlink"/>
            <w:rFonts w:eastAsia="Courier New" w:cstheme="minorHAnsi"/>
            <w:noProof/>
          </w:rPr>
          <w:t>Measuring success</w:t>
        </w:r>
        <w:r w:rsidR="000772DF">
          <w:rPr>
            <w:noProof/>
            <w:webHidden/>
          </w:rPr>
          <w:tab/>
        </w:r>
        <w:r w:rsidR="000772DF">
          <w:rPr>
            <w:noProof/>
            <w:webHidden/>
          </w:rPr>
          <w:fldChar w:fldCharType="begin"/>
        </w:r>
        <w:r w:rsidR="000772DF">
          <w:rPr>
            <w:noProof/>
            <w:webHidden/>
          </w:rPr>
          <w:instrText xml:space="preserve"> PAGEREF _Toc87629943 \h </w:instrText>
        </w:r>
        <w:r w:rsidR="000772DF">
          <w:rPr>
            <w:noProof/>
            <w:webHidden/>
          </w:rPr>
        </w:r>
        <w:r w:rsidR="000772DF">
          <w:rPr>
            <w:noProof/>
            <w:webHidden/>
          </w:rPr>
          <w:fldChar w:fldCharType="separate"/>
        </w:r>
        <w:r w:rsidR="003B28D9">
          <w:rPr>
            <w:noProof/>
            <w:webHidden/>
          </w:rPr>
          <w:t>49</w:t>
        </w:r>
        <w:r w:rsidR="000772DF">
          <w:rPr>
            <w:noProof/>
            <w:webHidden/>
          </w:rPr>
          <w:fldChar w:fldCharType="end"/>
        </w:r>
      </w:hyperlink>
    </w:p>
    <w:p w14:paraId="03FF28D7" w14:textId="2874DEFA" w:rsidR="000772DF" w:rsidRDefault="002472C5">
      <w:pPr>
        <w:pStyle w:val="TOC3"/>
        <w:rPr>
          <w:rFonts w:asciiTheme="minorHAnsi" w:eastAsiaTheme="minorEastAsia" w:hAnsiTheme="minorHAnsi" w:cstheme="minorBidi"/>
          <w:noProof/>
          <w:color w:val="auto"/>
          <w:sz w:val="22"/>
        </w:rPr>
      </w:pPr>
      <w:hyperlink w:anchor="_Toc87629944" w:history="1">
        <w:r w:rsidR="000772DF" w:rsidRPr="00F91940">
          <w:rPr>
            <w:rStyle w:val="Hyperlink"/>
            <w:noProof/>
          </w:rPr>
          <w:t>5.3</w:t>
        </w:r>
        <w:r w:rsidR="000772DF">
          <w:rPr>
            <w:rFonts w:asciiTheme="minorHAnsi" w:eastAsiaTheme="minorEastAsia" w:hAnsiTheme="minorHAnsi" w:cstheme="minorBidi"/>
            <w:noProof/>
            <w:color w:val="auto"/>
            <w:sz w:val="22"/>
          </w:rPr>
          <w:tab/>
        </w:r>
        <w:r w:rsidR="000772DF" w:rsidRPr="00F91940">
          <w:rPr>
            <w:rStyle w:val="Hyperlink"/>
            <w:rFonts w:cstheme="minorHAnsi"/>
            <w:noProof/>
          </w:rPr>
          <w:t>Broader considerations</w:t>
        </w:r>
        <w:r w:rsidR="000772DF">
          <w:rPr>
            <w:noProof/>
            <w:webHidden/>
          </w:rPr>
          <w:tab/>
        </w:r>
        <w:r w:rsidR="000772DF">
          <w:rPr>
            <w:noProof/>
            <w:webHidden/>
          </w:rPr>
          <w:fldChar w:fldCharType="begin"/>
        </w:r>
        <w:r w:rsidR="000772DF">
          <w:rPr>
            <w:noProof/>
            <w:webHidden/>
          </w:rPr>
          <w:instrText xml:space="preserve"> PAGEREF _Toc87629944 \h </w:instrText>
        </w:r>
        <w:r w:rsidR="000772DF">
          <w:rPr>
            <w:noProof/>
            <w:webHidden/>
          </w:rPr>
        </w:r>
        <w:r w:rsidR="000772DF">
          <w:rPr>
            <w:noProof/>
            <w:webHidden/>
          </w:rPr>
          <w:fldChar w:fldCharType="separate"/>
        </w:r>
        <w:r w:rsidR="003B28D9">
          <w:rPr>
            <w:noProof/>
            <w:webHidden/>
          </w:rPr>
          <w:t>51</w:t>
        </w:r>
        <w:r w:rsidR="000772DF">
          <w:rPr>
            <w:noProof/>
            <w:webHidden/>
          </w:rPr>
          <w:fldChar w:fldCharType="end"/>
        </w:r>
      </w:hyperlink>
    </w:p>
    <w:p w14:paraId="6ECE7347" w14:textId="5D71C574" w:rsidR="000772DF" w:rsidRDefault="002472C5">
      <w:pPr>
        <w:pStyle w:val="TOC2"/>
        <w:rPr>
          <w:rFonts w:asciiTheme="minorHAnsi" w:eastAsiaTheme="minorEastAsia" w:hAnsiTheme="minorHAnsi" w:cstheme="minorBidi"/>
          <w:color w:val="auto"/>
          <w:sz w:val="22"/>
        </w:rPr>
      </w:pPr>
      <w:hyperlink w:anchor="_Toc87629945" w:history="1">
        <w:r w:rsidR="000772DF" w:rsidRPr="00F91940">
          <w:rPr>
            <w:rStyle w:val="Hyperlink"/>
          </w:rPr>
          <w:t>Appendix A: Consulted organisations</w:t>
        </w:r>
        <w:r w:rsidR="000772DF">
          <w:rPr>
            <w:webHidden/>
          </w:rPr>
          <w:tab/>
        </w:r>
        <w:r w:rsidR="000772DF">
          <w:rPr>
            <w:webHidden/>
          </w:rPr>
          <w:fldChar w:fldCharType="begin"/>
        </w:r>
        <w:r w:rsidR="000772DF">
          <w:rPr>
            <w:webHidden/>
          </w:rPr>
          <w:instrText xml:space="preserve"> PAGEREF _Toc87629945 \h </w:instrText>
        </w:r>
        <w:r w:rsidR="000772DF">
          <w:rPr>
            <w:webHidden/>
          </w:rPr>
        </w:r>
        <w:r w:rsidR="000772DF">
          <w:rPr>
            <w:webHidden/>
          </w:rPr>
          <w:fldChar w:fldCharType="separate"/>
        </w:r>
        <w:r w:rsidR="003B28D9">
          <w:rPr>
            <w:webHidden/>
          </w:rPr>
          <w:t>53</w:t>
        </w:r>
        <w:r w:rsidR="000772DF">
          <w:rPr>
            <w:webHidden/>
          </w:rPr>
          <w:fldChar w:fldCharType="end"/>
        </w:r>
      </w:hyperlink>
    </w:p>
    <w:p w14:paraId="01296D52" w14:textId="1FF08044" w:rsidR="000772DF" w:rsidRDefault="002472C5">
      <w:pPr>
        <w:pStyle w:val="TOC2"/>
        <w:rPr>
          <w:rFonts w:asciiTheme="minorHAnsi" w:eastAsiaTheme="minorEastAsia" w:hAnsiTheme="minorHAnsi" w:cstheme="minorBidi"/>
          <w:color w:val="auto"/>
          <w:sz w:val="22"/>
        </w:rPr>
      </w:pPr>
      <w:hyperlink w:anchor="_Toc87629946" w:history="1">
        <w:r w:rsidR="000772DF" w:rsidRPr="00F91940">
          <w:rPr>
            <w:rStyle w:val="Hyperlink"/>
            <w:rFonts w:cstheme="minorHAnsi"/>
          </w:rPr>
          <w:t>Appendix B: Journal subscription and open access publishing expenditure survey results</w:t>
        </w:r>
        <w:r w:rsidR="000772DF">
          <w:rPr>
            <w:webHidden/>
          </w:rPr>
          <w:tab/>
        </w:r>
        <w:r w:rsidR="000772DF">
          <w:rPr>
            <w:webHidden/>
          </w:rPr>
          <w:fldChar w:fldCharType="begin"/>
        </w:r>
        <w:r w:rsidR="000772DF">
          <w:rPr>
            <w:webHidden/>
          </w:rPr>
          <w:instrText xml:space="preserve"> PAGEREF _Toc87629946 \h </w:instrText>
        </w:r>
        <w:r w:rsidR="000772DF">
          <w:rPr>
            <w:webHidden/>
          </w:rPr>
        </w:r>
        <w:r w:rsidR="000772DF">
          <w:rPr>
            <w:webHidden/>
          </w:rPr>
          <w:fldChar w:fldCharType="separate"/>
        </w:r>
        <w:r w:rsidR="003B28D9">
          <w:rPr>
            <w:webHidden/>
          </w:rPr>
          <w:t>55</w:t>
        </w:r>
        <w:r w:rsidR="000772DF">
          <w:rPr>
            <w:webHidden/>
          </w:rPr>
          <w:fldChar w:fldCharType="end"/>
        </w:r>
      </w:hyperlink>
    </w:p>
    <w:p w14:paraId="1E8B2027" w14:textId="59BFA09C" w:rsidR="000772DF" w:rsidRDefault="002472C5">
      <w:pPr>
        <w:pStyle w:val="TOC2"/>
        <w:rPr>
          <w:rFonts w:asciiTheme="minorHAnsi" w:eastAsiaTheme="minorEastAsia" w:hAnsiTheme="minorHAnsi" w:cstheme="minorBidi"/>
          <w:color w:val="auto"/>
          <w:sz w:val="22"/>
        </w:rPr>
      </w:pPr>
      <w:hyperlink w:anchor="_Toc87629949" w:history="1">
        <w:r w:rsidR="000772DF" w:rsidRPr="00F91940">
          <w:rPr>
            <w:rStyle w:val="Hyperlink"/>
            <w:rFonts w:cstheme="minorHAnsi"/>
          </w:rPr>
          <w:t>Appendix C: Benchmarking costs of the Australian open access model</w:t>
        </w:r>
        <w:r w:rsidR="000772DF">
          <w:rPr>
            <w:webHidden/>
          </w:rPr>
          <w:tab/>
        </w:r>
        <w:r w:rsidR="000772DF">
          <w:rPr>
            <w:webHidden/>
          </w:rPr>
          <w:fldChar w:fldCharType="begin"/>
        </w:r>
        <w:r w:rsidR="000772DF">
          <w:rPr>
            <w:webHidden/>
          </w:rPr>
          <w:instrText xml:space="preserve"> PAGEREF _Toc87629949 \h </w:instrText>
        </w:r>
        <w:r w:rsidR="000772DF">
          <w:rPr>
            <w:webHidden/>
          </w:rPr>
        </w:r>
        <w:r w:rsidR="000772DF">
          <w:rPr>
            <w:webHidden/>
          </w:rPr>
          <w:fldChar w:fldCharType="separate"/>
        </w:r>
        <w:r w:rsidR="003B28D9">
          <w:rPr>
            <w:webHidden/>
          </w:rPr>
          <w:t>60</w:t>
        </w:r>
        <w:r w:rsidR="000772DF">
          <w:rPr>
            <w:webHidden/>
          </w:rPr>
          <w:fldChar w:fldCharType="end"/>
        </w:r>
      </w:hyperlink>
    </w:p>
    <w:p w14:paraId="12442BB6" w14:textId="74C92865" w:rsidR="000772DF" w:rsidRDefault="002472C5">
      <w:pPr>
        <w:pStyle w:val="TOC2"/>
        <w:rPr>
          <w:rFonts w:asciiTheme="minorHAnsi" w:eastAsiaTheme="minorEastAsia" w:hAnsiTheme="minorHAnsi" w:cstheme="minorBidi"/>
          <w:color w:val="auto"/>
          <w:sz w:val="22"/>
        </w:rPr>
      </w:pPr>
      <w:hyperlink w:anchor="_Toc87629952" w:history="1">
        <w:r w:rsidR="000772DF" w:rsidRPr="00F91940">
          <w:rPr>
            <w:rStyle w:val="Hyperlink"/>
            <w:rFonts w:cstheme="minorHAnsi"/>
          </w:rPr>
          <w:t>Appendix D: International context</w:t>
        </w:r>
        <w:r w:rsidR="000772DF">
          <w:rPr>
            <w:webHidden/>
          </w:rPr>
          <w:tab/>
        </w:r>
        <w:r w:rsidR="000772DF">
          <w:rPr>
            <w:webHidden/>
          </w:rPr>
          <w:fldChar w:fldCharType="begin"/>
        </w:r>
        <w:r w:rsidR="000772DF">
          <w:rPr>
            <w:webHidden/>
          </w:rPr>
          <w:instrText xml:space="preserve"> PAGEREF _Toc87629952 \h </w:instrText>
        </w:r>
        <w:r w:rsidR="000772DF">
          <w:rPr>
            <w:webHidden/>
          </w:rPr>
        </w:r>
        <w:r w:rsidR="000772DF">
          <w:rPr>
            <w:webHidden/>
          </w:rPr>
          <w:fldChar w:fldCharType="separate"/>
        </w:r>
        <w:r w:rsidR="003B28D9">
          <w:rPr>
            <w:webHidden/>
          </w:rPr>
          <w:t>63</w:t>
        </w:r>
        <w:r w:rsidR="000772DF">
          <w:rPr>
            <w:webHidden/>
          </w:rPr>
          <w:fldChar w:fldCharType="end"/>
        </w:r>
      </w:hyperlink>
    </w:p>
    <w:p w14:paraId="4393C151" w14:textId="19BBE397" w:rsidR="005E6933" w:rsidRPr="00563DEE" w:rsidRDefault="005E6933" w:rsidP="00A47B69">
      <w:pPr>
        <w:pStyle w:val="TOC2"/>
      </w:pPr>
      <w:r w:rsidRPr="00563DEE">
        <w:fldChar w:fldCharType="end"/>
      </w:r>
    </w:p>
    <w:p w14:paraId="730392DC" w14:textId="77777777" w:rsidR="002D0049" w:rsidRDefault="002D0049">
      <w:pPr>
        <w:spacing w:before="0" w:after="0" w:line="240" w:lineRule="auto"/>
        <w:rPr>
          <w:rFonts w:asciiTheme="minorHAnsi" w:eastAsiaTheme="majorEastAsia" w:hAnsiTheme="minorHAnsi" w:cstheme="minorHAnsi"/>
          <w:bCs/>
          <w:color w:val="757579" w:themeColor="accent3"/>
          <w:sz w:val="44"/>
          <w:szCs w:val="28"/>
        </w:rPr>
      </w:pPr>
      <w:bookmarkStart w:id="2" w:name="_Toc87629926"/>
      <w:r>
        <w:rPr>
          <w:rFonts w:asciiTheme="minorHAnsi" w:hAnsiTheme="minorHAnsi" w:cstheme="minorHAnsi"/>
        </w:rPr>
        <w:br w:type="page"/>
      </w:r>
    </w:p>
    <w:p w14:paraId="508ABEB4" w14:textId="0C214292" w:rsidR="00C455D6" w:rsidRPr="00424A4B" w:rsidRDefault="002D0049" w:rsidP="001673A1">
      <w:pPr>
        <w:pStyle w:val="Heading1notnumbered"/>
        <w:rPr>
          <w:rFonts w:asciiTheme="minorHAnsi" w:hAnsiTheme="minorHAnsi" w:cstheme="minorHAnsi"/>
        </w:rPr>
      </w:pPr>
      <w:r>
        <w:rPr>
          <w:rFonts w:asciiTheme="minorHAnsi" w:hAnsiTheme="minorHAnsi" w:cstheme="minorHAnsi"/>
        </w:rPr>
        <w:lastRenderedPageBreak/>
        <w:t>G</w:t>
      </w:r>
      <w:r w:rsidR="00C455D6" w:rsidRPr="00563DEE">
        <w:rPr>
          <w:rFonts w:asciiTheme="minorHAnsi" w:hAnsiTheme="minorHAnsi" w:cstheme="minorHAnsi"/>
        </w:rPr>
        <w:t>lossary</w:t>
      </w:r>
      <w:bookmarkEnd w:id="2"/>
    </w:p>
    <w:tbl>
      <w:tblPr>
        <w:tblStyle w:val="TableCSIRO"/>
        <w:tblW w:w="0" w:type="auto"/>
        <w:tblLook w:val="04A0" w:firstRow="1" w:lastRow="0" w:firstColumn="1" w:lastColumn="0" w:noHBand="0" w:noVBand="1"/>
      </w:tblPr>
      <w:tblGrid>
        <w:gridCol w:w="2000"/>
        <w:gridCol w:w="7525"/>
      </w:tblGrid>
      <w:tr w:rsidR="004B4893" w:rsidRPr="00C73A6D" w14:paraId="11B4C2A9" w14:textId="77777777" w:rsidTr="003B6F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5C2CEBD" w14:textId="77777777" w:rsidR="00C455D6" w:rsidRPr="00C73A6D" w:rsidRDefault="00C455D6" w:rsidP="00562FE8">
            <w:pPr>
              <w:pStyle w:val="ColumnHeading"/>
            </w:pPr>
            <w:r w:rsidRPr="00C73A6D">
              <w:t>Term</w:t>
            </w:r>
          </w:p>
        </w:tc>
        <w:tc>
          <w:tcPr>
            <w:tcW w:w="0" w:type="auto"/>
          </w:tcPr>
          <w:p w14:paraId="4D821036" w14:textId="77777777" w:rsidR="00C455D6" w:rsidRPr="00C73A6D" w:rsidRDefault="00C455D6" w:rsidP="00562FE8">
            <w:pPr>
              <w:pStyle w:val="ColumnHeading"/>
              <w:cnfStyle w:val="100000000000" w:firstRow="1" w:lastRow="0" w:firstColumn="0" w:lastColumn="0" w:oddVBand="0" w:evenVBand="0" w:oddHBand="0" w:evenHBand="0" w:firstRowFirstColumn="0" w:firstRowLastColumn="0" w:lastRowFirstColumn="0" w:lastRowLastColumn="0"/>
            </w:pPr>
            <w:r w:rsidRPr="00C73A6D">
              <w:t>Definition</w:t>
            </w:r>
          </w:p>
        </w:tc>
      </w:tr>
      <w:tr w:rsidR="004B4893" w:rsidRPr="00C73A6D" w14:paraId="0A0C6E22"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E9C751B" w14:textId="77777777" w:rsidR="00C455D6" w:rsidRPr="00C73A6D" w:rsidRDefault="00C455D6" w:rsidP="00562FE8">
            <w:pPr>
              <w:pStyle w:val="RowHeading"/>
              <w:rPr>
                <w:b/>
              </w:rPr>
            </w:pPr>
            <w:r w:rsidRPr="00C73A6D">
              <w:rPr>
                <w:b/>
              </w:rPr>
              <w:t>APC (Article Processing Charge)</w:t>
            </w:r>
          </w:p>
        </w:tc>
        <w:tc>
          <w:tcPr>
            <w:tcW w:w="0" w:type="auto"/>
          </w:tcPr>
          <w:p w14:paraId="334570FD" w14:textId="77777777"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 xml:space="preserve">A fee charged for articles to be published open access in gold or hybrid journals. </w:t>
            </w:r>
          </w:p>
        </w:tc>
      </w:tr>
      <w:tr w:rsidR="00C455D6" w:rsidRPr="00C73A6D" w14:paraId="58C20A69"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3DF1F5C6" w14:textId="22340E55" w:rsidR="00C455D6" w:rsidRPr="00C73A6D" w:rsidRDefault="00C455D6" w:rsidP="00562FE8">
            <w:pPr>
              <w:pStyle w:val="RowHeading"/>
              <w:rPr>
                <w:b/>
              </w:rPr>
            </w:pPr>
            <w:r w:rsidRPr="00C73A6D">
              <w:rPr>
                <w:b/>
              </w:rPr>
              <w:t xml:space="preserve">Australian </w:t>
            </w:r>
            <w:r>
              <w:rPr>
                <w:b/>
              </w:rPr>
              <w:t>journal article</w:t>
            </w:r>
          </w:p>
        </w:tc>
        <w:tc>
          <w:tcPr>
            <w:tcW w:w="0" w:type="auto"/>
          </w:tcPr>
          <w:p w14:paraId="066E83C7" w14:textId="1EAFFDB9"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Further work is needed to define the criteria by which</w:t>
            </w:r>
            <w:r w:rsidR="003864C0">
              <w:t xml:space="preserve"> a</w:t>
            </w:r>
            <w:r w:rsidRPr="00C73A6D">
              <w:t xml:space="preserve"> </w:t>
            </w:r>
            <w:r>
              <w:t>journal article</w:t>
            </w:r>
            <w:r w:rsidRPr="00C73A6D">
              <w:t xml:space="preserve"> </w:t>
            </w:r>
            <w:r w:rsidR="003864C0">
              <w:t>is</w:t>
            </w:r>
            <w:r w:rsidRPr="00C73A6D">
              <w:t xml:space="preserve"> considered ‘Australian’ for the purposes of </w:t>
            </w:r>
            <w:r>
              <w:t>the proposed</w:t>
            </w:r>
            <w:r w:rsidRPr="00C73A6D">
              <w:t xml:space="preserve"> model. The working definition </w:t>
            </w:r>
            <w:r>
              <w:t>proposed by the Office of the Chief Scientist is that the</w:t>
            </w:r>
            <w:r w:rsidRPr="00C73A6D">
              <w:t xml:space="preserve"> lead author </w:t>
            </w:r>
            <w:r>
              <w:t>must have</w:t>
            </w:r>
            <w:r w:rsidRPr="00C73A6D">
              <w:t xml:space="preserve"> an Australian institution as their primary affiliation. </w:t>
            </w:r>
          </w:p>
        </w:tc>
      </w:tr>
      <w:tr w:rsidR="00C455D6" w:rsidRPr="00C73A6D" w14:paraId="02C7F1C6"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71642ED" w14:textId="77777777" w:rsidR="00C455D6" w:rsidRPr="00C73A6D" w:rsidRDefault="00C455D6" w:rsidP="00562FE8">
            <w:pPr>
              <w:pStyle w:val="RowHeading"/>
              <w:rPr>
                <w:b/>
              </w:rPr>
            </w:pPr>
            <w:r w:rsidRPr="00C73A6D">
              <w:rPr>
                <w:b/>
              </w:rPr>
              <w:t>Australian users</w:t>
            </w:r>
          </w:p>
        </w:tc>
        <w:tc>
          <w:tcPr>
            <w:tcW w:w="0" w:type="auto"/>
          </w:tcPr>
          <w:p w14:paraId="1C123D57" w14:textId="727BFF1B"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End-users eligible to access reading services provided under the proposed model. This includes, but is not limited to, government, academic</w:t>
            </w:r>
            <w:r>
              <w:t>,</w:t>
            </w:r>
            <w:r w:rsidRPr="00C73A6D">
              <w:t xml:space="preserve"> and industry</w:t>
            </w:r>
            <w:r>
              <w:t xml:space="preserve"> and</w:t>
            </w:r>
            <w:r w:rsidRPr="00C73A6D">
              <w:t xml:space="preserve"> public users. Further work is needed to define the criteria by which end-users are considered ‘Australian’ for the purposes of </w:t>
            </w:r>
            <w:r w:rsidR="00573591">
              <w:t>the proposed</w:t>
            </w:r>
            <w:r w:rsidRPr="00C73A6D">
              <w:t xml:space="preserve"> model.</w:t>
            </w:r>
          </w:p>
        </w:tc>
      </w:tr>
      <w:tr w:rsidR="00C455D6" w:rsidRPr="00C73A6D" w14:paraId="31A518A5"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4B92F120" w14:textId="77777777" w:rsidR="00C455D6" w:rsidRPr="00C73A6D" w:rsidRDefault="00C455D6" w:rsidP="00562FE8">
            <w:pPr>
              <w:pStyle w:val="RowHeading"/>
              <w:rPr>
                <w:b/>
              </w:rPr>
            </w:pPr>
            <w:r w:rsidRPr="00C73A6D">
              <w:rPr>
                <w:b/>
              </w:rPr>
              <w:t>Author accepted manuscript</w:t>
            </w:r>
          </w:p>
        </w:tc>
        <w:tc>
          <w:tcPr>
            <w:tcW w:w="0" w:type="auto"/>
          </w:tcPr>
          <w:p w14:paraId="5F393B4E" w14:textId="42D86613"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The edition of a research paper that has successfully undergone peer review and been accepted by a publisher</w:t>
            </w:r>
            <w:r>
              <w:t xml:space="preserve"> but has not yet </w:t>
            </w:r>
            <w:r w:rsidR="00313B66">
              <w:t xml:space="preserve">been through the publisher’s </w:t>
            </w:r>
            <w:r w:rsidR="008137FE">
              <w:t>final copyediting, typesetting</w:t>
            </w:r>
            <w:r w:rsidR="00942ED6">
              <w:t>,</w:t>
            </w:r>
            <w:r w:rsidR="008137FE">
              <w:t xml:space="preserve"> and formatting</w:t>
            </w:r>
            <w:r w:rsidR="000F4D00">
              <w:t xml:space="preserve"> processes</w:t>
            </w:r>
            <w:r w:rsidR="008137FE">
              <w:t>.</w:t>
            </w:r>
          </w:p>
        </w:tc>
      </w:tr>
      <w:tr w:rsidR="00C455D6" w:rsidRPr="00C73A6D" w14:paraId="165BD6A5"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5AF4EB4" w14:textId="77777777" w:rsidR="00C455D6" w:rsidRPr="00C73A6D" w:rsidRDefault="00C455D6" w:rsidP="00562FE8">
            <w:pPr>
              <w:pStyle w:val="RowHeading"/>
              <w:rPr>
                <w:b/>
              </w:rPr>
            </w:pPr>
            <w:r w:rsidRPr="00C73A6D">
              <w:rPr>
                <w:b/>
              </w:rPr>
              <w:t>Bibliodiversity</w:t>
            </w:r>
          </w:p>
        </w:tc>
        <w:tc>
          <w:tcPr>
            <w:tcW w:w="0" w:type="auto"/>
          </w:tcPr>
          <w:p w14:paraId="516B2449" w14:textId="6090AF13"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 xml:space="preserve">The diversity of journals and publishers, services and platforms, funding mechanisms, and evaluation measures in scientific publishing and </w:t>
            </w:r>
            <w:r w:rsidR="00B35681">
              <w:t>academic</w:t>
            </w:r>
            <w:r w:rsidRPr="00C73A6D">
              <w:t xml:space="preserve"> communications.</w:t>
            </w:r>
            <w:r w:rsidRPr="00C73A6D">
              <w:rPr>
                <w:vertAlign w:val="superscript"/>
              </w:rPr>
              <w:footnoteReference w:id="2"/>
            </w:r>
            <w:r w:rsidRPr="00C73A6D">
              <w:t xml:space="preserve"> </w:t>
            </w:r>
          </w:p>
        </w:tc>
      </w:tr>
      <w:tr w:rsidR="00C455D6" w:rsidRPr="00C73A6D" w14:paraId="4DD02E83"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5C462E6A" w14:textId="77777777" w:rsidR="00C455D6" w:rsidRPr="00C73A6D" w:rsidRDefault="00C455D6" w:rsidP="00562FE8">
            <w:pPr>
              <w:pStyle w:val="RowHeading"/>
              <w:rPr>
                <w:b/>
              </w:rPr>
            </w:pPr>
            <w:r w:rsidRPr="00C73A6D">
              <w:rPr>
                <w:b/>
              </w:rPr>
              <w:t xml:space="preserve">CC-BY </w:t>
            </w:r>
            <w:r>
              <w:rPr>
                <w:b/>
              </w:rPr>
              <w:t>(</w:t>
            </w:r>
            <w:r w:rsidRPr="00C36700">
              <w:rPr>
                <w:b/>
              </w:rPr>
              <w:t>Creative Commons Attribution</w:t>
            </w:r>
            <w:r>
              <w:rPr>
                <w:b/>
              </w:rPr>
              <w:t>) license</w:t>
            </w:r>
          </w:p>
        </w:tc>
        <w:tc>
          <w:tcPr>
            <w:tcW w:w="0" w:type="auto"/>
          </w:tcPr>
          <w:p w14:paraId="0B6F7460" w14:textId="040D80B9"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A type of Creative Commons copyright licence that allows others to distribute, adapt, remix</w:t>
            </w:r>
            <w:r>
              <w:t>,</w:t>
            </w:r>
            <w:r w:rsidRPr="00C73A6D">
              <w:t xml:space="preserve"> and build upon an author’s work, as long as the author</w:t>
            </w:r>
            <w:r>
              <w:t xml:space="preserve"> is</w:t>
            </w:r>
            <w:r w:rsidRPr="00C73A6D">
              <w:t xml:space="preserve"> credited for the original creation.</w:t>
            </w:r>
            <w:r w:rsidRPr="00C73A6D">
              <w:rPr>
                <w:vertAlign w:val="superscript"/>
              </w:rPr>
              <w:footnoteReference w:id="3"/>
            </w:r>
            <w:r w:rsidRPr="00C73A6D">
              <w:t xml:space="preserve"> </w:t>
            </w:r>
            <w:r>
              <w:t xml:space="preserve">Other common Creative Commons licenses are defined in Chapter </w:t>
            </w:r>
            <w:r>
              <w:fldChar w:fldCharType="begin"/>
            </w:r>
            <w:r>
              <w:instrText xml:space="preserve"> REF _Ref86407473 \r \h </w:instrText>
            </w:r>
            <w:r>
              <w:fldChar w:fldCharType="separate"/>
            </w:r>
            <w:r w:rsidR="007E283B">
              <w:t>4.3.3</w:t>
            </w:r>
            <w:r>
              <w:fldChar w:fldCharType="end"/>
            </w:r>
            <w:r>
              <w:t>.</w:t>
            </w:r>
          </w:p>
        </w:tc>
      </w:tr>
      <w:tr w:rsidR="00C455D6" w:rsidRPr="00C73A6D" w14:paraId="4FE92F52"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69534CD" w14:textId="0A4F06EF" w:rsidR="00C455D6" w:rsidRPr="00C73A6D" w:rsidRDefault="00C455D6" w:rsidP="00562FE8">
            <w:pPr>
              <w:pStyle w:val="RowHeading"/>
              <w:rPr>
                <w:b/>
              </w:rPr>
            </w:pPr>
            <w:r w:rsidRPr="00C73A6D">
              <w:rPr>
                <w:b/>
              </w:rPr>
              <w:t>Citation</w:t>
            </w:r>
          </w:p>
        </w:tc>
        <w:tc>
          <w:tcPr>
            <w:tcW w:w="0" w:type="auto"/>
          </w:tcPr>
          <w:p w14:paraId="651774D0" w14:textId="77777777"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An attribution of a work of research, indicating where knowledge has been referenced and used by an author. Citations are an indicator of how frequently a piece of work has been used to inform or support other research articles.</w:t>
            </w:r>
          </w:p>
        </w:tc>
      </w:tr>
      <w:tr w:rsidR="00C455D6" w:rsidRPr="00C73A6D" w14:paraId="068542A2"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3FC93BE0" w14:textId="77777777" w:rsidR="00C455D6" w:rsidRPr="00C73A6D" w:rsidRDefault="00C455D6" w:rsidP="00562FE8">
            <w:pPr>
              <w:pStyle w:val="RowHeading"/>
              <w:rPr>
                <w:b/>
                <w:bCs w:val="0"/>
              </w:rPr>
            </w:pPr>
            <w:r w:rsidRPr="00C73A6D">
              <w:rPr>
                <w:b/>
                <w:bCs w:val="0"/>
              </w:rPr>
              <w:t>Diamond open access</w:t>
            </w:r>
          </w:p>
        </w:tc>
        <w:tc>
          <w:tcPr>
            <w:tcW w:w="0" w:type="auto"/>
          </w:tcPr>
          <w:p w14:paraId="260AC71C"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Diamond (aka </w:t>
            </w:r>
            <w:r>
              <w:t>p</w:t>
            </w:r>
            <w:r w:rsidRPr="00C73A6D">
              <w:t>latinum) journals are a subset of gold journals that are free for readers to access and authors to publish in.</w:t>
            </w:r>
            <w:r>
              <w:rPr>
                <w:rStyle w:val="FootnoteReference"/>
              </w:rPr>
              <w:footnoteReference w:id="4"/>
            </w:r>
            <w:r w:rsidRPr="00C73A6D">
              <w:rPr>
                <w:vertAlign w:val="superscript"/>
              </w:rPr>
              <w:t xml:space="preserve"> </w:t>
            </w:r>
            <w:r w:rsidRPr="0064277C">
              <w:t>Diamond journals are typically supported financially by sponsors such as research institutions or professional societies.</w:t>
            </w:r>
            <w:r w:rsidRPr="00C73A6D" w:rsidDel="00BC09E1">
              <w:rPr>
                <w:vertAlign w:val="superscript"/>
              </w:rPr>
              <w:t xml:space="preserve"> </w:t>
            </w:r>
          </w:p>
        </w:tc>
      </w:tr>
      <w:tr w:rsidR="00C455D6" w:rsidRPr="00C73A6D" w14:paraId="7D260F81"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15A02F0" w14:textId="3F8EFC69" w:rsidR="00C455D6" w:rsidRPr="00C73A6D" w:rsidRDefault="00C455D6" w:rsidP="00562FE8">
            <w:pPr>
              <w:pStyle w:val="RowHeading"/>
              <w:rPr>
                <w:b/>
              </w:rPr>
            </w:pPr>
            <w:r w:rsidRPr="00C73A6D">
              <w:rPr>
                <w:b/>
              </w:rPr>
              <w:t>Embargo</w:t>
            </w:r>
            <w:r w:rsidR="007A63FE">
              <w:rPr>
                <w:b/>
              </w:rPr>
              <w:t xml:space="preserve"> period</w:t>
            </w:r>
          </w:p>
        </w:tc>
        <w:tc>
          <w:tcPr>
            <w:tcW w:w="0" w:type="auto"/>
          </w:tcPr>
          <w:p w14:paraId="352F92F8" w14:textId="57CF8431"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A publisher restriction on the public release of an author accepted manuscript. The embargo period must be followed for author accepted manuscripts deposited into a repository. The length of an embargo</w:t>
            </w:r>
            <w:r w:rsidR="007A63FE">
              <w:t xml:space="preserve"> period</w:t>
            </w:r>
            <w:r w:rsidRPr="00C73A6D">
              <w:t xml:space="preserve"> can differ according to funding sources, subjects, and publishers.</w:t>
            </w:r>
            <w:r w:rsidRPr="00C73A6D">
              <w:rPr>
                <w:vertAlign w:val="superscript"/>
              </w:rPr>
              <w:footnoteReference w:id="5"/>
            </w:r>
          </w:p>
        </w:tc>
      </w:tr>
      <w:tr w:rsidR="00C455D6" w:rsidRPr="00C73A6D" w14:paraId="7810AD65"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382DB8C8" w14:textId="77777777" w:rsidR="00C455D6" w:rsidRPr="00C73A6D" w:rsidRDefault="00C455D6" w:rsidP="00562FE8">
            <w:pPr>
              <w:pStyle w:val="RowHeading"/>
              <w:rPr>
                <w:b/>
              </w:rPr>
            </w:pPr>
            <w:r w:rsidRPr="00C73A6D">
              <w:rPr>
                <w:b/>
              </w:rPr>
              <w:t>ERA (Excellence in Research for Australia)</w:t>
            </w:r>
          </w:p>
        </w:tc>
        <w:tc>
          <w:tcPr>
            <w:tcW w:w="0" w:type="auto"/>
          </w:tcPr>
          <w:p w14:paraId="4D16A04E"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Australia’s national research evaluation framework used to recognise and promote excellence across the full range of research activity from Australia’s higher education institutions.</w:t>
            </w:r>
            <w:r w:rsidRPr="00C73A6D">
              <w:rPr>
                <w:vertAlign w:val="superscript"/>
              </w:rPr>
              <w:footnoteReference w:id="6"/>
            </w:r>
            <w:r w:rsidRPr="00C73A6D">
              <w:t xml:space="preserve">  </w:t>
            </w:r>
          </w:p>
        </w:tc>
      </w:tr>
      <w:tr w:rsidR="00C455D6" w:rsidRPr="00C73A6D" w14:paraId="205F0F12"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2D8EC76" w14:textId="77777777" w:rsidR="00C455D6" w:rsidRPr="00C73A6D" w:rsidRDefault="00C455D6" w:rsidP="00562FE8">
            <w:pPr>
              <w:pStyle w:val="RowHeading"/>
              <w:rPr>
                <w:b/>
              </w:rPr>
            </w:pPr>
            <w:r w:rsidRPr="00C73A6D">
              <w:rPr>
                <w:b/>
              </w:rPr>
              <w:lastRenderedPageBreak/>
              <w:t>Fee waiver</w:t>
            </w:r>
          </w:p>
        </w:tc>
        <w:tc>
          <w:tcPr>
            <w:tcW w:w="0" w:type="auto"/>
          </w:tcPr>
          <w:p w14:paraId="46F42C94" w14:textId="77777777"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 xml:space="preserve">Publishers may </w:t>
            </w:r>
            <w:r>
              <w:t>elect not to charge</w:t>
            </w:r>
            <w:r w:rsidRPr="00C73A6D">
              <w:t xml:space="preserve"> article publishing charges for authors and organisations who meet certain criteria.</w:t>
            </w:r>
            <w:r w:rsidRPr="00C73A6D">
              <w:rPr>
                <w:vertAlign w:val="superscript"/>
              </w:rPr>
              <w:footnoteReference w:id="7"/>
            </w:r>
          </w:p>
        </w:tc>
      </w:tr>
      <w:tr w:rsidR="00C455D6" w:rsidRPr="00C73A6D" w14:paraId="683654CC"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79D1EF31" w14:textId="77777777" w:rsidR="00C455D6" w:rsidRPr="00C73A6D" w:rsidRDefault="00C455D6" w:rsidP="00562FE8">
            <w:pPr>
              <w:pStyle w:val="RowHeading"/>
              <w:rPr>
                <w:b/>
              </w:rPr>
            </w:pPr>
            <w:r w:rsidRPr="00C73A6D">
              <w:rPr>
                <w:b/>
              </w:rPr>
              <w:t xml:space="preserve">Gold open access </w:t>
            </w:r>
          </w:p>
        </w:tc>
        <w:tc>
          <w:tcPr>
            <w:tcW w:w="0" w:type="auto"/>
          </w:tcPr>
          <w:p w14:paraId="05D219D9" w14:textId="7524629A"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In a gold </w:t>
            </w:r>
            <w:r w:rsidR="00CD37B9" w:rsidRPr="00C73A6D">
              <w:t xml:space="preserve">journal </w:t>
            </w:r>
            <w:r>
              <w:t>model,</w:t>
            </w:r>
            <w:r w:rsidRPr="00C73A6D">
              <w:t xml:space="preserve"> all articles are published </w:t>
            </w:r>
            <w:r w:rsidR="00CD37B9">
              <w:t>as open access.</w:t>
            </w:r>
            <w:r w:rsidR="007E5BF6" w:rsidRPr="007D35E9" w:rsidDel="007E5BF6">
              <w:rPr>
                <w:rStyle w:val="FootnoteReference"/>
                <w:rFonts w:cstheme="minorHAnsi"/>
              </w:rPr>
              <w:t xml:space="preserve"> </w:t>
            </w:r>
            <w:r w:rsidRPr="00C73A6D">
              <w:t xml:space="preserve"> There are some discrepancies </w:t>
            </w:r>
            <w:r>
              <w:t xml:space="preserve">about how this term is </w:t>
            </w:r>
            <w:r w:rsidRPr="00C73A6D">
              <w:t>used.</w:t>
            </w:r>
            <w:r w:rsidRPr="00C73A6D">
              <w:rPr>
                <w:vertAlign w:val="superscript"/>
              </w:rPr>
              <w:footnoteReference w:id="8"/>
            </w:r>
            <w:r w:rsidRPr="00C73A6D">
              <w:t xml:space="preserve"> </w:t>
            </w:r>
          </w:p>
        </w:tc>
      </w:tr>
      <w:tr w:rsidR="00C455D6" w:rsidRPr="00C73A6D" w14:paraId="018ECA6D"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7601471" w14:textId="77777777" w:rsidR="00C455D6" w:rsidRPr="00C73A6D" w:rsidRDefault="00C455D6" w:rsidP="00562FE8">
            <w:pPr>
              <w:pStyle w:val="RowHeading"/>
              <w:rPr>
                <w:b/>
              </w:rPr>
            </w:pPr>
            <w:r w:rsidRPr="00C73A6D">
              <w:rPr>
                <w:b/>
              </w:rPr>
              <w:t>Green open access</w:t>
            </w:r>
          </w:p>
        </w:tc>
        <w:tc>
          <w:tcPr>
            <w:tcW w:w="0" w:type="auto"/>
          </w:tcPr>
          <w:p w14:paraId="0BFCEFF9" w14:textId="77777777"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 xml:space="preserve">In a green </w:t>
            </w:r>
            <w:r>
              <w:t>open access</w:t>
            </w:r>
            <w:r w:rsidRPr="00C73A6D">
              <w:t xml:space="preserve"> model, either a pre- or post-print version of an article is made freely accessible in a repository,</w:t>
            </w:r>
            <w:r w:rsidRPr="00C73A6D">
              <w:rPr>
                <w:vertAlign w:val="superscript"/>
              </w:rPr>
              <w:footnoteReference w:id="9"/>
            </w:r>
            <w:r w:rsidRPr="00C73A6D">
              <w:t xml:space="preserve"> and authors retain the right to reuse their article.</w:t>
            </w:r>
            <w:r w:rsidRPr="00C73A6D">
              <w:rPr>
                <w:vertAlign w:val="superscript"/>
              </w:rPr>
              <w:footnoteReference w:id="10"/>
            </w:r>
            <w:r w:rsidRPr="00C73A6D">
              <w:t xml:space="preserve"> Publisher agreements typically require an embargo period of up to 12 months before the article can be archived in a repository.</w:t>
            </w:r>
            <w:r w:rsidRPr="00C73A6D" w:rsidDel="00D06349">
              <w:t xml:space="preserve"> </w:t>
            </w:r>
          </w:p>
        </w:tc>
      </w:tr>
      <w:tr w:rsidR="00C455D6" w:rsidRPr="00C73A6D" w14:paraId="2A16DFDF"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5DF85618" w14:textId="77777777" w:rsidR="00C455D6" w:rsidRPr="00C73A6D" w:rsidRDefault="00C455D6" w:rsidP="00562FE8">
            <w:pPr>
              <w:pStyle w:val="RowHeading"/>
              <w:rPr>
                <w:b/>
              </w:rPr>
            </w:pPr>
            <w:r w:rsidRPr="00C73A6D">
              <w:rPr>
                <w:b/>
              </w:rPr>
              <w:t>Hybrid open access</w:t>
            </w:r>
          </w:p>
        </w:tc>
        <w:tc>
          <w:tcPr>
            <w:tcW w:w="0" w:type="auto"/>
          </w:tcPr>
          <w:p w14:paraId="1B0BADCA" w14:textId="10FC728D"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In a hybrid journal model, </w:t>
            </w:r>
            <w:r w:rsidR="00393682">
              <w:t xml:space="preserve">the author(s) of a journal article may pay </w:t>
            </w:r>
            <w:r w:rsidRPr="00C73A6D">
              <w:t xml:space="preserve">an optional APC to the publisher </w:t>
            </w:r>
            <w:r w:rsidR="00393682">
              <w:t>for the author</w:t>
            </w:r>
            <w:r w:rsidR="0080579C">
              <w:t>(s)</w:t>
            </w:r>
            <w:r w:rsidR="00393682" w:rsidRPr="007D35E9">
              <w:t xml:space="preserve"> </w:t>
            </w:r>
            <w:r w:rsidRPr="00C73A6D">
              <w:t xml:space="preserve">to retain copyright and </w:t>
            </w:r>
            <w:r w:rsidR="00393682">
              <w:t>their journal article to be</w:t>
            </w:r>
            <w:r w:rsidR="00393682" w:rsidRPr="007D35E9">
              <w:t xml:space="preserve"> publish</w:t>
            </w:r>
            <w:r w:rsidR="00393682">
              <w:t>ed</w:t>
            </w:r>
            <w:r w:rsidRPr="00C73A6D">
              <w:t xml:space="preserve"> as open access in a </w:t>
            </w:r>
            <w:r w:rsidR="00393682">
              <w:t>journal that is generally</w:t>
            </w:r>
            <w:r w:rsidRPr="00C73A6D">
              <w:t xml:space="preserve"> paywalled.</w:t>
            </w:r>
            <w:r w:rsidRPr="007D35E9">
              <w:rPr>
                <w:rStyle w:val="FootnoteReference"/>
                <w:rFonts w:cstheme="minorHAnsi"/>
              </w:rPr>
              <w:footnoteReference w:id="11"/>
            </w:r>
            <w:r w:rsidRPr="00C73A6D">
              <w:t xml:space="preserve"> </w:t>
            </w:r>
          </w:p>
        </w:tc>
      </w:tr>
      <w:tr w:rsidR="00C455D6" w:rsidRPr="00C73A6D" w14:paraId="2DA5CAD1"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A973E69" w14:textId="77777777" w:rsidR="00C455D6" w:rsidRPr="00C73A6D" w:rsidRDefault="00C455D6" w:rsidP="00562FE8">
            <w:pPr>
              <w:pStyle w:val="RowHeading"/>
              <w:rPr>
                <w:b/>
              </w:rPr>
            </w:pPr>
            <w:r w:rsidRPr="00C73A6D">
              <w:rPr>
                <w:b/>
              </w:rPr>
              <w:t>Implementation body</w:t>
            </w:r>
          </w:p>
        </w:tc>
        <w:tc>
          <w:tcPr>
            <w:tcW w:w="0" w:type="auto"/>
          </w:tcPr>
          <w:p w14:paraId="2742182A" w14:textId="39ABD7FE"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t xml:space="preserve">A potential body that could be </w:t>
            </w:r>
            <w:r w:rsidR="004E790A">
              <w:t xml:space="preserve">nominated or </w:t>
            </w:r>
            <w:r>
              <w:t>established by the Australian Government</w:t>
            </w:r>
            <w:r w:rsidRPr="00C73A6D">
              <w:t xml:space="preserve"> to implement </w:t>
            </w:r>
            <w:r>
              <w:t>the proposed model.</w:t>
            </w:r>
            <w:r w:rsidRPr="00C73A6D">
              <w:t xml:space="preserve"> Further consideration will be needed for the governance model used by the implementation body.</w:t>
            </w:r>
          </w:p>
        </w:tc>
      </w:tr>
      <w:tr w:rsidR="00C455D6" w:rsidRPr="00C73A6D" w14:paraId="1204A39E"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4C62794F" w14:textId="77777777" w:rsidR="00C455D6" w:rsidRPr="00C73A6D" w:rsidRDefault="00C455D6" w:rsidP="00562FE8">
            <w:pPr>
              <w:pStyle w:val="RowHeading"/>
              <w:rPr>
                <w:b/>
              </w:rPr>
            </w:pPr>
            <w:r w:rsidRPr="00C73A6D">
              <w:rPr>
                <w:b/>
              </w:rPr>
              <w:t>Journal</w:t>
            </w:r>
          </w:p>
        </w:tc>
        <w:tc>
          <w:tcPr>
            <w:tcW w:w="0" w:type="auto"/>
          </w:tcPr>
          <w:p w14:paraId="78D4AD2E"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A periodical publication, operated by a publisher, in which research articles and other research outputs are published. </w:t>
            </w:r>
          </w:p>
        </w:tc>
      </w:tr>
      <w:tr w:rsidR="00315769" w:rsidRPr="00315769" w14:paraId="6DA933C7"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3E30225" w14:textId="77777777" w:rsidR="00315769" w:rsidRPr="00EF193A" w:rsidRDefault="00315769" w:rsidP="00F96914">
            <w:pPr>
              <w:pStyle w:val="RowHeading"/>
              <w:rPr>
                <w:b/>
                <w:bCs w:val="0"/>
              </w:rPr>
            </w:pPr>
            <w:r w:rsidRPr="00EF193A">
              <w:rPr>
                <w:b/>
                <w:bCs w:val="0"/>
              </w:rPr>
              <w:t>Journal article</w:t>
            </w:r>
          </w:p>
        </w:tc>
        <w:tc>
          <w:tcPr>
            <w:tcW w:w="0" w:type="auto"/>
          </w:tcPr>
          <w:p w14:paraId="56D61324" w14:textId="77777777" w:rsidR="00315769" w:rsidRPr="00EF193A" w:rsidRDefault="00315769" w:rsidP="00F96914">
            <w:pPr>
              <w:pStyle w:val="TableText"/>
              <w:cnfStyle w:val="000000100000" w:firstRow="0" w:lastRow="0" w:firstColumn="0" w:lastColumn="0" w:oddVBand="0" w:evenVBand="0" w:oddHBand="1" w:evenHBand="0" w:firstRowFirstColumn="0" w:firstRowLastColumn="0" w:lastRowFirstColumn="0" w:lastRowLastColumn="0"/>
            </w:pPr>
            <w:r w:rsidRPr="00EF193A">
              <w:t>A written document that describes knowledge or ideas derived from research and analysis. In this report, ‘journal articles’ refer to those journal articles that are published in peer-reviewed academic journals.</w:t>
            </w:r>
          </w:p>
        </w:tc>
      </w:tr>
      <w:tr w:rsidR="003B6F44" w:rsidRPr="00C73A6D" w14:paraId="29B63DE2"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4A553638" w14:textId="727D56C4" w:rsidR="00C455D6" w:rsidRPr="00C73A6D" w:rsidRDefault="00C455D6" w:rsidP="00562FE8">
            <w:pPr>
              <w:pStyle w:val="RowHeading"/>
              <w:rPr>
                <w:b/>
              </w:rPr>
            </w:pPr>
            <w:r w:rsidRPr="00C73A6D">
              <w:rPr>
                <w:b/>
              </w:rPr>
              <w:t>Learned societ</w:t>
            </w:r>
            <w:r w:rsidR="00EF193A">
              <w:rPr>
                <w:b/>
              </w:rPr>
              <w:t>y</w:t>
            </w:r>
          </w:p>
        </w:tc>
        <w:tc>
          <w:tcPr>
            <w:tcW w:w="0" w:type="auto"/>
          </w:tcPr>
          <w:p w14:paraId="420DE27A" w14:textId="228F7F06" w:rsidR="00C455D6" w:rsidRPr="00C73A6D" w:rsidRDefault="00EF193A" w:rsidP="00562FE8">
            <w:pPr>
              <w:pStyle w:val="TableText"/>
              <w:cnfStyle w:val="000000000000" w:firstRow="0" w:lastRow="0" w:firstColumn="0" w:lastColumn="0" w:oddVBand="0" w:evenVBand="0" w:oddHBand="0" w:evenHBand="0" w:firstRowFirstColumn="0" w:firstRowLastColumn="0" w:lastRowFirstColumn="0" w:lastRowLastColumn="0"/>
            </w:pPr>
            <w:r>
              <w:t>A v</w:t>
            </w:r>
            <w:r w:rsidR="00C455D6" w:rsidRPr="00C73A6D">
              <w:t>oluntary organisation dedicated to scholarship and research, often focused on a particular discipl</w:t>
            </w:r>
            <w:r w:rsidR="00E95208">
              <w:t>in</w:t>
            </w:r>
            <w:r w:rsidR="00C455D6" w:rsidRPr="00C73A6D">
              <w:t xml:space="preserve">e. Most societies are </w:t>
            </w:r>
            <w:r w:rsidR="00315769">
              <w:t>funded</w:t>
            </w:r>
            <w:r w:rsidR="00C455D6" w:rsidRPr="00C73A6D">
              <w:t xml:space="preserve"> through membership fees, </w:t>
            </w:r>
            <w:r w:rsidR="00315769">
              <w:t>event</w:t>
            </w:r>
            <w:r w:rsidR="00C455D6" w:rsidRPr="00C73A6D">
              <w:t xml:space="preserve"> registration</w:t>
            </w:r>
            <w:r w:rsidR="00315769">
              <w:t xml:space="preserve"> fees</w:t>
            </w:r>
            <w:r w:rsidR="00C455D6" w:rsidRPr="00C73A6D">
              <w:t>, revenue from publications, and donations.</w:t>
            </w:r>
            <w:r w:rsidR="00C455D6" w:rsidRPr="00C73A6D">
              <w:rPr>
                <w:vertAlign w:val="superscript"/>
              </w:rPr>
              <w:footnoteReference w:id="12"/>
            </w:r>
            <w:r w:rsidR="00C455D6" w:rsidRPr="00C73A6D">
              <w:t xml:space="preserve"> </w:t>
            </w:r>
          </w:p>
        </w:tc>
      </w:tr>
      <w:tr w:rsidR="00C455D6" w:rsidRPr="00C73A6D" w14:paraId="5362A510"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F70DF97" w14:textId="77777777" w:rsidR="00C455D6" w:rsidRPr="00C73A6D" w:rsidRDefault="00C455D6" w:rsidP="00562FE8">
            <w:pPr>
              <w:pStyle w:val="RowHeading"/>
              <w:rPr>
                <w:b/>
              </w:rPr>
            </w:pPr>
            <w:r w:rsidRPr="00C73A6D">
              <w:rPr>
                <w:b/>
              </w:rPr>
              <w:t>Open access</w:t>
            </w:r>
          </w:p>
        </w:tc>
        <w:tc>
          <w:tcPr>
            <w:tcW w:w="0" w:type="auto"/>
          </w:tcPr>
          <w:p w14:paraId="383E918D" w14:textId="671FA79E" w:rsidR="00C455D6" w:rsidRPr="00C73A6D" w:rsidRDefault="00CA6750" w:rsidP="00562FE8">
            <w:pPr>
              <w:pStyle w:val="TableText"/>
              <w:cnfStyle w:val="000000100000" w:firstRow="0" w:lastRow="0" w:firstColumn="0" w:lastColumn="0" w:oddVBand="0" w:evenVBand="0" w:oddHBand="1" w:evenHBand="0" w:firstRowFirstColumn="0" w:firstRowLastColumn="0" w:lastRowFirstColumn="0" w:lastRowLastColumn="0"/>
            </w:pPr>
            <w:r>
              <w:t>Literature that</w:t>
            </w:r>
            <w:r w:rsidR="004A5F0C">
              <w:t xml:space="preserve"> is freely available on the public internet,</w:t>
            </w:r>
            <w:r w:rsidR="009B09FE">
              <w:t xml:space="preserve"> </w:t>
            </w:r>
            <w:r w:rsidR="001400F6">
              <w:t>where</w:t>
            </w:r>
            <w:r w:rsidR="009B09FE">
              <w:t xml:space="preserve"> </w:t>
            </w:r>
            <w:r w:rsidR="004A5F0C">
              <w:t>any user</w:t>
            </w:r>
            <w:r w:rsidR="009B09FE">
              <w:t xml:space="preserve"> </w:t>
            </w:r>
            <w:r w:rsidR="001400F6">
              <w:t xml:space="preserve">is </w:t>
            </w:r>
            <w:r w:rsidR="004A5F0C">
              <w:t>permitted to read, download, copy, distribute</w:t>
            </w:r>
            <w:r w:rsidR="001400F6">
              <w:t>,</w:t>
            </w:r>
            <w:r w:rsidR="004A5F0C">
              <w:t xml:space="preserve"> print, search or lin</w:t>
            </w:r>
            <w:r w:rsidR="009B09FE">
              <w:t>k</w:t>
            </w:r>
            <w:r w:rsidR="004A5F0C">
              <w:t xml:space="preserve"> to the </w:t>
            </w:r>
            <w:r w:rsidR="00FC688F">
              <w:t xml:space="preserve">full texts of these articles, pass them as data to software, crawl them for </w:t>
            </w:r>
            <w:r w:rsidR="009B09FE">
              <w:t>indexing</w:t>
            </w:r>
            <w:r w:rsidR="00FC688F">
              <w:t xml:space="preserve"> or use them for any other lawful purpose.</w:t>
            </w:r>
            <w:r w:rsidR="0007173D">
              <w:rPr>
                <w:rStyle w:val="FootnoteReference"/>
              </w:rPr>
              <w:footnoteReference w:id="13"/>
            </w:r>
            <w:r w:rsidR="00563A63">
              <w:t xml:space="preserve"> </w:t>
            </w:r>
          </w:p>
        </w:tc>
      </w:tr>
      <w:tr w:rsidR="00C455D6" w:rsidRPr="00C73A6D" w14:paraId="4BAA7BCD"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0A6344A9" w14:textId="77777777" w:rsidR="00C455D6" w:rsidRPr="00C73A6D" w:rsidRDefault="00C455D6" w:rsidP="00562FE8">
            <w:pPr>
              <w:pStyle w:val="RowHeading"/>
              <w:rPr>
                <w:b/>
              </w:rPr>
            </w:pPr>
            <w:r w:rsidRPr="00C73A6D">
              <w:rPr>
                <w:b/>
              </w:rPr>
              <w:t>Open data</w:t>
            </w:r>
          </w:p>
        </w:tc>
        <w:tc>
          <w:tcPr>
            <w:tcW w:w="0" w:type="auto"/>
          </w:tcPr>
          <w:p w14:paraId="1D4DC5D0" w14:textId="5F1004A4"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t>F</w:t>
            </w:r>
            <w:r w:rsidRPr="00C73A6D">
              <w:t>reely available, anonymous, and easily discoverable information that anyone can assess, explore, and reuse. The data must be provided under licensing terms that allow reuse and redistribution.</w:t>
            </w:r>
            <w:r w:rsidRPr="00C73A6D">
              <w:rPr>
                <w:vertAlign w:val="superscript"/>
              </w:rPr>
              <w:footnoteReference w:id="14"/>
            </w:r>
            <w:r w:rsidRPr="00C73A6D">
              <w:t xml:space="preserve"> </w:t>
            </w:r>
          </w:p>
        </w:tc>
      </w:tr>
      <w:tr w:rsidR="00C455D6" w:rsidRPr="00C73A6D" w14:paraId="4E146BA1"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665C4D00" w14:textId="77777777" w:rsidR="00C455D6" w:rsidRPr="00C73A6D" w:rsidRDefault="00C455D6" w:rsidP="00562FE8">
            <w:pPr>
              <w:pStyle w:val="RowHeading"/>
              <w:rPr>
                <w:b/>
              </w:rPr>
            </w:pPr>
            <w:r w:rsidRPr="00C73A6D">
              <w:rPr>
                <w:b/>
              </w:rPr>
              <w:lastRenderedPageBreak/>
              <w:t>Open science</w:t>
            </w:r>
          </w:p>
        </w:tc>
        <w:tc>
          <w:tcPr>
            <w:tcW w:w="0" w:type="auto"/>
          </w:tcPr>
          <w:p w14:paraId="7E02D78E" w14:textId="77777777"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A movement to improve science by opening scientific processes and products to everyone. Open science affects the entire research cycle and its stakeholders by changing the way research is performed, science is organised, researchers collaborate, and knowledge is shared.</w:t>
            </w:r>
            <w:r w:rsidRPr="00C73A6D">
              <w:rPr>
                <w:vertAlign w:val="superscript"/>
              </w:rPr>
              <w:footnoteReference w:id="15"/>
            </w:r>
            <w:r w:rsidRPr="00C73A6D">
              <w:t xml:space="preserve"> </w:t>
            </w:r>
            <w:r>
              <w:t xml:space="preserve">Open access and open data are elements of open science. </w:t>
            </w:r>
          </w:p>
        </w:tc>
      </w:tr>
      <w:tr w:rsidR="00C455D6" w:rsidRPr="00C73A6D" w14:paraId="21B25B5E"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0071E1E0" w14:textId="77777777" w:rsidR="00C455D6" w:rsidRPr="00C73A6D" w:rsidRDefault="00C455D6" w:rsidP="00562FE8">
            <w:pPr>
              <w:pStyle w:val="RowHeading"/>
              <w:rPr>
                <w:b/>
              </w:rPr>
            </w:pPr>
            <w:r w:rsidRPr="00C73A6D">
              <w:rPr>
                <w:b/>
              </w:rPr>
              <w:t>Paywall</w:t>
            </w:r>
          </w:p>
        </w:tc>
        <w:tc>
          <w:tcPr>
            <w:tcW w:w="0" w:type="auto"/>
          </w:tcPr>
          <w:p w14:paraId="2BF2EE72"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t>A</w:t>
            </w:r>
            <w:r w:rsidRPr="00C73A6D">
              <w:t xml:space="preserve"> mechanism to restrict access to </w:t>
            </w:r>
            <w:r>
              <w:t xml:space="preserve">journal </w:t>
            </w:r>
            <w:r w:rsidRPr="00C73A6D">
              <w:t>articles without payment of a subscription or per-article fee.</w:t>
            </w:r>
            <w:r>
              <w:t xml:space="preserve"> Journal articles are traditionally paywalled in traditional academic publishing. </w:t>
            </w:r>
          </w:p>
        </w:tc>
      </w:tr>
      <w:tr w:rsidR="00C455D6" w:rsidRPr="00C73A6D" w14:paraId="4A36215C"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267DCDB" w14:textId="77777777" w:rsidR="00C455D6" w:rsidRPr="00C73A6D" w:rsidRDefault="00C455D6" w:rsidP="00562FE8">
            <w:pPr>
              <w:pStyle w:val="RowHeading"/>
              <w:rPr>
                <w:b/>
              </w:rPr>
            </w:pPr>
            <w:r w:rsidRPr="00C73A6D">
              <w:rPr>
                <w:b/>
              </w:rPr>
              <w:t>Peer review</w:t>
            </w:r>
          </w:p>
        </w:tc>
        <w:tc>
          <w:tcPr>
            <w:tcW w:w="0" w:type="auto"/>
          </w:tcPr>
          <w:p w14:paraId="7590AC7D" w14:textId="2466745A"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The process in which articles submitted for publication are reviewed by independent members of the research community to assess their quality, validity, and originality.</w:t>
            </w:r>
            <w:r w:rsidRPr="00C73A6D">
              <w:rPr>
                <w:vertAlign w:val="superscript"/>
              </w:rPr>
              <w:footnoteReference w:id="16"/>
            </w:r>
            <w:r>
              <w:t xml:space="preserve"> Peer reviews are organised by journal publishers, but reviewers are not paid for their services. </w:t>
            </w:r>
          </w:p>
        </w:tc>
      </w:tr>
      <w:tr w:rsidR="00C455D6" w:rsidRPr="00C73A6D" w14:paraId="6019C13A"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19AA9A45" w14:textId="77777777" w:rsidR="00C455D6" w:rsidRPr="00C73A6D" w:rsidRDefault="00C455D6" w:rsidP="00562FE8">
            <w:pPr>
              <w:pStyle w:val="RowHeading"/>
              <w:rPr>
                <w:b/>
              </w:rPr>
            </w:pPr>
            <w:r w:rsidRPr="00C73A6D">
              <w:rPr>
                <w:b/>
              </w:rPr>
              <w:t xml:space="preserve">PFRA (Publicly Funded Research Agency) </w:t>
            </w:r>
          </w:p>
        </w:tc>
        <w:tc>
          <w:tcPr>
            <w:tcW w:w="0" w:type="auto"/>
          </w:tcPr>
          <w:p w14:paraId="40ED065C"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A Commonwealth research agency that conducts long term basic, strategic, </w:t>
            </w:r>
            <w:r>
              <w:t>or</w:t>
            </w:r>
            <w:r w:rsidRPr="00C73A6D">
              <w:t xml:space="preserve"> applied research across priority areas for government and the economy.</w:t>
            </w:r>
          </w:p>
        </w:tc>
      </w:tr>
      <w:tr w:rsidR="009F2D46" w:rsidRPr="00C73A6D" w14:paraId="059FDF67"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C3B7C8D" w14:textId="0A383896" w:rsidR="009F2D46" w:rsidRPr="006E531D" w:rsidRDefault="00C9414C" w:rsidP="00562FE8">
            <w:pPr>
              <w:pStyle w:val="RowHeading"/>
              <w:rPr>
                <w:b/>
                <w:bCs w:val="0"/>
              </w:rPr>
            </w:pPr>
            <w:r w:rsidRPr="006E531D">
              <w:rPr>
                <w:b/>
                <w:bCs w:val="0"/>
              </w:rPr>
              <w:t>Post</w:t>
            </w:r>
            <w:r w:rsidR="00086B3B" w:rsidRPr="006E531D">
              <w:rPr>
                <w:b/>
                <w:bCs w:val="0"/>
              </w:rPr>
              <w:t>-print</w:t>
            </w:r>
          </w:p>
        </w:tc>
        <w:tc>
          <w:tcPr>
            <w:tcW w:w="0" w:type="auto"/>
          </w:tcPr>
          <w:p w14:paraId="6125E3C5" w14:textId="51CCCD76" w:rsidR="009F2D46" w:rsidRPr="00C73A6D" w:rsidRDefault="005D1A4E" w:rsidP="00562FE8">
            <w:pPr>
              <w:pStyle w:val="TableText"/>
              <w:cnfStyle w:val="000000100000" w:firstRow="0" w:lastRow="0" w:firstColumn="0" w:lastColumn="0" w:oddVBand="0" w:evenVBand="0" w:oddHBand="1" w:evenHBand="0" w:firstRowFirstColumn="0" w:firstRowLastColumn="0" w:lastRowFirstColumn="0" w:lastRowLastColumn="0"/>
            </w:pPr>
            <w:r>
              <w:t xml:space="preserve">An </w:t>
            </w:r>
            <w:r w:rsidR="00454653">
              <w:t>edition</w:t>
            </w:r>
            <w:r>
              <w:t xml:space="preserve"> of a</w:t>
            </w:r>
            <w:r w:rsidR="003E064E">
              <w:t xml:space="preserve"> journal </w:t>
            </w:r>
            <w:r>
              <w:t xml:space="preserve">article that has </w:t>
            </w:r>
            <w:r w:rsidR="00454653">
              <w:t xml:space="preserve">undergone the peer review </w:t>
            </w:r>
            <w:r w:rsidR="006E531D">
              <w:t>process</w:t>
            </w:r>
            <w:r w:rsidR="00454653">
              <w:t xml:space="preserve"> however </w:t>
            </w:r>
            <w:r w:rsidR="006E531D">
              <w:t xml:space="preserve">has not been typeset and formatted by the </w:t>
            </w:r>
            <w:r w:rsidR="002C4742">
              <w:t>journal</w:t>
            </w:r>
            <w:r w:rsidR="006E531D">
              <w:t xml:space="preserve">. </w:t>
            </w:r>
          </w:p>
        </w:tc>
      </w:tr>
      <w:tr w:rsidR="00C455D6" w:rsidRPr="00C73A6D" w14:paraId="3E989E84"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5716A4B0" w14:textId="048F03AA" w:rsidR="00C455D6" w:rsidRPr="00C73A6D" w:rsidRDefault="00C455D6" w:rsidP="00562FE8">
            <w:pPr>
              <w:pStyle w:val="RowHeading"/>
              <w:rPr>
                <w:b/>
              </w:rPr>
            </w:pPr>
            <w:r w:rsidRPr="00C73A6D">
              <w:rPr>
                <w:b/>
              </w:rPr>
              <w:t>Pre-print</w:t>
            </w:r>
          </w:p>
        </w:tc>
        <w:tc>
          <w:tcPr>
            <w:tcW w:w="0" w:type="auto"/>
          </w:tcPr>
          <w:p w14:paraId="1AB8CCE1"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An edition of a </w:t>
            </w:r>
            <w:r>
              <w:t>journal article</w:t>
            </w:r>
            <w:r w:rsidRPr="00C73A6D">
              <w:t xml:space="preserve"> prior to having undergone the peer review process. Pre-prints may be available to view prior to the publication of the peer-reviewed edition in a journal.</w:t>
            </w:r>
          </w:p>
        </w:tc>
      </w:tr>
      <w:tr w:rsidR="00C455D6" w:rsidRPr="00C73A6D" w14:paraId="40D546BD"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0061270" w14:textId="77777777" w:rsidR="00C455D6" w:rsidRPr="00C73A6D" w:rsidRDefault="00C455D6" w:rsidP="00562FE8">
            <w:pPr>
              <w:pStyle w:val="RowHeading"/>
              <w:rPr>
                <w:b/>
              </w:rPr>
            </w:pPr>
            <w:r w:rsidRPr="00C73A6D">
              <w:rPr>
                <w:b/>
              </w:rPr>
              <w:t>Proposed Australian model</w:t>
            </w:r>
          </w:p>
        </w:tc>
        <w:tc>
          <w:tcPr>
            <w:tcW w:w="0" w:type="auto"/>
          </w:tcPr>
          <w:p w14:paraId="03FDF60F" w14:textId="587A456B"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 xml:space="preserve">A proposal for open access within Australia, as developed by the Office of the Chief Scientist. This model aims to provide all Australians with free access to published </w:t>
            </w:r>
            <w:r>
              <w:t>journal articles</w:t>
            </w:r>
            <w:r w:rsidRPr="00C73A6D">
              <w:t xml:space="preserve"> and ensure all Australian </w:t>
            </w:r>
            <w:r>
              <w:t>journal articles</w:t>
            </w:r>
            <w:r w:rsidRPr="00C73A6D">
              <w:t xml:space="preserve"> </w:t>
            </w:r>
            <w:r>
              <w:t xml:space="preserve">are </w:t>
            </w:r>
            <w:r w:rsidRPr="00C73A6D">
              <w:t xml:space="preserve">published with full open access internationally. </w:t>
            </w:r>
          </w:p>
        </w:tc>
      </w:tr>
      <w:tr w:rsidR="00C455D6" w:rsidRPr="00C73A6D" w14:paraId="51FD8742"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51078503" w14:textId="7D8C3C70" w:rsidR="00C455D6" w:rsidRPr="00C73A6D" w:rsidRDefault="00C455D6" w:rsidP="00562FE8">
            <w:pPr>
              <w:pStyle w:val="RowHeading"/>
              <w:rPr>
                <w:b/>
              </w:rPr>
            </w:pPr>
            <w:r w:rsidRPr="00C73A6D">
              <w:rPr>
                <w:b/>
              </w:rPr>
              <w:t>Publish</w:t>
            </w:r>
            <w:r>
              <w:rPr>
                <w:b/>
              </w:rPr>
              <w:t>-</w:t>
            </w:r>
            <w:r w:rsidRPr="00C73A6D">
              <w:rPr>
                <w:b/>
              </w:rPr>
              <w:t>and</w:t>
            </w:r>
            <w:r>
              <w:rPr>
                <w:b/>
              </w:rPr>
              <w:t>-</w:t>
            </w:r>
            <w:r w:rsidRPr="00C73A6D">
              <w:rPr>
                <w:b/>
              </w:rPr>
              <w:t>read agreements</w:t>
            </w:r>
          </w:p>
        </w:tc>
        <w:tc>
          <w:tcPr>
            <w:tcW w:w="0" w:type="auto"/>
          </w:tcPr>
          <w:p w14:paraId="2886AF3D"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Agreements in which a publisher is paid </w:t>
            </w:r>
            <w:r>
              <w:t xml:space="preserve">a fee per published open access article that includes a premium for read access to their catalogue of journals. </w:t>
            </w:r>
            <w:r w:rsidRPr="00C73A6D">
              <w:t>This agreement places greater emphasis on open access publishing</w:t>
            </w:r>
            <w:r>
              <w:t>, compared to read-and-publish agreements.</w:t>
            </w:r>
          </w:p>
        </w:tc>
      </w:tr>
      <w:tr w:rsidR="002C3114" w:rsidRPr="00C73A6D" w14:paraId="07DC9D2B"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80151BA" w14:textId="77777777" w:rsidR="00C455D6" w:rsidRPr="00C73A6D" w:rsidRDefault="00C455D6" w:rsidP="00562FE8">
            <w:pPr>
              <w:pStyle w:val="RowHeading"/>
              <w:rPr>
                <w:b/>
              </w:rPr>
            </w:pPr>
            <w:r w:rsidRPr="00C73A6D">
              <w:rPr>
                <w:b/>
              </w:rPr>
              <w:t>RBG (Research Block Grant)</w:t>
            </w:r>
          </w:p>
        </w:tc>
        <w:tc>
          <w:tcPr>
            <w:tcW w:w="0" w:type="auto"/>
          </w:tcPr>
          <w:p w14:paraId="45A9382B" w14:textId="08CEE832"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Research and research training funding provided to eligible Australian higher education providers.</w:t>
            </w:r>
            <w:r w:rsidRPr="00C73A6D">
              <w:rPr>
                <w:vertAlign w:val="superscript"/>
              </w:rPr>
              <w:footnoteReference w:id="17"/>
            </w:r>
          </w:p>
        </w:tc>
      </w:tr>
      <w:tr w:rsidR="00C455D6" w:rsidRPr="00C73A6D" w14:paraId="0A684BE0"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35864267" w14:textId="77777777" w:rsidR="00C455D6" w:rsidRPr="00C73A6D" w:rsidRDefault="00C455D6" w:rsidP="00562FE8">
            <w:pPr>
              <w:pStyle w:val="RowHeading"/>
              <w:rPr>
                <w:b/>
              </w:rPr>
            </w:pPr>
            <w:r w:rsidRPr="00C73A6D">
              <w:rPr>
                <w:b/>
              </w:rPr>
              <w:t>Read</w:t>
            </w:r>
            <w:r>
              <w:rPr>
                <w:b/>
              </w:rPr>
              <w:t>-</w:t>
            </w:r>
            <w:r w:rsidRPr="00C73A6D">
              <w:rPr>
                <w:b/>
              </w:rPr>
              <w:t>and</w:t>
            </w:r>
            <w:r>
              <w:rPr>
                <w:b/>
              </w:rPr>
              <w:t>-</w:t>
            </w:r>
            <w:r w:rsidRPr="00C73A6D">
              <w:rPr>
                <w:b/>
              </w:rPr>
              <w:t>publish agreements</w:t>
            </w:r>
          </w:p>
        </w:tc>
        <w:tc>
          <w:tcPr>
            <w:tcW w:w="0" w:type="auto"/>
          </w:tcPr>
          <w:p w14:paraId="7AAE43B4" w14:textId="7777777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Agreements in which an institution pays a publisher for the rights to access journal content and </w:t>
            </w:r>
            <w:r>
              <w:t>to publish open access articles in their journals</w:t>
            </w:r>
            <w:r w:rsidRPr="00C73A6D">
              <w:t xml:space="preserve"> under a single payment. This agreement places greater emphasis on access to publisher content</w:t>
            </w:r>
            <w:r>
              <w:t xml:space="preserve"> compared to p</w:t>
            </w:r>
            <w:r w:rsidRPr="00B44D08">
              <w:t>ublish-and-read agreements</w:t>
            </w:r>
            <w:r>
              <w:t>.</w:t>
            </w:r>
          </w:p>
        </w:tc>
      </w:tr>
      <w:tr w:rsidR="002C3114" w:rsidRPr="00C73A6D" w14:paraId="46ADD1CB"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E339109" w14:textId="77777777" w:rsidR="00C455D6" w:rsidRPr="00C73A6D" w:rsidRDefault="00C455D6" w:rsidP="00562FE8">
            <w:pPr>
              <w:pStyle w:val="RowHeading"/>
              <w:rPr>
                <w:b/>
              </w:rPr>
            </w:pPr>
            <w:r w:rsidRPr="00C73A6D">
              <w:rPr>
                <w:b/>
              </w:rPr>
              <w:t>Research intensive university</w:t>
            </w:r>
          </w:p>
        </w:tc>
        <w:tc>
          <w:tcPr>
            <w:tcW w:w="0" w:type="auto"/>
          </w:tcPr>
          <w:p w14:paraId="7B4FFD1A" w14:textId="6FD0433F"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A university which, relative to other universities, has a large overall budget allocation to conducting research, proportional to its size</w:t>
            </w:r>
            <w:r>
              <w:t xml:space="preserve">. These universities are expected to author more journal articles than </w:t>
            </w:r>
            <w:r w:rsidR="00466D42">
              <w:t>teaching</w:t>
            </w:r>
            <w:r>
              <w:t xml:space="preserve"> intensive peers of </w:t>
            </w:r>
            <w:r w:rsidR="00024B29">
              <w:t xml:space="preserve">a </w:t>
            </w:r>
            <w:r>
              <w:t>similar size.</w:t>
            </w:r>
          </w:p>
        </w:tc>
      </w:tr>
      <w:tr w:rsidR="00807F4B" w:rsidRPr="00C73A6D" w14:paraId="68BEDFD9"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13CE73ED" w14:textId="0E35DDA0" w:rsidR="00C455D6" w:rsidRPr="00C73A6D" w:rsidRDefault="00C455D6" w:rsidP="00562FE8">
            <w:pPr>
              <w:pStyle w:val="RowHeading"/>
              <w:rPr>
                <w:b/>
              </w:rPr>
            </w:pPr>
            <w:r w:rsidRPr="00C73A6D">
              <w:rPr>
                <w:b/>
              </w:rPr>
              <w:t>Repository</w:t>
            </w:r>
          </w:p>
        </w:tc>
        <w:tc>
          <w:tcPr>
            <w:tcW w:w="0" w:type="auto"/>
          </w:tcPr>
          <w:p w14:paraId="7241FE1F" w14:textId="2BB114F7"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An archive in which research outputs are stored</w:t>
            </w:r>
            <w:r w:rsidR="00ED3B0D">
              <w:t xml:space="preserve"> (including but not limited to journal articles)</w:t>
            </w:r>
            <w:r w:rsidRPr="00C73A6D">
              <w:t>. Repositories are commonly administered by research institutions, publishers, and other organisations.</w:t>
            </w:r>
            <w:r w:rsidR="00ED3B0D">
              <w:t xml:space="preserve"> </w:t>
            </w:r>
            <w:r w:rsidR="00215794" w:rsidRPr="00C73A6D">
              <w:t>Institutional repositories</w:t>
            </w:r>
            <w:r w:rsidR="003D737E">
              <w:t xml:space="preserve"> may</w:t>
            </w:r>
            <w:r w:rsidR="00215794" w:rsidRPr="00C73A6D">
              <w:t xml:space="preserve"> also contain an institution’s intellectual property</w:t>
            </w:r>
            <w:r w:rsidR="003D737E">
              <w:t xml:space="preserve"> and </w:t>
            </w:r>
            <w:r w:rsidR="008E2A1B">
              <w:t>other assets</w:t>
            </w:r>
            <w:r w:rsidR="00215794" w:rsidRPr="00C73A6D">
              <w:t>.</w:t>
            </w:r>
          </w:p>
        </w:tc>
      </w:tr>
      <w:tr w:rsidR="002C3114" w:rsidRPr="00C73A6D" w14:paraId="31BD3DA6"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D9E79F2" w14:textId="77777777" w:rsidR="00C455D6" w:rsidRPr="00C73A6D" w:rsidRDefault="00C455D6" w:rsidP="00562FE8">
            <w:pPr>
              <w:pStyle w:val="RowHeading"/>
              <w:rPr>
                <w:b/>
              </w:rPr>
            </w:pPr>
            <w:r w:rsidRPr="00C73A6D">
              <w:rPr>
                <w:b/>
              </w:rPr>
              <w:lastRenderedPageBreak/>
              <w:t>RSP (Research Support Program)</w:t>
            </w:r>
          </w:p>
        </w:tc>
        <w:tc>
          <w:tcPr>
            <w:tcW w:w="0" w:type="auto"/>
          </w:tcPr>
          <w:p w14:paraId="43B92B41" w14:textId="3DB3F0B0"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t xml:space="preserve">A </w:t>
            </w:r>
            <w:r w:rsidRPr="00C73A6D">
              <w:t>Research Block Grant provided to higher education providers to support the systemic costs of research not supported directly through competitive and other grants (e.g.</w:t>
            </w:r>
            <w:r w:rsidR="00BB2606">
              <w:t>,</w:t>
            </w:r>
            <w:r w:rsidRPr="00C73A6D">
              <w:t xml:space="preserve"> libraries, laboratories, and staff salaries).</w:t>
            </w:r>
            <w:r w:rsidRPr="00C73A6D">
              <w:rPr>
                <w:vertAlign w:val="superscript"/>
              </w:rPr>
              <w:footnoteReference w:id="18"/>
            </w:r>
          </w:p>
        </w:tc>
      </w:tr>
      <w:tr w:rsidR="00807F4B" w:rsidRPr="00C73A6D" w14:paraId="2FA3FF55" w14:textId="77777777" w:rsidTr="003B6F44">
        <w:trPr>
          <w:cantSplit/>
        </w:trPr>
        <w:tc>
          <w:tcPr>
            <w:cnfStyle w:val="001000000000" w:firstRow="0" w:lastRow="0" w:firstColumn="1" w:lastColumn="0" w:oddVBand="0" w:evenVBand="0" w:oddHBand="0" w:evenHBand="0" w:firstRowFirstColumn="0" w:firstRowLastColumn="0" w:lastRowFirstColumn="0" w:lastRowLastColumn="0"/>
            <w:tcW w:w="0" w:type="auto"/>
          </w:tcPr>
          <w:p w14:paraId="43F2C566" w14:textId="77777777" w:rsidR="00C455D6" w:rsidRPr="00C73A6D" w:rsidRDefault="00C455D6" w:rsidP="00562FE8">
            <w:pPr>
              <w:pStyle w:val="RowHeading"/>
              <w:rPr>
                <w:b/>
              </w:rPr>
            </w:pPr>
            <w:r w:rsidRPr="00C73A6D">
              <w:rPr>
                <w:b/>
              </w:rPr>
              <w:t>Transformative agreement</w:t>
            </w:r>
          </w:p>
        </w:tc>
        <w:tc>
          <w:tcPr>
            <w:tcW w:w="0" w:type="auto"/>
          </w:tcPr>
          <w:p w14:paraId="538BA774" w14:textId="1E0E5D41" w:rsidR="00C455D6" w:rsidRPr="00C73A6D" w:rsidRDefault="00C455D6" w:rsidP="00562FE8">
            <w:pPr>
              <w:pStyle w:val="TableText"/>
              <w:cnfStyle w:val="000000000000" w:firstRow="0" w:lastRow="0" w:firstColumn="0" w:lastColumn="0" w:oddVBand="0" w:evenVBand="0" w:oddHBand="0" w:evenHBand="0" w:firstRowFirstColumn="0" w:firstRowLastColumn="0" w:lastRowFirstColumn="0" w:lastRowLastColumn="0"/>
            </w:pPr>
            <w:r w:rsidRPr="00C73A6D">
              <w:t xml:space="preserve">An umbrella term used to encompass different kinds of contracts </w:t>
            </w:r>
            <w:r w:rsidR="008E2A1B">
              <w:t>that seek to encourage a transition away from traditional academic publishing business models</w:t>
            </w:r>
            <w:r w:rsidRPr="00C73A6D">
              <w:t>. Typically, these agreements are more transparent than traditional journal licences, allow authors to retain copyright, and facilitate open access.</w:t>
            </w:r>
            <w:r w:rsidRPr="00C73A6D">
              <w:rPr>
                <w:vertAlign w:val="superscript"/>
              </w:rPr>
              <w:footnoteReference w:id="19"/>
            </w:r>
            <w:r w:rsidRPr="00C73A6D">
              <w:t xml:space="preserve">  </w:t>
            </w:r>
          </w:p>
        </w:tc>
      </w:tr>
      <w:tr w:rsidR="002C3114" w:rsidRPr="00C73A6D" w14:paraId="2597A867" w14:textId="77777777" w:rsidTr="003B6F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18732D3" w14:textId="77777777" w:rsidR="00C455D6" w:rsidRPr="00C73A6D" w:rsidRDefault="00C455D6" w:rsidP="00562FE8">
            <w:pPr>
              <w:pStyle w:val="RowHeading"/>
              <w:rPr>
                <w:b/>
              </w:rPr>
            </w:pPr>
            <w:r w:rsidRPr="00C73A6D">
              <w:rPr>
                <w:b/>
              </w:rPr>
              <w:t>Traditional academic publishing</w:t>
            </w:r>
          </w:p>
        </w:tc>
        <w:tc>
          <w:tcPr>
            <w:tcW w:w="0" w:type="auto"/>
          </w:tcPr>
          <w:p w14:paraId="7AB5A569" w14:textId="17C26FAC" w:rsidR="00C455D6" w:rsidRPr="00C73A6D" w:rsidRDefault="00C455D6" w:rsidP="00562FE8">
            <w:pPr>
              <w:pStyle w:val="TableText"/>
              <w:cnfStyle w:val="000000100000" w:firstRow="0" w:lastRow="0" w:firstColumn="0" w:lastColumn="0" w:oddVBand="0" w:evenVBand="0" w:oddHBand="1" w:evenHBand="0" w:firstRowFirstColumn="0" w:firstRowLastColumn="0" w:lastRowFirstColumn="0" w:lastRowLastColumn="0"/>
            </w:pPr>
            <w:r w:rsidRPr="00C73A6D">
              <w:t xml:space="preserve">A </w:t>
            </w:r>
            <w:r>
              <w:t xml:space="preserve">business </w:t>
            </w:r>
            <w:r w:rsidRPr="00C73A6D">
              <w:t xml:space="preserve">model </w:t>
            </w:r>
            <w:r>
              <w:t xml:space="preserve">that </w:t>
            </w:r>
            <w:r w:rsidR="00D569B9">
              <w:t xml:space="preserve">uses paywalls to </w:t>
            </w:r>
            <w:r w:rsidRPr="00C73A6D">
              <w:t>restrict access to some or all content without a payment.</w:t>
            </w:r>
            <w:r w:rsidRPr="00C73A6D">
              <w:rPr>
                <w:vertAlign w:val="superscript"/>
              </w:rPr>
              <w:footnoteReference w:id="20"/>
            </w:r>
            <w:r w:rsidRPr="00C73A6D">
              <w:t xml:space="preserve"> In traditional </w:t>
            </w:r>
            <w:r>
              <w:t xml:space="preserve">academic </w:t>
            </w:r>
            <w:r w:rsidRPr="00C73A6D">
              <w:t xml:space="preserve">publishing, universities or their consortia </w:t>
            </w:r>
            <w:r w:rsidR="004D2E00">
              <w:t xml:space="preserve">typically </w:t>
            </w:r>
            <w:r w:rsidRPr="00C73A6D">
              <w:t xml:space="preserve">establish subscription contracts to pay for access to read </w:t>
            </w:r>
            <w:r w:rsidR="004D2E00">
              <w:t>journal articles and other content</w:t>
            </w:r>
            <w:r w:rsidRPr="00C73A6D">
              <w:t>. This contrasts with open access, where scholarly content is free to access.</w:t>
            </w:r>
            <w:r w:rsidRPr="00C73A6D">
              <w:rPr>
                <w:vertAlign w:val="superscript"/>
              </w:rPr>
              <w:footnoteReference w:id="21"/>
            </w:r>
            <w:r w:rsidRPr="00C73A6D">
              <w:t xml:space="preserve"> </w:t>
            </w:r>
            <w:r w:rsidR="006E411C">
              <w:t xml:space="preserve">The terms ‘publisher and ‘publishing’ in this report refers to academic publishing unless stated otherwise. </w:t>
            </w:r>
          </w:p>
        </w:tc>
      </w:tr>
    </w:tbl>
    <w:p w14:paraId="4624499D" w14:textId="77777777" w:rsidR="00C455D6" w:rsidRPr="00ED0909" w:rsidRDefault="00C455D6" w:rsidP="00C455D6"/>
    <w:p w14:paraId="7928EFD6" w14:textId="77777777" w:rsidR="00C455D6" w:rsidRDefault="00C455D6" w:rsidP="00C455D6">
      <w:pPr>
        <w:spacing w:before="0" w:after="0" w:line="240" w:lineRule="auto"/>
        <w:rPr>
          <w:rFonts w:asciiTheme="minorHAnsi" w:eastAsiaTheme="majorEastAsia" w:hAnsiTheme="minorHAnsi" w:cstheme="minorHAnsi"/>
          <w:bCs/>
          <w:color w:val="757579" w:themeColor="accent3"/>
          <w:sz w:val="44"/>
          <w:szCs w:val="28"/>
        </w:rPr>
      </w:pPr>
      <w:r>
        <w:rPr>
          <w:rFonts w:asciiTheme="minorHAnsi" w:hAnsiTheme="minorHAnsi" w:cstheme="minorHAnsi"/>
        </w:rPr>
        <w:br w:type="page"/>
      </w:r>
    </w:p>
    <w:p w14:paraId="3F990E96" w14:textId="59B3F047" w:rsidR="005E6933" w:rsidRPr="00807F4B" w:rsidRDefault="005E6933" w:rsidP="00807F4B">
      <w:pPr>
        <w:pStyle w:val="Heading1notnumbered"/>
      </w:pPr>
      <w:bookmarkStart w:id="3" w:name="_Toc87629927"/>
      <w:r w:rsidRPr="00807F4B">
        <w:lastRenderedPageBreak/>
        <w:t>Executive Summary</w:t>
      </w:r>
      <w:bookmarkEnd w:id="3"/>
    </w:p>
    <w:p w14:paraId="6DD160BD" w14:textId="77777777" w:rsidR="005E6933" w:rsidRPr="00516808" w:rsidRDefault="005E6933" w:rsidP="002E7EA9">
      <w:pPr>
        <w:pStyle w:val="Heading3notnumbered"/>
      </w:pPr>
      <w:r>
        <w:t>Why open access</w:t>
      </w:r>
    </w:p>
    <w:p w14:paraId="1479211C" w14:textId="4DBBB5A3" w:rsidR="005E6933" w:rsidRDefault="005E6933" w:rsidP="00F35E47">
      <w:pPr>
        <w:jc w:val="both"/>
      </w:pPr>
      <w:r w:rsidRPr="00516808">
        <w:t xml:space="preserve">Each year Australia invests billions towards research on the principle that it </w:t>
      </w:r>
      <w:r w:rsidR="0046191F">
        <w:t>may</w:t>
      </w:r>
      <w:r w:rsidR="0046191F" w:rsidRPr="00516808">
        <w:t xml:space="preserve"> </w:t>
      </w:r>
      <w:r w:rsidRPr="00516808">
        <w:t xml:space="preserve">create </w:t>
      </w:r>
      <w:r w:rsidR="00650517">
        <w:t>a</w:t>
      </w:r>
      <w:r w:rsidRPr="00516808">
        <w:t xml:space="preserve"> return on investment to society.</w:t>
      </w:r>
      <w:r w:rsidRPr="00563DEE">
        <w:t xml:space="preserve"> </w:t>
      </w:r>
      <w:r>
        <w:t>The outcomes of this research are typically published in peer reviewed journals</w:t>
      </w:r>
      <w:r w:rsidRPr="00020D93">
        <w:t>.</w:t>
      </w:r>
      <w:r>
        <w:t xml:space="preserve"> </w:t>
      </w:r>
    </w:p>
    <w:p w14:paraId="5288116D" w14:textId="77777777" w:rsidR="005948F5" w:rsidRDefault="005E6933" w:rsidP="00F35E47">
      <w:pPr>
        <w:pStyle w:val="Caption"/>
      </w:pPr>
      <w:r>
        <w:t>Typical</w:t>
      </w:r>
      <w:r w:rsidRPr="00056291">
        <w:t xml:space="preserve"> </w:t>
      </w:r>
      <w:r>
        <w:t>process</w:t>
      </w:r>
      <w:r w:rsidRPr="00056291">
        <w:t xml:space="preserve"> </w:t>
      </w:r>
      <w:r>
        <w:t>for</w:t>
      </w:r>
      <w:r w:rsidRPr="00056291">
        <w:t xml:space="preserve"> publish</w:t>
      </w:r>
      <w:r>
        <w:t>ing</w:t>
      </w:r>
      <w:r w:rsidRPr="00056291">
        <w:t xml:space="preserve"> a manuscript in a</w:t>
      </w:r>
      <w:r>
        <w:t xml:space="preserve"> peer-reviewed</w:t>
      </w:r>
      <w:r w:rsidRPr="00056291">
        <w:t xml:space="preserve"> academic journal</w:t>
      </w:r>
    </w:p>
    <w:p w14:paraId="05F7D8C3" w14:textId="114F93C2" w:rsidR="005E6933" w:rsidRDefault="005E6933" w:rsidP="00402F12">
      <w:pPr>
        <w:pStyle w:val="Caption"/>
        <w:jc w:val="center"/>
      </w:pPr>
      <w:r>
        <w:rPr>
          <w:noProof/>
        </w:rPr>
        <w:drawing>
          <wp:inline distT="0" distB="0" distL="0" distR="0" wp14:anchorId="3C28C6C8" wp14:editId="7D949630">
            <wp:extent cx="5100404" cy="2415063"/>
            <wp:effectExtent l="0" t="0" r="5080" b="4445"/>
            <wp:docPr id="38" name="Picture 38" descr="A flow chart with icons depicting the following steps. &#10;1. Researcher selects journal.&#10;2. Researcher prepares manuscript.&#10;3. Researcher submits manuscript to journal.&#10;4. Journal initiates peer review process.&#10;4A. If Journal rejects manuscript and requires revisions return to step 2.&#10;5. Journal accepts manuscript.&#10;6. Journal commences editing, proofreading and typesetting.&#10;7. Journal published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flow chart with icons depicting the following steps. &#10;1. Researcher selects journal.&#10;2. Researcher prepares manuscript.&#10;3. Researcher submits manuscript to journal.&#10;4. Journal initiates peer review process.&#10;4A. If Journal rejects manuscript and requires revisions return to step 2.&#10;5. Journal accepts manuscript.&#10;6. Journal commences editing, proofreading and typesetting.&#10;7. Journal published manuscript."/>
                    <pic:cNvPicPr>
                      <a:picLocks noChangeAspect="1" noChangeArrowheads="1"/>
                    </pic:cNvPicPr>
                  </pic:nvPicPr>
                  <pic:blipFill>
                    <a:blip r:embed="rId14"/>
                    <a:stretch>
                      <a:fillRect/>
                    </a:stretch>
                  </pic:blipFill>
                  <pic:spPr bwMode="auto">
                    <a:xfrm>
                      <a:off x="0" y="0"/>
                      <a:ext cx="5100404" cy="2415063"/>
                    </a:xfrm>
                    <a:prstGeom prst="rect">
                      <a:avLst/>
                    </a:prstGeom>
                    <a:noFill/>
                    <a:ln>
                      <a:noFill/>
                    </a:ln>
                  </pic:spPr>
                </pic:pic>
              </a:graphicData>
            </a:graphic>
          </wp:inline>
        </w:drawing>
      </w:r>
    </w:p>
    <w:p w14:paraId="10435D0D" w14:textId="0F8BADD6" w:rsidR="005E6933" w:rsidRPr="001C115E" w:rsidRDefault="005E6933" w:rsidP="00F35E47">
      <w:pPr>
        <w:jc w:val="both"/>
      </w:pPr>
      <w:r w:rsidRPr="00516808">
        <w:t>However, under traditional academic publishing</w:t>
      </w:r>
      <w:r w:rsidR="005658FB">
        <w:t>,</w:t>
      </w:r>
      <w:r w:rsidRPr="00516808">
        <w:t xml:space="preserve"> </w:t>
      </w:r>
      <w:r>
        <w:t xml:space="preserve">these research outputs </w:t>
      </w:r>
      <w:r w:rsidRPr="00516808">
        <w:t xml:space="preserve">are paywalled by publishers, </w:t>
      </w:r>
      <w:r w:rsidR="004B55A8" w:rsidRPr="004B55A8">
        <w:t>which may inhibit</w:t>
      </w:r>
      <w:r w:rsidRPr="00516808">
        <w:t xml:space="preserve"> access to what is often publicly funded research. By limiting access to cutting edge knowledge</w:t>
      </w:r>
      <w:r w:rsidR="000839FF">
        <w:t>,</w:t>
      </w:r>
      <w:r w:rsidRPr="00516808">
        <w:t xml:space="preserve"> these paywalls risk slowing scientific progress, hindering innovation, and reducing the potential returns on public investment.</w:t>
      </w:r>
      <w:r w:rsidRPr="001444E9">
        <w:rPr>
          <w:bCs/>
          <w:szCs w:val="24"/>
        </w:rPr>
        <w:t xml:space="preserve"> </w:t>
      </w:r>
      <w:r w:rsidRPr="00197201">
        <w:rPr>
          <w:bCs/>
          <w:szCs w:val="24"/>
        </w:rPr>
        <w:t xml:space="preserve">Open access seeks to address these challenges </w:t>
      </w:r>
      <w:r>
        <w:rPr>
          <w:bCs/>
          <w:szCs w:val="24"/>
        </w:rPr>
        <w:t>by increasing the accessibility and usability of</w:t>
      </w:r>
      <w:r w:rsidRPr="00197201">
        <w:rPr>
          <w:bCs/>
          <w:szCs w:val="24"/>
        </w:rPr>
        <w:t xml:space="preserve"> research</w:t>
      </w:r>
      <w:r>
        <w:rPr>
          <w:bCs/>
          <w:szCs w:val="24"/>
        </w:rPr>
        <w:t xml:space="preserve"> outputs to enhance their potential for impact</w:t>
      </w:r>
      <w:r w:rsidRPr="00197201">
        <w:rPr>
          <w:bCs/>
          <w:szCs w:val="24"/>
        </w:rPr>
        <w:t>.</w:t>
      </w:r>
    </w:p>
    <w:p w14:paraId="420321EF" w14:textId="3F9BD168" w:rsidR="00EA0D25" w:rsidRDefault="00EA0D25" w:rsidP="00EA0D25">
      <w:pPr>
        <w:pStyle w:val="Caption"/>
      </w:pPr>
      <w:r>
        <w:t xml:space="preserve">Potential benefits of </w:t>
      </w:r>
      <w:r w:rsidRPr="00797D4B">
        <w:t>open access</w:t>
      </w:r>
    </w:p>
    <w:p w14:paraId="008EFE15" w14:textId="012CA6F5" w:rsidR="005E6933" w:rsidRDefault="005E6933" w:rsidP="00402F12">
      <w:pPr>
        <w:pStyle w:val="BodyText"/>
        <w:jc w:val="center"/>
      </w:pPr>
      <w:r>
        <w:rPr>
          <w:noProof/>
        </w:rPr>
        <w:drawing>
          <wp:inline distT="0" distB="0" distL="0" distR="0" wp14:anchorId="639BAA5C" wp14:editId="13220078">
            <wp:extent cx="6061399" cy="2262909"/>
            <wp:effectExtent l="0" t="0" r="0" b="4445"/>
            <wp:docPr id="63" name="Picture 63" descr="Graphic comparing selected limitations of paywalled journal articles with selected potential benefits of open access journal articles.&#10;&#10;Paywalled journal articles.&#10;1. Authors transfer copyright of accepted articles to publishers.&#10;2. Users must pay to view articles.&#10;3. Users are granted limited or no reuse rights.&#10;&#10;An arrow to the right shows the consequences.&#10;Paywalls can limit:&#10;1. Dissemination and use of research.&#10;2. Collaboration and innovation, and&#10;3. Potential returns on public investment.&#10;&#10;Open access journal articles.&#10;1. Authors retain copyright and grant reuse rights through clear licensing terms.&#10;2. Articles are freely accessible to all users.&#10;&#10;An arrow indicating the consequences.&#10;Open access may improve:&#10;1. Dissemination and use of research.&#10;2. Collaboration and innovation, and&#10;3. Potential returns on public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 comparing selected limitations of paywalled journal articles with selected potential benefits of open access journal articles.&#10;&#10;Paywalled journal articles.&#10;1. Authors transfer copyright of accepted articles to publishers.&#10;2. Users must pay to view articles.&#10;3. Users are granted limited or no reuse rights.&#10;&#10;An arrow to the right shows the consequences.&#10;Paywalls can limit:&#10;1. Dissemination and use of research.&#10;2. Collaboration and innovation, and&#10;3. Potential returns on public investment.&#10;&#10;Open access journal articles.&#10;1. Authors retain copyright and grant reuse rights through clear licensing terms.&#10;2. Articles are freely accessible to all users.&#10;&#10;An arrow indicating the consequences.&#10;Open access may improve:&#10;1. Dissemination and use of research.&#10;2. Collaboration and innovation, and&#10;3. Potential returns on public invest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1399" cy="2262909"/>
                    </a:xfrm>
                    <a:prstGeom prst="rect">
                      <a:avLst/>
                    </a:prstGeom>
                    <a:noFill/>
                  </pic:spPr>
                </pic:pic>
              </a:graphicData>
            </a:graphic>
          </wp:inline>
        </w:drawing>
      </w:r>
    </w:p>
    <w:p w14:paraId="08B61584" w14:textId="77777777" w:rsidR="005E6933" w:rsidRPr="00FA5C2F" w:rsidRDefault="005E6933" w:rsidP="002E7EA9">
      <w:pPr>
        <w:pStyle w:val="Heading3notnumbered"/>
      </w:pPr>
      <w:r>
        <w:lastRenderedPageBreak/>
        <w:t>Current state</w:t>
      </w:r>
    </w:p>
    <w:p w14:paraId="1AB23585" w14:textId="77777777" w:rsidR="000839FF" w:rsidRDefault="005E6933" w:rsidP="00F35E47">
      <w:pPr>
        <w:jc w:val="both"/>
      </w:pPr>
      <w:r w:rsidRPr="00197201">
        <w:t>There have been numerous calls to implement a strategic national approach to Australia’s open access policies over the years. Despite these calls to action, Australia is yet to implement a national approach</w:t>
      </w:r>
      <w:r w:rsidR="000839FF">
        <w:t>,</w:t>
      </w:r>
      <w:r w:rsidRPr="00197201">
        <w:t xml:space="preserve"> and significant accessibility and affordability issues remain unsolved.</w:t>
      </w:r>
      <w:r>
        <w:t xml:space="preserve"> </w:t>
      </w:r>
    </w:p>
    <w:p w14:paraId="4C643109" w14:textId="3C3615B7" w:rsidR="005E6933" w:rsidRPr="00B36153" w:rsidRDefault="005E6933" w:rsidP="00F35E47">
      <w:pPr>
        <w:jc w:val="both"/>
      </w:pPr>
      <w:r w:rsidRPr="00B36153">
        <w:t xml:space="preserve">Australia’s open access publishing rate has steadily increased, but related expenditure </w:t>
      </w:r>
      <w:r>
        <w:t>has</w:t>
      </w:r>
      <w:r w:rsidRPr="00B36153">
        <w:t xml:space="preserve"> too</w:t>
      </w:r>
      <w:r w:rsidR="00650517">
        <w:t>.</w:t>
      </w:r>
      <w:r w:rsidRPr="00B36153">
        <w:t xml:space="preserve"> Australia’s total expenditure on subscriptions and </w:t>
      </w:r>
      <w:r w:rsidR="000839FF">
        <w:t>open access</w:t>
      </w:r>
      <w:r w:rsidRPr="00B36153">
        <w:t xml:space="preserve"> publishing reached a record high of over $321 million in 2020</w:t>
      </w:r>
      <w:r w:rsidR="00A13033" w:rsidRPr="00A13033">
        <w:t xml:space="preserve"> </w:t>
      </w:r>
      <w:r w:rsidR="00A13033">
        <w:t xml:space="preserve">and researchers contribute unpaid peer review services to publishers, conservatively estimated at </w:t>
      </w:r>
      <w:r w:rsidR="00A13033" w:rsidRPr="00A70185">
        <w:t>$18.3-$36.6</w:t>
      </w:r>
      <w:r w:rsidR="00A13033">
        <w:t xml:space="preserve"> million</w:t>
      </w:r>
      <w:r w:rsidR="00A13033" w:rsidRPr="00A70185">
        <w:t xml:space="preserve"> in-kind</w:t>
      </w:r>
      <w:r w:rsidRPr="00B36153">
        <w:t>.</w:t>
      </w:r>
      <w:r>
        <w:t xml:space="preserve"> </w:t>
      </w:r>
    </w:p>
    <w:p w14:paraId="3ABA0192" w14:textId="305165FD" w:rsidR="005E6933" w:rsidRPr="00563DEE" w:rsidRDefault="005E6933" w:rsidP="00A47B69">
      <w:pPr>
        <w:pStyle w:val="Caption"/>
      </w:pPr>
      <w:r w:rsidRPr="00563DEE">
        <w:t>Australia’s open access publishing rates have improved over the last 20 years</w:t>
      </w:r>
      <w:r w:rsidRPr="00563DEE">
        <w:rPr>
          <w:vertAlign w:val="superscript"/>
        </w:rPr>
        <w:footnoteReference w:id="22"/>
      </w:r>
    </w:p>
    <w:p w14:paraId="0D9E6B92" w14:textId="163610A6" w:rsidR="005E6933" w:rsidRPr="000F1078" w:rsidRDefault="00021E33" w:rsidP="00402F12">
      <w:pPr>
        <w:pStyle w:val="BodyText"/>
        <w:jc w:val="center"/>
      </w:pPr>
      <w:r>
        <w:rPr>
          <w:noProof/>
        </w:rPr>
        <w:drawing>
          <wp:inline distT="0" distB="0" distL="0" distR="0" wp14:anchorId="2ADB2E89" wp14:editId="36E99EDA">
            <wp:extent cx="5957455" cy="3070688"/>
            <wp:effectExtent l="0" t="0" r="5715" b="0"/>
            <wp:docPr id="52" name="Picture 52" descr="Open access publication statistics.&#10;&#10;38.4% of Australia's publications are open access (2010-2020).&#10;&#10;20.3% are published in gold or hybrid open access journals.&#10;&#10;28.6% are freely accessible in repositories (green open access).&#10;&#10;Below this is a line graph showing the increase of open access (including gold open access, green open access, and hybrid open access) as a percentage of publications from approximately 20% in 2000 to approximately over 40%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pen access publication statistics.&#10;&#10;38.4% of Australia's publications are open access (2010-2020).&#10;&#10;20.3% are published in gold or hybrid open access journals.&#10;&#10;28.6% are freely accessible in repositories (green open access).&#10;&#10;Below this is a line graph showing the increase of open access (including gold open access, green open access, and hybrid open access) as a percentage of publications from approximately 20% in 2000 to approximately over 40% in 2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6946" cy="3080735"/>
                    </a:xfrm>
                    <a:prstGeom prst="rect">
                      <a:avLst/>
                    </a:prstGeom>
                    <a:noFill/>
                  </pic:spPr>
                </pic:pic>
              </a:graphicData>
            </a:graphic>
          </wp:inline>
        </w:drawing>
      </w:r>
    </w:p>
    <w:p w14:paraId="4B35CFA9" w14:textId="77777777" w:rsidR="005E6933" w:rsidRDefault="005E6933" w:rsidP="00A47B69">
      <w:pPr>
        <w:pStyle w:val="Caption"/>
      </w:pPr>
      <w:r w:rsidRPr="00563DEE">
        <w:t xml:space="preserve">Australia’s </w:t>
      </w:r>
      <w:r>
        <w:t xml:space="preserve">total expenditure on journal subscriptions and open access publishing exceeds $321 million per year </w:t>
      </w:r>
    </w:p>
    <w:p w14:paraId="6A6C6D0B" w14:textId="7499671C" w:rsidR="005E6933" w:rsidRDefault="00F766E4" w:rsidP="00402F12">
      <w:pPr>
        <w:jc w:val="center"/>
      </w:pPr>
      <w:r>
        <w:rPr>
          <w:noProof/>
        </w:rPr>
        <w:drawing>
          <wp:inline distT="0" distB="0" distL="0" distR="0" wp14:anchorId="6A1E089F" wp14:editId="516AF729">
            <wp:extent cx="6059055" cy="1866104"/>
            <wp:effectExtent l="0" t="0" r="0" b="1270"/>
            <wp:docPr id="53" name="Picture 53" descr="Table of expenditure trends.&#10;Journal subscriptions.&#10;1. Current expenditure is over $302.9 million.&#10;2. Trends are university expenditure increased by 46% (2009-2020)&#10;&#10;Article processing changes.&#10;1. Current expenditure is over $14.5 million.&#10;2. Trends are gold open access rates more than doubled between 2010 and 2020, and there is low visibility on expenditure.&#10;&#10;Transformative agreements.&#10;1. Current expenditure is over $4 million.&#10;2. Trends are that transformative agreements are becoming more common, but it's too early to see their impact on overal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of expenditure trends.&#10;Journal subscriptions.&#10;1. Current expenditure is over $302.9 million.&#10;2. Trends are university expenditure increased by 46% (2009-2020)&#10;&#10;Article processing changes.&#10;1. Current expenditure is over $14.5 million.&#10;2. Trends are gold open access rates more than doubled between 2010 and 2020, and there is low visibility on expenditure.&#10;&#10;Transformative agreements.&#10;1. Current expenditure is over $4 million.&#10;2. Trends are that transformative agreements are becoming more common, but it's too early to see their impact on overall expendi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8139" cy="1868902"/>
                    </a:xfrm>
                    <a:prstGeom prst="rect">
                      <a:avLst/>
                    </a:prstGeom>
                    <a:noFill/>
                  </pic:spPr>
                </pic:pic>
              </a:graphicData>
            </a:graphic>
          </wp:inline>
        </w:drawing>
      </w:r>
    </w:p>
    <w:p w14:paraId="09C5234A" w14:textId="77777777" w:rsidR="005E6933" w:rsidRDefault="005E6933" w:rsidP="005E6933">
      <w:r>
        <w:br w:type="page"/>
      </w:r>
    </w:p>
    <w:p w14:paraId="6AE78F71" w14:textId="77777777" w:rsidR="005E6933" w:rsidRPr="00514A02" w:rsidRDefault="005E6933" w:rsidP="002E7EA9">
      <w:pPr>
        <w:pStyle w:val="Heading3notnumbered"/>
      </w:pPr>
      <w:r>
        <w:lastRenderedPageBreak/>
        <w:t>An Australian model for open access</w:t>
      </w:r>
    </w:p>
    <w:p w14:paraId="5076DFC8" w14:textId="77777777" w:rsidR="005E6933" w:rsidRPr="00C63CFF" w:rsidRDefault="005E6933" w:rsidP="00F35E47">
      <w:pPr>
        <w:jc w:val="both"/>
      </w:pPr>
      <w:r w:rsidRPr="00563DEE">
        <w:rPr>
          <w:bCs/>
        </w:rPr>
        <w:t>Australia’s Chief Scientist, Dr Cathy Foley, has proposed a</w:t>
      </w:r>
      <w:r>
        <w:rPr>
          <w:bCs/>
        </w:rPr>
        <w:t xml:space="preserve">n Australian </w:t>
      </w:r>
      <w:r w:rsidRPr="00563DEE">
        <w:rPr>
          <w:bCs/>
        </w:rPr>
        <w:t xml:space="preserve">model </w:t>
      </w:r>
      <w:r>
        <w:t>for open access that aims</w:t>
      </w:r>
      <w:r w:rsidRPr="00563DEE">
        <w:t xml:space="preserve"> to provide all Australians with free access to published research and ensure that all Australian research is published with full open access internationally.</w:t>
      </w:r>
    </w:p>
    <w:p w14:paraId="7B73CDB3" w14:textId="77777777" w:rsidR="005E6933" w:rsidRPr="00563DEE" w:rsidRDefault="005E6933" w:rsidP="00A47B69">
      <w:pPr>
        <w:pStyle w:val="Caption"/>
      </w:pPr>
      <w:r w:rsidRPr="00563DEE">
        <w:t>An overview of the proposed Australian model for open access</w:t>
      </w:r>
    </w:p>
    <w:p w14:paraId="24A74843" w14:textId="6F8A86FD" w:rsidR="005E6933" w:rsidRPr="00563DEE" w:rsidRDefault="00345DDA" w:rsidP="00402F12">
      <w:pPr>
        <w:pStyle w:val="BodyText"/>
        <w:jc w:val="center"/>
      </w:pPr>
      <w:r>
        <w:rPr>
          <w:noProof/>
        </w:rPr>
        <w:drawing>
          <wp:inline distT="0" distB="0" distL="0" distR="0" wp14:anchorId="339D7BA6" wp14:editId="5D27301C">
            <wp:extent cx="4998907" cy="4048488"/>
            <wp:effectExtent l="0" t="0" r="0" b="9525"/>
            <wp:docPr id="42" name="Picture 42" descr="Graphic of proposed open access model.&#10;Australian research community submits work to publishers who provide access to Australian peer reviewed articles to the world. Publishers provide access to an implementation body in return for money. The implementation body provides access to research to all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 of proposed open access model.&#10;Australian research community submits work to publishers who provide access to Australian peer reviewed articles to the world. Publishers provide access to an implementation body in return for money. The implementation body provides access to research to all Australi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152" cy="4081891"/>
                    </a:xfrm>
                    <a:prstGeom prst="rect">
                      <a:avLst/>
                    </a:prstGeom>
                    <a:noFill/>
                  </pic:spPr>
                </pic:pic>
              </a:graphicData>
            </a:graphic>
          </wp:inline>
        </w:drawing>
      </w:r>
    </w:p>
    <w:p w14:paraId="408BEC1C" w14:textId="62ED8225" w:rsidR="005E6933" w:rsidRPr="00083382" w:rsidRDefault="005E6933" w:rsidP="002E7EA9">
      <w:pPr>
        <w:pStyle w:val="Heading3notnumbered"/>
      </w:pPr>
      <w:r w:rsidRPr="00083382">
        <w:t>Prospective analysis to inform next steps</w:t>
      </w:r>
    </w:p>
    <w:p w14:paraId="6EF07E7A" w14:textId="6A4ED70A" w:rsidR="0057400E" w:rsidRDefault="005E6933" w:rsidP="00C829CB">
      <w:pPr>
        <w:jc w:val="both"/>
      </w:pPr>
      <w:r w:rsidRPr="00640582">
        <w:t xml:space="preserve">Recognising the complexity in the system and that Australia’s transition towards open access will require significant change, the </w:t>
      </w:r>
      <w:r>
        <w:rPr>
          <w:szCs w:val="24"/>
        </w:rPr>
        <w:t>Office of the Chief Scientist</w:t>
      </w:r>
      <w:r w:rsidRPr="00563DEE">
        <w:rPr>
          <w:szCs w:val="24"/>
        </w:rPr>
        <w:t xml:space="preserve"> </w:t>
      </w:r>
      <w:r>
        <w:rPr>
          <w:szCs w:val="24"/>
        </w:rPr>
        <w:t>(</w:t>
      </w:r>
      <w:r w:rsidRPr="00640582">
        <w:t>OCS</w:t>
      </w:r>
      <w:r>
        <w:rPr>
          <w:szCs w:val="24"/>
        </w:rPr>
        <w:t>)</w:t>
      </w:r>
      <w:r w:rsidRPr="00640582">
        <w:t xml:space="preserve"> </w:t>
      </w:r>
      <w:r>
        <w:t xml:space="preserve">commissioned </w:t>
      </w:r>
      <w:r w:rsidR="00FB78DA">
        <w:t>this</w:t>
      </w:r>
      <w:r>
        <w:t xml:space="preserve"> </w:t>
      </w:r>
      <w:r w:rsidRPr="00640582">
        <w:t>prospective analysis</w:t>
      </w:r>
      <w:r>
        <w:t xml:space="preserve"> </w:t>
      </w:r>
      <w:r w:rsidRPr="00640582">
        <w:t xml:space="preserve">to inform </w:t>
      </w:r>
      <w:r>
        <w:t xml:space="preserve">the </w:t>
      </w:r>
      <w:r w:rsidRPr="00640582">
        <w:t xml:space="preserve">consideration of </w:t>
      </w:r>
      <w:r w:rsidRPr="00821DA9">
        <w:t>a national open access strategy for Australia</w:t>
      </w:r>
      <w:r w:rsidR="0057400E">
        <w:t xml:space="preserve"> and support</w:t>
      </w:r>
      <w:r w:rsidR="0057400E" w:rsidRPr="00B638B8">
        <w:t xml:space="preserve"> discussion</w:t>
      </w:r>
      <w:r w:rsidR="0057400E">
        <w:t>s</w:t>
      </w:r>
      <w:r w:rsidR="0057400E" w:rsidRPr="00B638B8">
        <w:t xml:space="preserve"> with key stakeholders on </w:t>
      </w:r>
      <w:r w:rsidR="0057400E">
        <w:rPr>
          <w:szCs w:val="24"/>
        </w:rPr>
        <w:t>a possible</w:t>
      </w:r>
      <w:r w:rsidR="0057400E" w:rsidRPr="00B638B8">
        <w:t xml:space="preserve"> Australian </w:t>
      </w:r>
      <w:r w:rsidR="0057400E">
        <w:t xml:space="preserve">open access </w:t>
      </w:r>
      <w:r w:rsidR="0057400E" w:rsidRPr="00B638B8">
        <w:t>model</w:t>
      </w:r>
      <w:r w:rsidR="0057400E">
        <w:t>.</w:t>
      </w:r>
    </w:p>
    <w:p w14:paraId="076109CA" w14:textId="2BA1936A" w:rsidR="005E6933" w:rsidRDefault="005E6933" w:rsidP="005B0724">
      <w:pPr>
        <w:pStyle w:val="CaptionNote"/>
      </w:pPr>
      <w:r>
        <w:t xml:space="preserve">The prospective analysis </w:t>
      </w:r>
      <w:r w:rsidR="006B41B6">
        <w:t>was</w:t>
      </w:r>
      <w:r w:rsidRPr="00B638B8">
        <w:t xml:space="preserve"> informed by </w:t>
      </w:r>
      <w:r w:rsidR="005B0724">
        <w:t>desktop research</w:t>
      </w:r>
      <w:r w:rsidRPr="00B638B8">
        <w:t xml:space="preserve">, a survey </w:t>
      </w:r>
      <w:r w:rsidR="006B41B6">
        <w:t xml:space="preserve">of </w:t>
      </w:r>
      <w:r w:rsidR="005B0724">
        <w:t xml:space="preserve">relevant </w:t>
      </w:r>
      <w:r w:rsidRPr="00B638B8">
        <w:t>expenditure, economic analysis, and consultation</w:t>
      </w:r>
      <w:r w:rsidR="005B0724">
        <w:t>s with a cross-section of stakeholders</w:t>
      </w:r>
      <w:r w:rsidRPr="00B638B8">
        <w:t>.</w:t>
      </w:r>
    </w:p>
    <w:p w14:paraId="7268080A" w14:textId="5B0A0AF3" w:rsidR="00B16526" w:rsidRDefault="005B0724" w:rsidP="00402F12">
      <w:pPr>
        <w:jc w:val="center"/>
      </w:pPr>
      <w:r>
        <w:rPr>
          <w:noProof/>
        </w:rPr>
        <w:drawing>
          <wp:inline distT="0" distB="0" distL="0" distR="0" wp14:anchorId="3A50501A" wp14:editId="32D29612">
            <wp:extent cx="6016891" cy="1618523"/>
            <wp:effectExtent l="0" t="0" r="3175" b="1270"/>
            <wp:docPr id="24" name="Picture 24" descr="A graphical description of the project's analysis, including:&#10;1. Desktop research to provide context and evidence including international case studies.&#10;2. Survey to estimate Australia's current expenditure on journal subscriptions and open access publishing.&#10;3. Economic analysis to estimate and benchmark potential cost of proposed model.&#10;4. Consultations to leverage the knowledge of stakeholders in academic publishing and the broader innovation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ical description of the project's analysis, including:&#10;1. Desktop research to provide context and evidence including international case studies.&#10;2. Survey to estimate Australia's current expenditure on journal subscriptions and open access publishing.&#10;3. Economic analysis to estimate and benchmark potential cost of proposed model.&#10;4. Consultations to leverage the knowledge of stakeholders in academic publishing and the broader innovation eco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769" cy="1621987"/>
                    </a:xfrm>
                    <a:prstGeom prst="rect">
                      <a:avLst/>
                    </a:prstGeom>
                    <a:noFill/>
                  </pic:spPr>
                </pic:pic>
              </a:graphicData>
            </a:graphic>
          </wp:inline>
        </w:drawing>
      </w:r>
    </w:p>
    <w:p w14:paraId="30C151B7" w14:textId="780F349C" w:rsidR="005E6933" w:rsidRPr="00083382" w:rsidRDefault="005E6933" w:rsidP="00B40133">
      <w:pPr>
        <w:pStyle w:val="Heading3notnumbered"/>
      </w:pPr>
      <w:r w:rsidRPr="00083382">
        <w:lastRenderedPageBreak/>
        <w:t>Design considerations</w:t>
      </w:r>
    </w:p>
    <w:p w14:paraId="2E86B279" w14:textId="77777777" w:rsidR="0043260A" w:rsidRDefault="005E6933" w:rsidP="00A47B69">
      <w:pPr>
        <w:pStyle w:val="BodyText"/>
      </w:pPr>
      <w:r w:rsidRPr="00B638B8">
        <w:t xml:space="preserve">Stakeholders consulted typically indicated strong support for a </w:t>
      </w:r>
      <w:r>
        <w:t xml:space="preserve">nationally </w:t>
      </w:r>
      <w:r w:rsidRPr="00B638B8">
        <w:t>coordinated approach to open access. However, many stakeholders expressed concerns</w:t>
      </w:r>
      <w:r w:rsidR="001D318C">
        <w:t xml:space="preserve"> and raised questions</w:t>
      </w:r>
      <w:r w:rsidRPr="00B638B8">
        <w:t xml:space="preserve"> about </w:t>
      </w:r>
      <w:r>
        <w:t>potential</w:t>
      </w:r>
      <w:r w:rsidRPr="00B638B8">
        <w:t xml:space="preserve"> </w:t>
      </w:r>
      <w:r w:rsidR="001D318C">
        <w:t xml:space="preserve">challenges and </w:t>
      </w:r>
      <w:r w:rsidRPr="00B638B8">
        <w:t>unintended consequences that may result</w:t>
      </w:r>
      <w:r>
        <w:t xml:space="preserve"> from </w:t>
      </w:r>
      <w:r w:rsidR="001D318C">
        <w:t xml:space="preserve">the proposed model’s </w:t>
      </w:r>
      <w:r>
        <w:t>design</w:t>
      </w:r>
      <w:r w:rsidRPr="00B638B8">
        <w:t>.</w:t>
      </w:r>
    </w:p>
    <w:p w14:paraId="0368B054" w14:textId="689DF210" w:rsidR="005E6933" w:rsidRDefault="0061367E" w:rsidP="00763ECB">
      <w:pPr>
        <w:pStyle w:val="Caption"/>
      </w:pPr>
      <w:r>
        <w:t>Three themes of d</w:t>
      </w:r>
      <w:r w:rsidR="00700A92">
        <w:t>esign considerations</w:t>
      </w:r>
      <w:r w:rsidR="003B5622">
        <w:t xml:space="preserve"> for the proposed model</w:t>
      </w:r>
      <w:r>
        <w:t xml:space="preserve"> were</w:t>
      </w:r>
      <w:r w:rsidR="00763ECB">
        <w:t xml:space="preserve"> </w:t>
      </w:r>
      <w:r w:rsidR="00963C9E">
        <w:t>identified through consultations and analysis.</w:t>
      </w:r>
    </w:p>
    <w:p w14:paraId="689B94F1" w14:textId="77797051" w:rsidR="00E62E55" w:rsidRDefault="0043260A" w:rsidP="00402F12">
      <w:pPr>
        <w:pStyle w:val="BodyText"/>
        <w:jc w:val="center"/>
      </w:pPr>
      <w:r>
        <w:rPr>
          <w:noProof/>
        </w:rPr>
        <w:drawing>
          <wp:inline distT="0" distB="0" distL="0" distR="0" wp14:anchorId="6D7DFCA5" wp14:editId="63E6D02D">
            <wp:extent cx="5188004" cy="1034473"/>
            <wp:effectExtent l="0" t="0" r="0" b="0"/>
            <wp:docPr id="51" name="Picture 51" descr="Design considerations and icons.&#10;1. Market dynamics and competition. &#10;2. Funding and affordability.&#10;3. Acces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sign considerations and icons.&#10;1. Market dynamics and competition. &#10;2. Funding and affordability.&#10;3. Access and impact."/>
                    <pic:cNvPicPr>
                      <a:picLocks noChangeAspect="1" noChangeArrowheads="1"/>
                    </pic:cNvPicPr>
                  </pic:nvPicPr>
                  <pic:blipFill rotWithShape="1">
                    <a:blip r:embed="rId20">
                      <a:extLst>
                        <a:ext uri="{28A0092B-C50C-407E-A947-70E740481C1C}">
                          <a14:useLocalDpi xmlns:a14="http://schemas.microsoft.com/office/drawing/2010/main" val="0"/>
                        </a:ext>
                      </a:extLst>
                    </a:blip>
                    <a:srcRect b="5669"/>
                    <a:stretch/>
                  </pic:blipFill>
                  <pic:spPr bwMode="auto">
                    <a:xfrm>
                      <a:off x="0" y="0"/>
                      <a:ext cx="5254760" cy="1047784"/>
                    </a:xfrm>
                    <a:prstGeom prst="rect">
                      <a:avLst/>
                    </a:prstGeom>
                    <a:noFill/>
                    <a:ln>
                      <a:noFill/>
                    </a:ln>
                    <a:extLst>
                      <a:ext uri="{53640926-AAD7-44D8-BBD7-CCE9431645EC}">
                        <a14:shadowObscured xmlns:a14="http://schemas.microsoft.com/office/drawing/2010/main"/>
                      </a:ext>
                    </a:extLst>
                  </pic:spPr>
                </pic:pic>
              </a:graphicData>
            </a:graphic>
          </wp:inline>
        </w:drawing>
      </w:r>
    </w:p>
    <w:p w14:paraId="789A56A1" w14:textId="77777777" w:rsidR="005E6933" w:rsidRPr="00514A02" w:rsidRDefault="005E6933" w:rsidP="002E7EA9">
      <w:pPr>
        <w:pStyle w:val="Heading3notnumbered"/>
      </w:pPr>
      <w:r>
        <w:t>The way forward</w:t>
      </w:r>
    </w:p>
    <w:p w14:paraId="59AF8533" w14:textId="1F9C27DE" w:rsidR="007D45AE" w:rsidRDefault="005E6933" w:rsidP="007D45AE">
      <w:pPr>
        <w:pStyle w:val="BodyText"/>
      </w:pPr>
      <w:r>
        <w:t xml:space="preserve">As the </w:t>
      </w:r>
      <w:r w:rsidRPr="00563DEE">
        <w:t xml:space="preserve">first stage in </w:t>
      </w:r>
      <w:r>
        <w:t xml:space="preserve">the development of a </w:t>
      </w:r>
      <w:r w:rsidRPr="00821DA9">
        <w:t>national open access strategy for Australia</w:t>
      </w:r>
      <w:r>
        <w:t xml:space="preserve">, this prospective analysis identifies potential next steps to support the </w:t>
      </w:r>
      <w:r w:rsidRPr="007E5492">
        <w:t>develop</w:t>
      </w:r>
      <w:r>
        <w:t xml:space="preserve">ment of </w:t>
      </w:r>
      <w:r w:rsidRPr="007E5492">
        <w:t>a comprehensive business case</w:t>
      </w:r>
      <w:r>
        <w:t xml:space="preserve"> for </w:t>
      </w:r>
      <w:r w:rsidR="00C3680C">
        <w:t>a national open access strategy</w:t>
      </w:r>
      <w:r w:rsidRPr="007E5492">
        <w:t xml:space="preserve">. </w:t>
      </w:r>
      <w:r>
        <w:t xml:space="preserve">This business case will need to be informed by additional </w:t>
      </w:r>
      <w:r w:rsidRPr="00020D93">
        <w:t>analysis</w:t>
      </w:r>
      <w:r w:rsidRPr="00681108">
        <w:t>,</w:t>
      </w:r>
      <w:r w:rsidRPr="00965F93">
        <w:t xml:space="preserve"> </w:t>
      </w:r>
      <w:r w:rsidRPr="00FD368E">
        <w:t>broad</w:t>
      </w:r>
      <w:r w:rsidRPr="00654B7D">
        <w:t xml:space="preserve"> </w:t>
      </w:r>
      <w:r w:rsidRPr="00020D93">
        <w:t xml:space="preserve">consultation, </w:t>
      </w:r>
      <w:r w:rsidRPr="00681108">
        <w:t>and</w:t>
      </w:r>
      <w:r w:rsidRPr="00965F93">
        <w:t xml:space="preserve"> </w:t>
      </w:r>
      <w:r w:rsidRPr="00FD368E">
        <w:t>strategic</w:t>
      </w:r>
      <w:r w:rsidRPr="00020D93">
        <w:t xml:space="preserve"> planning.</w:t>
      </w:r>
      <w:r>
        <w:rPr>
          <w:b/>
          <w:bCs/>
        </w:rPr>
        <w:t xml:space="preserve"> </w:t>
      </w:r>
      <w:r w:rsidR="007D45AE">
        <w:t xml:space="preserve">The report also identifies potential metrics that could be used to monitor the implementation of the proposed model and a selection of broader considerations raised by stakeholders that could be considered as part of the future national open access strategy. </w:t>
      </w:r>
    </w:p>
    <w:p w14:paraId="71127C25" w14:textId="04476868" w:rsidR="00DF61FD" w:rsidRDefault="00DF61FD" w:rsidP="00DF61FD">
      <w:pPr>
        <w:pStyle w:val="Caption"/>
      </w:pPr>
      <w:r>
        <w:t>Key issues</w:t>
      </w:r>
      <w:r w:rsidR="003A7160">
        <w:t xml:space="preserve"> </w:t>
      </w:r>
      <w:r w:rsidR="004A4C3E">
        <w:t xml:space="preserve">for </w:t>
      </w:r>
      <w:r w:rsidR="004A4C3E" w:rsidRPr="004A4C3E">
        <w:t>the</w:t>
      </w:r>
      <w:r w:rsidR="004A4C3E">
        <w:t xml:space="preserve"> </w:t>
      </w:r>
      <w:r w:rsidR="004A4C3E" w:rsidRPr="004A4C3E">
        <w:t xml:space="preserve">development of a comprehensive business case </w:t>
      </w:r>
      <w:r w:rsidR="00C3680C">
        <w:t>for a national open access strategy.</w:t>
      </w:r>
    </w:p>
    <w:tbl>
      <w:tblPr>
        <w:tblStyle w:val="ListTable3-Accent1"/>
        <w:tblW w:w="0" w:type="auto"/>
        <w:tblLook w:val="04A0" w:firstRow="1" w:lastRow="0" w:firstColumn="1" w:lastColumn="0" w:noHBand="0" w:noVBand="1"/>
      </w:tblPr>
      <w:tblGrid>
        <w:gridCol w:w="3114"/>
        <w:gridCol w:w="3260"/>
        <w:gridCol w:w="3254"/>
      </w:tblGrid>
      <w:tr w:rsidR="00E62E55" w:rsidRPr="0016571D" w14:paraId="4CB80D2E" w14:textId="77777777" w:rsidTr="000765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280FF3FA" w14:textId="77777777" w:rsidR="00E62E55" w:rsidRPr="00DC3B91" w:rsidRDefault="00E62E55" w:rsidP="00402F12">
            <w:pPr>
              <w:pStyle w:val="ColumnHeading"/>
              <w:jc w:val="center"/>
              <w:rPr>
                <w:color w:val="auto"/>
              </w:rPr>
            </w:pPr>
            <w:r w:rsidRPr="00DC3B91">
              <w:rPr>
                <w:b/>
                <w:color w:val="auto"/>
              </w:rPr>
              <w:t>Analysis</w:t>
            </w:r>
          </w:p>
        </w:tc>
        <w:tc>
          <w:tcPr>
            <w:tcW w:w="3260" w:type="dxa"/>
          </w:tcPr>
          <w:p w14:paraId="070F877B" w14:textId="77777777" w:rsidR="00E62E55" w:rsidRPr="00DC3B91" w:rsidRDefault="00E62E55" w:rsidP="00402F12">
            <w:pPr>
              <w:pStyle w:val="ColumnHeading"/>
              <w:jc w:val="center"/>
              <w:cnfStyle w:val="100000000000" w:firstRow="1" w:lastRow="0" w:firstColumn="0" w:lastColumn="0" w:oddVBand="0" w:evenVBand="0" w:oddHBand="0" w:evenHBand="0" w:firstRowFirstColumn="0" w:firstRowLastColumn="0" w:lastRowFirstColumn="0" w:lastRowLastColumn="0"/>
              <w:rPr>
                <w:color w:val="auto"/>
              </w:rPr>
            </w:pPr>
            <w:r w:rsidRPr="00DC3B91">
              <w:rPr>
                <w:b/>
                <w:color w:val="auto"/>
              </w:rPr>
              <w:t>Consultation</w:t>
            </w:r>
          </w:p>
        </w:tc>
        <w:tc>
          <w:tcPr>
            <w:tcW w:w="3254" w:type="dxa"/>
          </w:tcPr>
          <w:p w14:paraId="79CD1BFF" w14:textId="77777777" w:rsidR="00E62E55" w:rsidRPr="00DC3B91" w:rsidRDefault="00E62E55" w:rsidP="00402F12">
            <w:pPr>
              <w:pStyle w:val="ColumnHeading"/>
              <w:jc w:val="center"/>
              <w:cnfStyle w:val="100000000000" w:firstRow="1" w:lastRow="0" w:firstColumn="0" w:lastColumn="0" w:oddVBand="0" w:evenVBand="0" w:oddHBand="0" w:evenHBand="0" w:firstRowFirstColumn="0" w:firstRowLastColumn="0" w:lastRowFirstColumn="0" w:lastRowLastColumn="0"/>
              <w:rPr>
                <w:color w:val="auto"/>
              </w:rPr>
            </w:pPr>
            <w:r w:rsidRPr="00DC3B91">
              <w:rPr>
                <w:b/>
                <w:color w:val="auto"/>
              </w:rPr>
              <w:t>Planning</w:t>
            </w:r>
          </w:p>
        </w:tc>
      </w:tr>
      <w:tr w:rsidR="00E62E55" w:rsidRPr="0016571D" w14:paraId="0F6B89B3" w14:textId="77777777" w:rsidTr="00076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DE8E2E" w14:textId="77777777" w:rsidR="00E62E55" w:rsidRPr="007D0402" w:rsidRDefault="00E62E55" w:rsidP="006461BC">
            <w:pPr>
              <w:pStyle w:val="RowHeading"/>
              <w:jc w:val="both"/>
              <w:rPr>
                <w:b/>
                <w:bCs w:val="0"/>
              </w:rPr>
            </w:pPr>
            <w:r w:rsidRPr="007D0402">
              <w:rPr>
                <w:b/>
                <w:bCs w:val="0"/>
              </w:rPr>
              <w:t xml:space="preserve">Additional </w:t>
            </w:r>
            <w:r w:rsidRPr="00E667B2">
              <w:rPr>
                <w:b/>
                <w:bCs w:val="0"/>
              </w:rPr>
              <w:t>analysis will be critical to inform the development of a national open access strategy.</w:t>
            </w:r>
          </w:p>
          <w:p w14:paraId="340146D7" w14:textId="77777777" w:rsidR="00E62E55" w:rsidRDefault="00E62E55" w:rsidP="00D67B46">
            <w:pPr>
              <w:pStyle w:val="TableText"/>
            </w:pPr>
            <w:r w:rsidRPr="007D0402">
              <w:rPr>
                <w:b w:val="0"/>
                <w:bCs w:val="0"/>
              </w:rPr>
              <w:t xml:space="preserve">Key issues that require further analysis include: </w:t>
            </w:r>
          </w:p>
          <w:p w14:paraId="30076E90" w14:textId="50FFCDF6" w:rsidR="00E62E55" w:rsidRPr="006056D6" w:rsidRDefault="00E62E55" w:rsidP="00402F12">
            <w:pPr>
              <w:pStyle w:val="TableBullet"/>
              <w:jc w:val="left"/>
              <w:rPr>
                <w:b w:val="0"/>
                <w:bCs w:val="0"/>
              </w:rPr>
            </w:pPr>
            <w:r w:rsidRPr="006056D6">
              <w:rPr>
                <w:b w:val="0"/>
                <w:bCs w:val="0"/>
              </w:rPr>
              <w:t>Australian journal subscriptions</w:t>
            </w:r>
            <w:r>
              <w:rPr>
                <w:b w:val="0"/>
                <w:bCs w:val="0"/>
              </w:rPr>
              <w:t>, including read rates.</w:t>
            </w:r>
          </w:p>
          <w:p w14:paraId="28295697" w14:textId="77777777" w:rsidR="00E62E55" w:rsidRDefault="00E62E55" w:rsidP="00402F12">
            <w:pPr>
              <w:pStyle w:val="TableBullet"/>
              <w:jc w:val="left"/>
            </w:pPr>
            <w:r w:rsidRPr="006056D6">
              <w:rPr>
                <w:b w:val="0"/>
                <w:bCs w:val="0"/>
              </w:rPr>
              <w:t>The number and characteristics of publishers that publish the long tail of Australian research output.</w:t>
            </w:r>
          </w:p>
          <w:p w14:paraId="54EBB53F" w14:textId="77777777" w:rsidR="00E62E55" w:rsidRPr="00F55A81" w:rsidRDefault="00E62E55" w:rsidP="00402F12">
            <w:pPr>
              <w:pStyle w:val="TableBullet"/>
              <w:jc w:val="left"/>
              <w:rPr>
                <w:b w:val="0"/>
                <w:bCs w:val="0"/>
              </w:rPr>
            </w:pPr>
            <w:r w:rsidRPr="00F55A81">
              <w:rPr>
                <w:b w:val="0"/>
                <w:bCs w:val="0"/>
              </w:rPr>
              <w:t>The expected cost of the proposed model.</w:t>
            </w:r>
          </w:p>
          <w:p w14:paraId="71951C48" w14:textId="77777777" w:rsidR="00E62E55" w:rsidRDefault="00E62E55" w:rsidP="00402F12">
            <w:pPr>
              <w:pStyle w:val="TableBullet"/>
              <w:jc w:val="left"/>
            </w:pPr>
            <w:r w:rsidRPr="00F55A81">
              <w:rPr>
                <w:b w:val="0"/>
                <w:bCs w:val="0"/>
              </w:rPr>
              <w:t>The cost and benefit distribution of different funding approaches</w:t>
            </w:r>
            <w:r>
              <w:rPr>
                <w:b w:val="0"/>
                <w:bCs w:val="0"/>
              </w:rPr>
              <w:t>.</w:t>
            </w:r>
          </w:p>
          <w:p w14:paraId="006AF3AA" w14:textId="70EBB785" w:rsidR="00E62E55" w:rsidRDefault="00E62E55" w:rsidP="00402F12">
            <w:pPr>
              <w:pStyle w:val="TableBullet"/>
              <w:jc w:val="left"/>
            </w:pPr>
            <w:r w:rsidRPr="002A04B4">
              <w:rPr>
                <w:b w:val="0"/>
                <w:bCs w:val="0"/>
              </w:rPr>
              <w:t>T</w:t>
            </w:r>
            <w:r w:rsidR="00D251EE">
              <w:rPr>
                <w:b w:val="0"/>
                <w:bCs w:val="0"/>
              </w:rPr>
              <w:t xml:space="preserve">he impacts of the model on the </w:t>
            </w:r>
            <w:r w:rsidR="004436BC">
              <w:rPr>
                <w:b w:val="0"/>
                <w:bCs w:val="0"/>
              </w:rPr>
              <w:t xml:space="preserve">costs and </w:t>
            </w:r>
            <w:r w:rsidRPr="002A04B4">
              <w:rPr>
                <w:b w:val="0"/>
                <w:bCs w:val="0"/>
              </w:rPr>
              <w:t>benefits</w:t>
            </w:r>
            <w:r w:rsidRPr="002A04B4" w:rsidDel="004436BC">
              <w:rPr>
                <w:b w:val="0"/>
                <w:bCs w:val="0"/>
              </w:rPr>
              <w:t xml:space="preserve"> </w:t>
            </w:r>
            <w:r w:rsidRPr="002A04B4">
              <w:rPr>
                <w:b w:val="0"/>
                <w:bCs w:val="0"/>
              </w:rPr>
              <w:t>associated with institutional repositories</w:t>
            </w:r>
            <w:r>
              <w:rPr>
                <w:b w:val="0"/>
                <w:bCs w:val="0"/>
              </w:rPr>
              <w:t>.</w:t>
            </w:r>
          </w:p>
          <w:p w14:paraId="22127DD4" w14:textId="77777777" w:rsidR="00E62E55" w:rsidRPr="006F6261" w:rsidRDefault="00E62E55" w:rsidP="00402F12">
            <w:pPr>
              <w:pStyle w:val="TableBullet"/>
              <w:jc w:val="left"/>
              <w:rPr>
                <w:b w:val="0"/>
                <w:bCs w:val="0"/>
              </w:rPr>
            </w:pPr>
            <w:r w:rsidRPr="006F6261">
              <w:rPr>
                <w:b w:val="0"/>
                <w:bCs w:val="0"/>
              </w:rPr>
              <w:t>The options and costs associated with the development of a secure digital portal for content access.</w:t>
            </w:r>
          </w:p>
        </w:tc>
        <w:tc>
          <w:tcPr>
            <w:tcW w:w="3260" w:type="dxa"/>
          </w:tcPr>
          <w:p w14:paraId="3A71E2EB" w14:textId="77777777" w:rsidR="00E62E55" w:rsidRPr="007D0402" w:rsidRDefault="00E62E55" w:rsidP="00D67B46">
            <w:pPr>
              <w:pStyle w:val="TableText"/>
              <w:cnfStyle w:val="000000100000" w:firstRow="0" w:lastRow="0" w:firstColumn="0" w:lastColumn="0" w:oddVBand="0" w:evenVBand="0" w:oddHBand="1" w:evenHBand="0" w:firstRowFirstColumn="0" w:firstRowLastColumn="0" w:lastRowFirstColumn="0" w:lastRowLastColumn="0"/>
              <w:rPr>
                <w:b/>
                <w:bCs/>
              </w:rPr>
            </w:pPr>
            <w:r w:rsidRPr="007D0402">
              <w:rPr>
                <w:b/>
                <w:bCs/>
              </w:rPr>
              <w:t>Public consultation and ongoing engagement with key stakeholders will remain essential.</w:t>
            </w:r>
          </w:p>
          <w:p w14:paraId="3E1B197D" w14:textId="77777777" w:rsidR="00E62E55" w:rsidRDefault="00E62E55" w:rsidP="00D67B46">
            <w:pPr>
              <w:pStyle w:val="TableText"/>
              <w:cnfStyle w:val="000000100000" w:firstRow="0" w:lastRow="0" w:firstColumn="0" w:lastColumn="0" w:oddVBand="0" w:evenVBand="0" w:oddHBand="1" w:evenHBand="0" w:firstRowFirstColumn="0" w:firstRowLastColumn="0" w:lastRowFirstColumn="0" w:lastRowLastColumn="0"/>
            </w:pPr>
            <w:r>
              <w:t>Key issues that will need additional input from consultations include:</w:t>
            </w:r>
          </w:p>
          <w:p w14:paraId="30ADB6EA" w14:textId="77777777" w:rsidR="00E62E55"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 xml:space="preserve">The potential impact of the proposed model on competition in the academic publishing market and related legal implications. </w:t>
            </w:r>
          </w:p>
          <w:p w14:paraId="134EF512" w14:textId="07271313" w:rsidR="00E62E55"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T</w:t>
            </w:r>
            <w:r w:rsidRPr="007E29B7">
              <w:t>he strengths and weaknesses of different funding approaches</w:t>
            </w:r>
            <w:r>
              <w:t xml:space="preserve"> and stakeholder implications and </w:t>
            </w:r>
            <w:r w:rsidR="00D251EE">
              <w:t xml:space="preserve">levels of </w:t>
            </w:r>
            <w:r>
              <w:t>support.</w:t>
            </w:r>
          </w:p>
          <w:p w14:paraId="571C60A5" w14:textId="77777777" w:rsidR="00E62E55"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 xml:space="preserve">Appropriate definitions for eligible </w:t>
            </w:r>
            <w:r w:rsidRPr="00DF6C2E">
              <w:t>Australian users and Australian journal articles</w:t>
            </w:r>
            <w:r>
              <w:t>.</w:t>
            </w:r>
          </w:p>
          <w:p w14:paraId="76B4811D" w14:textId="77777777" w:rsidR="00E62E55"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Appropriate licensing options for journal articles.</w:t>
            </w:r>
          </w:p>
          <w:p w14:paraId="05CA3A50" w14:textId="68192D1D" w:rsidR="00E62E55" w:rsidRPr="00885757"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End-users</w:t>
            </w:r>
            <w:r w:rsidR="00D251EE">
              <w:t>’</w:t>
            </w:r>
            <w:r>
              <w:t xml:space="preserve"> needs and their support for the proposed model.</w:t>
            </w:r>
          </w:p>
        </w:tc>
        <w:tc>
          <w:tcPr>
            <w:tcW w:w="3254" w:type="dxa"/>
          </w:tcPr>
          <w:p w14:paraId="3A2BBD72" w14:textId="77777777" w:rsidR="00E62E55" w:rsidRDefault="00E62E55" w:rsidP="00402F12">
            <w:pPr>
              <w:pStyle w:val="RowHeading"/>
              <w:jc w:val="both"/>
              <w:cnfStyle w:val="000000100000" w:firstRow="0" w:lastRow="0" w:firstColumn="0" w:lastColumn="0" w:oddVBand="0" w:evenVBand="0" w:oddHBand="1" w:evenHBand="0" w:firstRowFirstColumn="0" w:firstRowLastColumn="0" w:lastRowFirstColumn="0" w:lastRowLastColumn="0"/>
            </w:pPr>
            <w:r>
              <w:t>Many of the design considerations will only be addressed through strategic planning.</w:t>
            </w:r>
          </w:p>
          <w:p w14:paraId="3B0F8299" w14:textId="77777777" w:rsidR="00E62E55" w:rsidRDefault="00E62E55" w:rsidP="00D67B46">
            <w:pPr>
              <w:pStyle w:val="TableText"/>
              <w:cnfStyle w:val="000000100000" w:firstRow="0" w:lastRow="0" w:firstColumn="0" w:lastColumn="0" w:oddVBand="0" w:evenVBand="0" w:oddHBand="1" w:evenHBand="0" w:firstRowFirstColumn="0" w:firstRowLastColumn="0" w:lastRowFirstColumn="0" w:lastRowLastColumn="0"/>
            </w:pPr>
            <w:r w:rsidRPr="0036306D">
              <w:t xml:space="preserve">Key issues </w:t>
            </w:r>
            <w:r>
              <w:t>that require additional</w:t>
            </w:r>
            <w:r w:rsidRPr="0036306D">
              <w:t xml:space="preserve"> consider</w:t>
            </w:r>
            <w:r>
              <w:t>ation and planning</w:t>
            </w:r>
            <w:r w:rsidRPr="0036306D">
              <w:t xml:space="preserve"> include: </w:t>
            </w:r>
          </w:p>
          <w:p w14:paraId="5D120CA9" w14:textId="78CB6AB9" w:rsidR="00E62E55"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 xml:space="preserve">An appropriate governance model for the </w:t>
            </w:r>
            <w:r w:rsidR="00F270C2">
              <w:t xml:space="preserve">proposed </w:t>
            </w:r>
            <w:r>
              <w:t>implementation body.</w:t>
            </w:r>
          </w:p>
          <w:p w14:paraId="187C8A83" w14:textId="38418A71" w:rsidR="00E62E55" w:rsidRDefault="00D251EE" w:rsidP="00402F12">
            <w:pPr>
              <w:pStyle w:val="TableBullet"/>
              <w:jc w:val="left"/>
              <w:cnfStyle w:val="000000100000" w:firstRow="0" w:lastRow="0" w:firstColumn="0" w:lastColumn="0" w:oddVBand="0" w:evenVBand="0" w:oddHBand="1" w:evenHBand="0" w:firstRowFirstColumn="0" w:firstRowLastColumn="0" w:lastRowFirstColumn="0" w:lastRowLastColumn="0"/>
            </w:pPr>
            <w:r>
              <w:t>F</w:t>
            </w:r>
            <w:r w:rsidR="00E62E55">
              <w:t>lexibility to include diverse publishers and be responsive to changes in the publishing sector.</w:t>
            </w:r>
          </w:p>
          <w:p w14:paraId="7CDA7244" w14:textId="56813241" w:rsidR="00E62E55" w:rsidRDefault="006E64B3" w:rsidP="00402F12">
            <w:pPr>
              <w:pStyle w:val="TableBullet"/>
              <w:jc w:val="left"/>
              <w:cnfStyle w:val="000000100000" w:firstRow="0" w:lastRow="0" w:firstColumn="0" w:lastColumn="0" w:oddVBand="0" w:evenVBand="0" w:oddHBand="1" w:evenHBand="0" w:firstRowFirstColumn="0" w:firstRowLastColumn="0" w:lastRowFirstColumn="0" w:lastRowLastColumn="0"/>
            </w:pPr>
            <w:r w:rsidRPr="006E64B3">
              <w:t>Enhancing Australia’s ability to negotiate standard, open access terms with publishers</w:t>
            </w:r>
            <w:r w:rsidR="00E62E55">
              <w:t>.</w:t>
            </w:r>
          </w:p>
          <w:p w14:paraId="635EA11F" w14:textId="254ACF16" w:rsidR="00E62E55" w:rsidRDefault="00392423" w:rsidP="00402F12">
            <w:pPr>
              <w:pStyle w:val="TableBullet"/>
              <w:jc w:val="left"/>
              <w:cnfStyle w:val="000000100000" w:firstRow="0" w:lastRow="0" w:firstColumn="0" w:lastColumn="0" w:oddVBand="0" w:evenVBand="0" w:oddHBand="1" w:evenHBand="0" w:firstRowFirstColumn="0" w:firstRowLastColumn="0" w:lastRowFirstColumn="0" w:lastRowLastColumn="0"/>
            </w:pPr>
            <w:r>
              <w:t>Possible a</w:t>
            </w:r>
            <w:r w:rsidR="00E62E55">
              <w:t xml:space="preserve">dditional funding contributions, </w:t>
            </w:r>
            <w:r w:rsidR="00D251EE">
              <w:t xml:space="preserve">including from </w:t>
            </w:r>
            <w:r w:rsidR="00E62E55">
              <w:t xml:space="preserve">broader stakeholder groups </w:t>
            </w:r>
            <w:r w:rsidR="00D251EE">
              <w:t>such as</w:t>
            </w:r>
            <w:r w:rsidR="00E62E55">
              <w:t xml:space="preserve"> industry.</w:t>
            </w:r>
          </w:p>
          <w:p w14:paraId="40581D5F" w14:textId="77777777" w:rsidR="00E62E55" w:rsidRPr="005B367F" w:rsidRDefault="00E62E55" w:rsidP="00402F12">
            <w:pPr>
              <w:pStyle w:val="TableBullet"/>
              <w:jc w:val="left"/>
              <w:cnfStyle w:val="000000100000" w:firstRow="0" w:lastRow="0" w:firstColumn="0" w:lastColumn="0" w:oddVBand="0" w:evenVBand="0" w:oddHBand="1" w:evenHBand="0" w:firstRowFirstColumn="0" w:firstRowLastColumn="0" w:lastRowFirstColumn="0" w:lastRowLastColumn="0"/>
            </w:pPr>
            <w:r>
              <w:t>C</w:t>
            </w:r>
            <w:r w:rsidRPr="00302135">
              <w:t xml:space="preserve">ommunications and engagement to support uptake and use of information available through </w:t>
            </w:r>
            <w:r>
              <w:t>the proposed model</w:t>
            </w:r>
            <w:r w:rsidRPr="00302135">
              <w:t>.</w:t>
            </w:r>
          </w:p>
        </w:tc>
      </w:tr>
    </w:tbl>
    <w:p w14:paraId="612ED314" w14:textId="28483E6D" w:rsidR="005E6933" w:rsidRPr="00563DEE" w:rsidRDefault="002F4B4B" w:rsidP="0056561B">
      <w:pPr>
        <w:pStyle w:val="Heading1notnumbered"/>
      </w:pPr>
      <w:r>
        <w:lastRenderedPageBreak/>
        <w:t>Report background</w:t>
      </w:r>
    </w:p>
    <w:p w14:paraId="5C64A0B3" w14:textId="77777777" w:rsidR="005E6933" w:rsidRDefault="005E6933" w:rsidP="00A47B69">
      <w:pPr>
        <w:pStyle w:val="BodyText"/>
        <w:rPr>
          <w:b/>
          <w:bCs/>
          <w:szCs w:val="24"/>
        </w:rPr>
      </w:pPr>
      <w:r w:rsidRPr="004147FD">
        <w:t xml:space="preserve">Australia’s Chief Scientist, Dr Cathy Foley, has identified open access as a priority and </w:t>
      </w:r>
      <w:r>
        <w:rPr>
          <w:bCs/>
          <w:szCs w:val="24"/>
        </w:rPr>
        <w:t>is working to</w:t>
      </w:r>
      <w:r w:rsidRPr="00A25D44">
        <w:t xml:space="preserve"> accelerate Australia’s transition to open access.</w:t>
      </w:r>
      <w:r w:rsidRPr="00A25D44">
        <w:rPr>
          <w:b/>
        </w:rPr>
        <w:t xml:space="preserve"> </w:t>
      </w:r>
    </w:p>
    <w:p w14:paraId="1B75D0B1" w14:textId="77777777" w:rsidR="005E6933" w:rsidRPr="00821DA9" w:rsidRDefault="005E6933" w:rsidP="00A47B69">
      <w:pPr>
        <w:pStyle w:val="BodyText"/>
      </w:pPr>
      <w:r w:rsidRPr="00640582">
        <w:t xml:space="preserve">Recognising the complexity in the system and that Australia’s transition towards open access will require significant change, the </w:t>
      </w:r>
      <w:r>
        <w:rPr>
          <w:szCs w:val="24"/>
        </w:rPr>
        <w:t>Office of the Chief Scientist</w:t>
      </w:r>
      <w:r w:rsidRPr="00563DEE">
        <w:rPr>
          <w:szCs w:val="24"/>
        </w:rPr>
        <w:t xml:space="preserve"> </w:t>
      </w:r>
      <w:r>
        <w:rPr>
          <w:szCs w:val="24"/>
        </w:rPr>
        <w:t>(</w:t>
      </w:r>
      <w:r w:rsidRPr="00640582">
        <w:t>OCS</w:t>
      </w:r>
      <w:r>
        <w:rPr>
          <w:szCs w:val="24"/>
        </w:rPr>
        <w:t>)</w:t>
      </w:r>
      <w:r w:rsidRPr="00640582">
        <w:t xml:space="preserve"> engaged CSIRO Futures</w:t>
      </w:r>
      <w:r>
        <w:t xml:space="preserve"> – the </w:t>
      </w:r>
      <w:r w:rsidRPr="00640582">
        <w:t>strategic and economic advisory arm of Australia’s national science agency</w:t>
      </w:r>
      <w:r>
        <w:t xml:space="preserve"> – to </w:t>
      </w:r>
      <w:r>
        <w:rPr>
          <w:szCs w:val="24"/>
        </w:rPr>
        <w:t xml:space="preserve">partner with the OCS in </w:t>
      </w:r>
      <w:r w:rsidRPr="00563DEE">
        <w:rPr>
          <w:szCs w:val="24"/>
        </w:rPr>
        <w:t>conduct</w:t>
      </w:r>
      <w:r>
        <w:rPr>
          <w:szCs w:val="24"/>
        </w:rPr>
        <w:t>ing</w:t>
      </w:r>
      <w:r w:rsidRPr="00640582">
        <w:t xml:space="preserve"> a prospective analysis</w:t>
      </w:r>
      <w:r>
        <w:t xml:space="preserve"> </w:t>
      </w:r>
      <w:r w:rsidRPr="00640582">
        <w:t xml:space="preserve">to inform consideration of </w:t>
      </w:r>
      <w:r w:rsidRPr="00821DA9">
        <w:t xml:space="preserve">a national open access strategy for Australia. </w:t>
      </w:r>
    </w:p>
    <w:p w14:paraId="36ED0F95" w14:textId="16816DF4" w:rsidR="003D7E9D" w:rsidRPr="00B638B8" w:rsidRDefault="003D7E9D" w:rsidP="003D7E9D">
      <w:pPr>
        <w:pStyle w:val="BodyText"/>
      </w:pPr>
      <w:r w:rsidRPr="00821DA9">
        <w:t xml:space="preserve">This </w:t>
      </w:r>
      <w:r>
        <w:t>report is designed to initiate and support</w:t>
      </w:r>
      <w:r w:rsidRPr="00B638B8">
        <w:t xml:space="preserve"> discussion</w:t>
      </w:r>
      <w:r>
        <w:t>s</w:t>
      </w:r>
      <w:r w:rsidRPr="00B638B8">
        <w:t xml:space="preserve"> with key stakeholders on </w:t>
      </w:r>
      <w:r>
        <w:rPr>
          <w:szCs w:val="24"/>
        </w:rPr>
        <w:t>a possible</w:t>
      </w:r>
      <w:r w:rsidRPr="00B638B8">
        <w:t xml:space="preserve"> Australian model developed by the OCS. It has been informed by analysis of international case studies, a survey of </w:t>
      </w:r>
      <w:r w:rsidRPr="00563DEE">
        <w:rPr>
          <w:szCs w:val="24"/>
        </w:rPr>
        <w:t>stakeholders</w:t>
      </w:r>
      <w:r>
        <w:rPr>
          <w:szCs w:val="24"/>
        </w:rPr>
        <w:t>’</w:t>
      </w:r>
      <w:r w:rsidRPr="00B638B8">
        <w:t xml:space="preserve"> expenditure on journal subscriptions and open access publishing, economic analysis to </w:t>
      </w:r>
      <w:r>
        <w:t xml:space="preserve">help consider </w:t>
      </w:r>
      <w:r w:rsidRPr="00B638B8">
        <w:t xml:space="preserve">the possible cost of the </w:t>
      </w:r>
      <w:r>
        <w:t xml:space="preserve">proposed </w:t>
      </w:r>
      <w:r w:rsidRPr="00B638B8">
        <w:t>model, and consultation with diverse stakeholders with interests in academic publishing and the broader research and innovation ecosystem.</w:t>
      </w:r>
      <w:r>
        <w:t xml:space="preserve"> These stakeholders included research funders, universities and research institutions, publish</w:t>
      </w:r>
      <w:r w:rsidR="00233018">
        <w:t>ers</w:t>
      </w:r>
      <w:r>
        <w:t>, regulatory bodies, industry</w:t>
      </w:r>
      <w:r w:rsidR="00233018">
        <w:t>,</w:t>
      </w:r>
      <w:r>
        <w:t xml:space="preserve"> and not-for-profits and advocacy groups (see Appendix A for consulted organisations).</w:t>
      </w:r>
    </w:p>
    <w:p w14:paraId="1082775E" w14:textId="674170F8" w:rsidR="003E6B26" w:rsidRDefault="005C2517" w:rsidP="00882C33">
      <w:pPr>
        <w:pStyle w:val="BodyText"/>
      </w:pPr>
      <w:r>
        <w:t xml:space="preserve">As the </w:t>
      </w:r>
      <w:r w:rsidRPr="00563DEE">
        <w:t xml:space="preserve">first stage in </w:t>
      </w:r>
      <w:r>
        <w:t xml:space="preserve">the </w:t>
      </w:r>
      <w:r w:rsidR="00882C33">
        <w:t xml:space="preserve">potential </w:t>
      </w:r>
      <w:r>
        <w:t xml:space="preserve">development of a </w:t>
      </w:r>
      <w:r w:rsidRPr="00821DA9">
        <w:t>national open access strategy for Australia</w:t>
      </w:r>
      <w:r>
        <w:t>, th</w:t>
      </w:r>
      <w:r w:rsidR="00A5484A">
        <w:t>e scope of</w:t>
      </w:r>
      <w:r w:rsidRPr="005C2517">
        <w:t xml:space="preserve"> this report </w:t>
      </w:r>
      <w:r>
        <w:t xml:space="preserve">is </w:t>
      </w:r>
      <w:r w:rsidRPr="005C2517">
        <w:t xml:space="preserve">limited to exploring the current state of </w:t>
      </w:r>
      <w:r w:rsidR="00C210D9">
        <w:t xml:space="preserve">open access in </w:t>
      </w:r>
      <w:r w:rsidRPr="005C2517">
        <w:t xml:space="preserve">Australia and understanding concerns, unintended consequences and design considerations </w:t>
      </w:r>
      <w:r w:rsidR="00C210D9">
        <w:t>for</w:t>
      </w:r>
      <w:r w:rsidRPr="005C2517">
        <w:t xml:space="preserve"> the </w:t>
      </w:r>
      <w:r w:rsidR="00180A22">
        <w:t>proposed</w:t>
      </w:r>
      <w:r w:rsidR="00DB32E3">
        <w:t xml:space="preserve"> </w:t>
      </w:r>
      <w:r w:rsidR="00DB32E3" w:rsidRPr="00B638B8">
        <w:t>Australian</w:t>
      </w:r>
      <w:r w:rsidRPr="005C2517">
        <w:t xml:space="preserve"> model</w:t>
      </w:r>
      <w:r w:rsidR="00DB32E3" w:rsidRPr="00B638B8">
        <w:t xml:space="preserve"> developed by the OCS.</w:t>
      </w:r>
      <w:r w:rsidRPr="005C2517">
        <w:t xml:space="preserve"> </w:t>
      </w:r>
      <w:r w:rsidR="000409E1">
        <w:t>F</w:t>
      </w:r>
      <w:r w:rsidRPr="005C2517">
        <w:t>urther engagement, analysis</w:t>
      </w:r>
      <w:r w:rsidR="000409E1" w:rsidRPr="00681108">
        <w:t>,</w:t>
      </w:r>
      <w:r w:rsidR="000409E1" w:rsidRPr="00965F93">
        <w:t xml:space="preserve"> </w:t>
      </w:r>
      <w:r w:rsidR="000409E1" w:rsidRPr="00020D93">
        <w:t xml:space="preserve">consultation, </w:t>
      </w:r>
      <w:r w:rsidR="000409E1" w:rsidRPr="00681108">
        <w:t>and</w:t>
      </w:r>
      <w:r w:rsidR="000409E1" w:rsidRPr="00965F93">
        <w:t xml:space="preserve"> </w:t>
      </w:r>
      <w:r w:rsidR="000409E1" w:rsidRPr="00FD368E">
        <w:t>strategic</w:t>
      </w:r>
      <w:r w:rsidR="000409E1" w:rsidRPr="00020D93">
        <w:t xml:space="preserve"> planning</w:t>
      </w:r>
      <w:r w:rsidRPr="005C2517">
        <w:t xml:space="preserve"> will be required to inform the national open access strategy.</w:t>
      </w:r>
    </w:p>
    <w:p w14:paraId="08724122" w14:textId="5738B361" w:rsidR="00682485" w:rsidRDefault="00682485" w:rsidP="00682485">
      <w:pPr>
        <w:pStyle w:val="BodyText"/>
      </w:pPr>
      <w:r w:rsidRPr="00B638B8">
        <w:t xml:space="preserve">This document </w:t>
      </w:r>
      <w:r w:rsidR="00D82B68" w:rsidRPr="00BC2376">
        <w:t xml:space="preserve">is intended to inform the work of the OCS </w:t>
      </w:r>
      <w:r w:rsidRPr="00B638B8">
        <w:t xml:space="preserve">and </w:t>
      </w:r>
      <w:r w:rsidR="002A1EF0" w:rsidRPr="00B638B8">
        <w:t xml:space="preserve">to support further and deeper engagement with stakeholders. </w:t>
      </w:r>
      <w:r w:rsidR="002A1EF0">
        <w:t xml:space="preserve">As such, it </w:t>
      </w:r>
      <w:r w:rsidR="00D82B68" w:rsidRPr="00BC2376">
        <w:t>is not intended to be a public document</w:t>
      </w:r>
      <w:r w:rsidR="00D82B68">
        <w:t xml:space="preserve">. </w:t>
      </w:r>
      <w:r w:rsidRPr="00B638B8">
        <w:t xml:space="preserve">While the OCS has helped guide the prospective analysis process, this document may not reflect the views of the OCS </w:t>
      </w:r>
      <w:r>
        <w:rPr>
          <w:szCs w:val="24"/>
        </w:rPr>
        <w:t>n</w:t>
      </w:r>
      <w:r w:rsidRPr="00563DEE">
        <w:rPr>
          <w:szCs w:val="24"/>
        </w:rPr>
        <w:t>or</w:t>
      </w:r>
      <w:r w:rsidRPr="00B638B8">
        <w:t xml:space="preserve"> those of </w:t>
      </w:r>
      <w:r>
        <w:rPr>
          <w:szCs w:val="24"/>
        </w:rPr>
        <w:t>Australia’s</w:t>
      </w:r>
      <w:r w:rsidRPr="00563DEE">
        <w:rPr>
          <w:szCs w:val="24"/>
        </w:rPr>
        <w:t xml:space="preserve"> </w:t>
      </w:r>
      <w:r w:rsidRPr="00B638B8">
        <w:t xml:space="preserve">Chief Scientist. </w:t>
      </w:r>
    </w:p>
    <w:p w14:paraId="1DB8C9C3" w14:textId="7EBA2745" w:rsidR="005E6933" w:rsidRDefault="005E6933" w:rsidP="00882C33">
      <w:pPr>
        <w:pStyle w:val="BodyText"/>
      </w:pPr>
      <w:r>
        <w:br w:type="page"/>
      </w:r>
    </w:p>
    <w:p w14:paraId="19F3EBBC" w14:textId="3F1BBF37" w:rsidR="005E6933" w:rsidRPr="00563DEE" w:rsidRDefault="005E6933" w:rsidP="005E6933">
      <w:pPr>
        <w:pStyle w:val="Heading1"/>
      </w:pPr>
      <w:bookmarkStart w:id="4" w:name="_Toc87629928"/>
      <w:r w:rsidRPr="00563DEE">
        <w:lastRenderedPageBreak/>
        <w:t>Why Open Access?</w:t>
      </w:r>
      <w:bookmarkEnd w:id="4"/>
    </w:p>
    <w:p w14:paraId="1C135EBE" w14:textId="27144752" w:rsidR="00C63D67" w:rsidRDefault="005E6933" w:rsidP="00F35E47">
      <w:pPr>
        <w:jc w:val="both"/>
      </w:pPr>
      <w:r w:rsidRPr="0056561B">
        <w:t xml:space="preserve">Each year Australia invests billions in research on the principle that it </w:t>
      </w:r>
      <w:r w:rsidR="00474D95" w:rsidRPr="0056561B">
        <w:t>may</w:t>
      </w:r>
      <w:r w:rsidRPr="0056561B">
        <w:t xml:space="preserve"> create </w:t>
      </w:r>
      <w:r w:rsidR="00870F89" w:rsidRPr="0056561B">
        <w:t xml:space="preserve">a </w:t>
      </w:r>
      <w:r w:rsidRPr="0056561B">
        <w:t>return on investment to society.</w:t>
      </w:r>
      <w:r w:rsidRPr="00563DEE">
        <w:t xml:space="preserve"> Australia’s government, non-profit</w:t>
      </w:r>
      <w:r>
        <w:t>,</w:t>
      </w:r>
      <w:r w:rsidRPr="00563DEE">
        <w:t xml:space="preserve"> and higher education expenditure on research and development exceeded $17.4 billion in the 2019-20 financial year.</w:t>
      </w:r>
      <w:r>
        <w:rPr>
          <w:rStyle w:val="FootnoteReference"/>
          <w:shd w:val="clear" w:color="auto" w:fill="FFFFFF"/>
        </w:rPr>
        <w:footnoteReference w:id="23"/>
      </w:r>
      <w:r w:rsidRPr="00563DEE">
        <w:t xml:space="preserve"> Academic research and related innovations can create impact for Australia by advancing knowledge, creating new products and</w:t>
      </w:r>
      <w:r>
        <w:t xml:space="preserve"> services,</w:t>
      </w:r>
      <w:r w:rsidRPr="00563DEE">
        <w:t xml:space="preserve"> increasing productivity, and solving societal and environmental challenges.</w:t>
      </w:r>
      <w:r w:rsidRPr="00563DEE">
        <w:rPr>
          <w:rStyle w:val="FootnoteReference"/>
          <w:rFonts w:cstheme="minorHAnsi"/>
        </w:rPr>
        <w:footnoteReference w:id="24"/>
      </w:r>
    </w:p>
    <w:p w14:paraId="3DA73DCD" w14:textId="7E852D29" w:rsidR="005E6933" w:rsidRPr="00ED2CC8" w:rsidRDefault="005E6933" w:rsidP="00F35E47">
      <w:pPr>
        <w:jc w:val="both"/>
      </w:pPr>
      <w:r>
        <w:t xml:space="preserve">Increasing access to this research </w:t>
      </w:r>
      <w:r w:rsidR="00E577B8">
        <w:t xml:space="preserve">could </w:t>
      </w:r>
      <w:r>
        <w:t xml:space="preserve">improve Australia’s </w:t>
      </w:r>
      <w:r w:rsidRPr="00E177C0">
        <w:t>return on investment</w:t>
      </w:r>
      <w:r>
        <w:t xml:space="preserve"> in research and development</w:t>
      </w:r>
      <w:r w:rsidR="00E577B8">
        <w:t>,</w:t>
      </w:r>
      <w:r w:rsidRPr="00E177C0">
        <w:t xml:space="preserve"> </w:t>
      </w:r>
      <w:r>
        <w:t xml:space="preserve">and </w:t>
      </w:r>
      <w:r w:rsidRPr="005E6933">
        <w:t>provide</w:t>
      </w:r>
      <w:r>
        <w:t xml:space="preserve"> benefits to a wide variety of stakeholders</w:t>
      </w:r>
      <w:r w:rsidRPr="00E177C0">
        <w:t xml:space="preserve">. </w:t>
      </w:r>
      <w:r>
        <w:t>For example,</w:t>
      </w:r>
      <w:r w:rsidRPr="00563DEE">
        <w:t xml:space="preserve"> research outputs </w:t>
      </w:r>
      <w:r>
        <w:t>can</w:t>
      </w:r>
      <w:r w:rsidRPr="00563DEE">
        <w:t xml:space="preserve"> be used by professionals in diverse industries, by </w:t>
      </w:r>
      <w:r>
        <w:t>public servants</w:t>
      </w:r>
      <w:r w:rsidRPr="00563DEE">
        <w:t xml:space="preserve"> to </w:t>
      </w:r>
      <w:r>
        <w:t>develop</w:t>
      </w:r>
      <w:r w:rsidRPr="00563DEE">
        <w:t xml:space="preserve"> evidence-based polic</w:t>
      </w:r>
      <w:r>
        <w:t>ies</w:t>
      </w:r>
      <w:r w:rsidRPr="00563DEE">
        <w:t>, and by members of the public to engage with research and develop a deeper understanding of the world around them.</w:t>
      </w:r>
      <w:r>
        <w:t xml:space="preserve"> </w:t>
      </w:r>
    </w:p>
    <w:p w14:paraId="53FAA548" w14:textId="6A8A64EA" w:rsidR="005E6933" w:rsidRDefault="005E6933" w:rsidP="00F35E47">
      <w:pPr>
        <w:pStyle w:val="BodyText"/>
      </w:pPr>
      <w:r>
        <w:t xml:space="preserve">The academic publishing sector provides services (see </w:t>
      </w:r>
      <w:r>
        <w:fldChar w:fldCharType="begin"/>
      </w:r>
      <w:r>
        <w:instrText xml:space="preserve"> REF _Ref85637062 \h </w:instrText>
      </w:r>
      <w:r w:rsidR="00F35E47">
        <w:instrText xml:space="preserve"> \* MERGEFORMAT </w:instrText>
      </w:r>
      <w:r>
        <w:fldChar w:fldCharType="separate"/>
      </w:r>
      <w:r w:rsidR="007E283B" w:rsidRPr="00056291">
        <w:t xml:space="preserve">Figure </w:t>
      </w:r>
      <w:r w:rsidR="007E283B">
        <w:rPr>
          <w:noProof/>
        </w:rPr>
        <w:t>1</w:t>
      </w:r>
      <w:r>
        <w:fldChar w:fldCharType="end"/>
      </w:r>
      <w:r>
        <w:t>) that support Australia’s research integrity and promote the dissemination of research outputs.</w:t>
      </w:r>
      <w:r w:rsidR="0025774D" w:rsidRPr="0025774D">
        <w:t xml:space="preserve"> </w:t>
      </w:r>
      <w:r w:rsidR="0025774D" w:rsidRPr="00563DEE">
        <w:t xml:space="preserve">However, research </w:t>
      </w:r>
      <w:r w:rsidR="00E577B8">
        <w:t>outputs</w:t>
      </w:r>
      <w:r w:rsidR="00E577B8" w:rsidRPr="00563DEE">
        <w:t xml:space="preserve"> </w:t>
      </w:r>
      <w:r w:rsidR="0025774D" w:rsidRPr="00563DEE">
        <w:t xml:space="preserve">(in the form of peer-reviewed journal articles) are </w:t>
      </w:r>
      <w:r w:rsidR="0025774D">
        <w:t xml:space="preserve">commonly </w:t>
      </w:r>
      <w:r w:rsidR="0025774D" w:rsidRPr="00563DEE">
        <w:t xml:space="preserve">paywalled by publishers, </w:t>
      </w:r>
      <w:r w:rsidR="00117303" w:rsidRPr="00117303">
        <w:t>which may inhibit</w:t>
      </w:r>
      <w:r w:rsidR="0025774D" w:rsidRPr="00563DEE">
        <w:t xml:space="preserve"> access to what is often publicly funded research.</w:t>
      </w:r>
    </w:p>
    <w:p w14:paraId="51A3A3C1" w14:textId="7696B2A1" w:rsidR="005E6933" w:rsidRDefault="005E6933" w:rsidP="00A47B69">
      <w:pPr>
        <w:pStyle w:val="Caption"/>
      </w:pPr>
      <w:bookmarkStart w:id="5" w:name="_Ref85637062"/>
      <w:bookmarkStart w:id="6" w:name="_Ref85636565"/>
      <w:r w:rsidRPr="00056291">
        <w:t xml:space="preserve">Figure </w:t>
      </w:r>
      <w:r w:rsidR="003B28D9">
        <w:fldChar w:fldCharType="begin"/>
      </w:r>
      <w:r w:rsidR="003B28D9">
        <w:instrText xml:space="preserve"> SEQ Figure \* ARABIC </w:instrText>
      </w:r>
      <w:r w:rsidR="003B28D9">
        <w:fldChar w:fldCharType="separate"/>
      </w:r>
      <w:r w:rsidR="007E283B">
        <w:rPr>
          <w:noProof/>
        </w:rPr>
        <w:t>1</w:t>
      </w:r>
      <w:r w:rsidR="003B28D9">
        <w:rPr>
          <w:noProof/>
        </w:rPr>
        <w:fldChar w:fldCharType="end"/>
      </w:r>
      <w:bookmarkEnd w:id="5"/>
      <w:r w:rsidRPr="00056291">
        <w:t xml:space="preserve">: </w:t>
      </w:r>
      <w:r>
        <w:t>Typical</w:t>
      </w:r>
      <w:r w:rsidRPr="00056291">
        <w:t xml:space="preserve"> </w:t>
      </w:r>
      <w:r>
        <w:t>process</w:t>
      </w:r>
      <w:r w:rsidRPr="00056291">
        <w:t xml:space="preserve"> </w:t>
      </w:r>
      <w:r>
        <w:t>for</w:t>
      </w:r>
      <w:r w:rsidRPr="00056291">
        <w:t xml:space="preserve"> publish</w:t>
      </w:r>
      <w:r>
        <w:t>ing</w:t>
      </w:r>
      <w:r w:rsidRPr="00056291">
        <w:t xml:space="preserve"> a manuscript in a</w:t>
      </w:r>
      <w:r>
        <w:t xml:space="preserve"> peer-reviewed</w:t>
      </w:r>
      <w:r w:rsidRPr="00056291">
        <w:t xml:space="preserve"> academic journal</w:t>
      </w:r>
      <w:bookmarkEnd w:id="6"/>
      <w:r>
        <w:rPr>
          <w:rStyle w:val="FootnoteReference"/>
        </w:rPr>
        <w:footnoteReference w:id="25"/>
      </w:r>
    </w:p>
    <w:p w14:paraId="0DCE12D6" w14:textId="77777777" w:rsidR="005E6933" w:rsidRDefault="005E6933" w:rsidP="006461BC">
      <w:pPr>
        <w:jc w:val="center"/>
        <w:rPr>
          <w:rFonts w:asciiTheme="minorHAnsi" w:hAnsiTheme="minorHAnsi" w:cstheme="minorHAnsi"/>
        </w:rPr>
      </w:pPr>
      <w:r>
        <w:rPr>
          <w:noProof/>
        </w:rPr>
        <w:drawing>
          <wp:inline distT="0" distB="0" distL="0" distR="0" wp14:anchorId="1BCE096A" wp14:editId="4B2B9BB5">
            <wp:extent cx="6120130" cy="2897908"/>
            <wp:effectExtent l="0" t="0" r="0" b="0"/>
            <wp:docPr id="39" name="Picture 39" descr="A flow chart with icons depicting the following steps. &#10;1. Researcher selects journal.&#10;2. Researcher prepares manuscript.&#10;3. Researcher submits manuscript to journal.&#10;4. Journal initiates peer review process.&#10;4A. If Journal rejects manuscript and requires revisions return to step 2.&#10;5. Journal accepts manuscript.&#10;6. Journal commences editing, proofreading and typesetting.&#10;7. Journal published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flow chart with icons depicting the following steps. &#10;1. Researcher selects journal.&#10;2. Researcher prepares manuscript.&#10;3. Researcher submits manuscript to journal.&#10;4. Journal initiates peer review process.&#10;4A. If Journal rejects manuscript and requires revisions return to step 2.&#10;5. Journal accepts manuscript.&#10;6. Journal commences editing, proofreading and typesetting.&#10;7. Journal published manuscript."/>
                    <pic:cNvPicPr>
                      <a:picLocks noChangeAspect="1" noChangeArrowheads="1"/>
                    </pic:cNvPicPr>
                  </pic:nvPicPr>
                  <pic:blipFill>
                    <a:blip r:embed="rId14"/>
                    <a:stretch>
                      <a:fillRect/>
                    </a:stretch>
                  </pic:blipFill>
                  <pic:spPr bwMode="auto">
                    <a:xfrm>
                      <a:off x="0" y="0"/>
                      <a:ext cx="6120130" cy="2897908"/>
                    </a:xfrm>
                    <a:prstGeom prst="rect">
                      <a:avLst/>
                    </a:prstGeom>
                    <a:noFill/>
                    <a:ln>
                      <a:noFill/>
                    </a:ln>
                  </pic:spPr>
                </pic:pic>
              </a:graphicData>
            </a:graphic>
          </wp:inline>
        </w:drawing>
      </w:r>
    </w:p>
    <w:p w14:paraId="35B5488D" w14:textId="71551370" w:rsidR="005E6933" w:rsidRPr="00563DEE" w:rsidRDefault="005E6933" w:rsidP="00B11EB8">
      <w:r w:rsidRPr="00563DEE">
        <w:t xml:space="preserve">Under the traditional academic publishing model, researchers </w:t>
      </w:r>
      <w:r>
        <w:t>transfer</w:t>
      </w:r>
      <w:r w:rsidRPr="00563DEE">
        <w:t xml:space="preserve"> </w:t>
      </w:r>
      <w:r w:rsidR="00315B8B">
        <w:t>copyright</w:t>
      </w:r>
      <w:r w:rsidR="00C23282">
        <w:t xml:space="preserve"> </w:t>
      </w:r>
      <w:r w:rsidR="00936CA5">
        <w:t>of</w:t>
      </w:r>
      <w:r w:rsidR="00315B8B">
        <w:t xml:space="preserve"> </w:t>
      </w:r>
      <w:r w:rsidR="00C63D67">
        <w:t>an</w:t>
      </w:r>
      <w:r w:rsidR="00315B8B">
        <w:t xml:space="preserve"> author accepted manuscript</w:t>
      </w:r>
      <w:r w:rsidR="00C63D67">
        <w:t xml:space="preserve"> </w:t>
      </w:r>
      <w:r>
        <w:t>to the publisher in exchange for their services</w:t>
      </w:r>
      <w:r w:rsidRPr="00563DEE">
        <w:t xml:space="preserve">. </w:t>
      </w:r>
      <w:r w:rsidR="00B26E45">
        <w:t>These services include but are not limited to</w:t>
      </w:r>
      <w:r w:rsidR="00622FF4">
        <w:t>:</w:t>
      </w:r>
      <w:r w:rsidR="00B26E45">
        <w:t xml:space="preserve"> managing the peer review process,</w:t>
      </w:r>
      <w:r w:rsidR="000C60C4">
        <w:t xml:space="preserve"> </w:t>
      </w:r>
      <w:r w:rsidR="00025532">
        <w:t xml:space="preserve">providing </w:t>
      </w:r>
      <w:r w:rsidR="001A5C7C">
        <w:t xml:space="preserve">guidance </w:t>
      </w:r>
      <w:r w:rsidR="003C7844">
        <w:t>on</w:t>
      </w:r>
      <w:r w:rsidR="001A5C7C">
        <w:t xml:space="preserve"> funder requirements, </w:t>
      </w:r>
      <w:r w:rsidR="00EE1C2D">
        <w:lastRenderedPageBreak/>
        <w:t xml:space="preserve">linking publications and data to associated information </w:t>
      </w:r>
      <w:r w:rsidR="003C7844">
        <w:t>services</w:t>
      </w:r>
      <w:r w:rsidR="00C85689">
        <w:t xml:space="preserve"> and</w:t>
      </w:r>
      <w:r w:rsidR="00EB0A62">
        <w:t xml:space="preserve"> </w:t>
      </w:r>
      <w:r w:rsidR="007E3256" w:rsidRPr="007E3256">
        <w:t>copyediting, typesetting, and formatting</w:t>
      </w:r>
      <w:r w:rsidR="00DA2E1A">
        <w:t xml:space="preserve"> </w:t>
      </w:r>
      <w:r w:rsidR="00525B1D">
        <w:t>manuscript</w:t>
      </w:r>
      <w:r w:rsidR="00C85689">
        <w:t>s.</w:t>
      </w:r>
      <w:r w:rsidRPr="00563DEE">
        <w:t xml:space="preserve"> </w:t>
      </w:r>
      <w:r>
        <w:t>Publishers</w:t>
      </w:r>
      <w:r w:rsidRPr="00563DEE">
        <w:t xml:space="preserve"> then charge subscription fees to </w:t>
      </w:r>
      <w:r w:rsidR="00E577B8">
        <w:t xml:space="preserve">those wishing </w:t>
      </w:r>
      <w:r w:rsidRPr="00563DEE">
        <w:t>to access their journals.</w:t>
      </w:r>
      <w:r w:rsidR="00C5279A" w:rsidRPr="00563DEE">
        <w:rPr>
          <w:rStyle w:val="FootnoteReference"/>
          <w:rFonts w:cstheme="minorHAnsi"/>
        </w:rPr>
        <w:footnoteReference w:id="26"/>
      </w:r>
      <w:r>
        <w:t xml:space="preserve"> This limits access to peer reviewed research and has potential to slow scientific progress and limit return on public investment.</w:t>
      </w:r>
      <w:r w:rsidRPr="00563DEE">
        <w:t xml:space="preserve"> </w:t>
      </w:r>
      <w:r>
        <w:t>The academic publishing sector</w:t>
      </w:r>
      <w:r w:rsidRPr="00FC46CB">
        <w:t xml:space="preserve"> </w:t>
      </w:r>
      <w:r>
        <w:t>has also b</w:t>
      </w:r>
      <w:r w:rsidRPr="00FC46CB">
        <w:t>een widely criticised for the fact that many publishers are monetising access to intellectual property that is developed with public or philanthropic funding.</w:t>
      </w:r>
      <w:r w:rsidRPr="00FC46CB">
        <w:rPr>
          <w:rStyle w:val="FootnoteReference"/>
          <w:rFonts w:cstheme="minorHAnsi"/>
        </w:rPr>
        <w:footnoteReference w:id="27"/>
      </w:r>
      <w:r w:rsidRPr="00FC46CB">
        <w:rPr>
          <w:vertAlign w:val="superscript"/>
        </w:rPr>
        <w:t>,</w:t>
      </w:r>
      <w:r w:rsidRPr="00FC46CB">
        <w:rPr>
          <w:rStyle w:val="FootnoteReference"/>
          <w:rFonts w:cstheme="minorHAnsi"/>
        </w:rPr>
        <w:footnoteReference w:id="28"/>
      </w:r>
      <w:r>
        <w:rPr>
          <w:vertAlign w:val="superscript"/>
        </w:rPr>
        <w:t xml:space="preserve"> </w:t>
      </w:r>
    </w:p>
    <w:p w14:paraId="06AD1488" w14:textId="0FBA413C" w:rsidR="005E6933" w:rsidRDefault="005E6933" w:rsidP="00A47B69">
      <w:pPr>
        <w:pStyle w:val="BodyText"/>
      </w:pPr>
      <w:r w:rsidRPr="00F17643">
        <w:rPr>
          <w:bCs/>
        </w:rPr>
        <w:t>Open access seeks to improve the accessibility and affordability of research</w:t>
      </w:r>
      <w:r w:rsidR="00FC78BF">
        <w:rPr>
          <w:bCs/>
        </w:rPr>
        <w:t>,</w:t>
      </w:r>
      <w:r w:rsidRPr="00F17643">
        <w:rPr>
          <w:bCs/>
        </w:rPr>
        <w:t xml:space="preserve"> </w:t>
      </w:r>
      <w:r w:rsidR="00FC78BF">
        <w:rPr>
          <w:bCs/>
          <w:szCs w:val="24"/>
        </w:rPr>
        <w:t>and</w:t>
      </w:r>
      <w:r w:rsidRPr="00F17643">
        <w:rPr>
          <w:bCs/>
        </w:rPr>
        <w:t xml:space="preserve"> its use and impact.</w:t>
      </w:r>
      <w:r w:rsidRPr="00426652">
        <w:rPr>
          <w:b/>
        </w:rPr>
        <w:t xml:space="preserve"> </w:t>
      </w:r>
      <w:r w:rsidRPr="00426652">
        <w:t xml:space="preserve">Open access involves unrestricted use and free access to </w:t>
      </w:r>
      <w:r>
        <w:t>journal articles</w:t>
      </w:r>
      <w:r w:rsidRPr="00426652">
        <w:t xml:space="preserve"> and the scientific knowledge</w:t>
      </w:r>
      <w:r>
        <w:t xml:space="preserve"> and</w:t>
      </w:r>
      <w:r w:rsidRPr="00426652">
        <w:t xml:space="preserve"> evidence contained within them. </w:t>
      </w:r>
      <w:r w:rsidRPr="000E6A41">
        <w:rPr>
          <w:bCs/>
        </w:rPr>
        <w:t xml:space="preserve">Compared to </w:t>
      </w:r>
      <w:r w:rsidRPr="005803F9">
        <w:rPr>
          <w:bCs/>
        </w:rPr>
        <w:t>traditional academic publishing</w:t>
      </w:r>
      <w:r>
        <w:t xml:space="preserve">, </w:t>
      </w:r>
      <w:r w:rsidR="007566DC" w:rsidRPr="002E081E">
        <w:t xml:space="preserve">which </w:t>
      </w:r>
      <w:r w:rsidR="00FC5BD2" w:rsidRPr="002E081E">
        <w:t>place</w:t>
      </w:r>
      <w:r w:rsidR="002E081E" w:rsidRPr="002E081E">
        <w:t>s</w:t>
      </w:r>
      <w:r w:rsidR="00FC5BD2" w:rsidRPr="002E081E">
        <w:t xml:space="preserve"> journal articles behind paywalls,</w:t>
      </w:r>
      <w:r w:rsidR="00FC5BD2">
        <w:t xml:space="preserve"> </w:t>
      </w:r>
      <w:r>
        <w:t>o</w:t>
      </w:r>
      <w:r w:rsidRPr="008035D6">
        <w:t xml:space="preserve">pen access </w:t>
      </w:r>
      <w:r>
        <w:t>remove</w:t>
      </w:r>
      <w:r w:rsidR="00E577B8">
        <w:t>s</w:t>
      </w:r>
      <w:r>
        <w:t xml:space="preserve"> access fees and</w:t>
      </w:r>
      <w:r w:rsidRPr="008035D6">
        <w:t xml:space="preserve"> s</w:t>
      </w:r>
      <w:r>
        <w:t>pecif</w:t>
      </w:r>
      <w:r w:rsidR="00E577B8">
        <w:t>ies</w:t>
      </w:r>
      <w:r>
        <w:t xml:space="preserve"> clear usage licenses</w:t>
      </w:r>
      <w:r w:rsidRPr="008035D6">
        <w:t xml:space="preserve"> to increase the </w:t>
      </w:r>
      <w:r>
        <w:t>potential</w:t>
      </w:r>
      <w:r w:rsidRPr="008035D6">
        <w:t xml:space="preserve"> impact of </w:t>
      </w:r>
      <w:r w:rsidR="008F36FE">
        <w:t>research</w:t>
      </w:r>
      <w:r>
        <w:t xml:space="preserve"> (see </w:t>
      </w:r>
      <w:r>
        <w:fldChar w:fldCharType="begin"/>
      </w:r>
      <w:r>
        <w:instrText xml:space="preserve"> REF _Ref86140174 \h </w:instrText>
      </w:r>
      <w:r>
        <w:fldChar w:fldCharType="separate"/>
      </w:r>
      <w:r w:rsidR="007E283B">
        <w:t xml:space="preserve">Figure </w:t>
      </w:r>
      <w:r w:rsidR="007E283B">
        <w:rPr>
          <w:noProof/>
        </w:rPr>
        <w:t>2</w:t>
      </w:r>
      <w:r>
        <w:fldChar w:fldCharType="end"/>
      </w:r>
      <w:r>
        <w:t>).</w:t>
      </w:r>
    </w:p>
    <w:p w14:paraId="5C4DADDC" w14:textId="59E84650" w:rsidR="00214187" w:rsidRDefault="005E6933" w:rsidP="00214187">
      <w:pPr>
        <w:pStyle w:val="Caption"/>
      </w:pPr>
      <w:bookmarkStart w:id="7" w:name="_Ref86140174"/>
      <w:r>
        <w:t xml:space="preserve">Figure </w:t>
      </w:r>
      <w:r w:rsidR="003B28D9">
        <w:fldChar w:fldCharType="begin"/>
      </w:r>
      <w:r w:rsidR="003B28D9">
        <w:instrText xml:space="preserve"> SEQ Figure \* ARABIC </w:instrText>
      </w:r>
      <w:r w:rsidR="003B28D9">
        <w:fldChar w:fldCharType="separate"/>
      </w:r>
      <w:r w:rsidR="007E283B">
        <w:rPr>
          <w:noProof/>
        </w:rPr>
        <w:t>2</w:t>
      </w:r>
      <w:r w:rsidR="003B28D9">
        <w:rPr>
          <w:noProof/>
        </w:rPr>
        <w:fldChar w:fldCharType="end"/>
      </w:r>
      <w:bookmarkEnd w:id="7"/>
      <w:r>
        <w:t xml:space="preserve">: </w:t>
      </w:r>
      <w:r w:rsidR="00214187">
        <w:t xml:space="preserve">Potential benefits of </w:t>
      </w:r>
      <w:r w:rsidR="00214187" w:rsidRPr="00797D4B">
        <w:t>open access</w:t>
      </w:r>
    </w:p>
    <w:p w14:paraId="4E3BA5A6" w14:textId="2B13B328" w:rsidR="005E6933" w:rsidRDefault="005E6933" w:rsidP="00214187">
      <w:pPr>
        <w:pStyle w:val="Caption"/>
      </w:pPr>
      <w:r>
        <w:rPr>
          <w:noProof/>
        </w:rPr>
        <w:drawing>
          <wp:inline distT="0" distB="0" distL="0" distR="0" wp14:anchorId="5F7DD4C8" wp14:editId="5C16E5BA">
            <wp:extent cx="6129131" cy="2288196"/>
            <wp:effectExtent l="0" t="0" r="0" b="0"/>
            <wp:docPr id="58" name="Picture 58" descr="Graphic comparing selected limitations of paywalled journal articles with selected potential benefits of open access journal articles.&#10;&#10;Paywalled journal articles.&#10;1. Authors transfer copyright of accepted articles to publishers.&#10;2. Users must pay to view articles.&#10;3. Users are granted limited or no reuse rights.&#10;&#10;An arrow to the right shows the consequences.&#10;Paywalls can limit:&#10;1. Dissemination and use of research.&#10;2. Collaboration and innovation, and&#10;3. Potential returns on public investment.&#10;&#10;Open access journal articles.&#10;1. Authors retain copyright and grant reuse rights through clear licensing terms.&#10;2. Articles are freely accessible to all users.&#10;&#10;An arrow indicating the consequences.&#10;Open access may improve:&#10;1. Dissemination and use of research.&#10;2. Collaboration and innovation, and&#10;3. Potential returns on public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 comparing selected limitations of paywalled journal articles with selected potential benefits of open access journal articles.&#10;&#10;Paywalled journal articles.&#10;1. Authors transfer copyright of accepted articles to publishers.&#10;2. Users must pay to view articles.&#10;3. Users are granted limited or no reuse rights.&#10;&#10;An arrow to the right shows the consequences.&#10;Paywalls can limit:&#10;1. Dissemination and use of research.&#10;2. Collaboration and innovation, and&#10;3. Potential returns on public investment.&#10;&#10;Open access journal articles.&#10;1. Authors retain copyright and grant reuse rights through clear licensing terms.&#10;2. Articles are freely accessible to all users.&#10;&#10;An arrow indicating the consequences.&#10;Open access may improve:&#10;1. Dissemination and use of research.&#10;2. Collaboration and innovation, and&#10;3. Potential returns on public invest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7245" cy="2291225"/>
                    </a:xfrm>
                    <a:prstGeom prst="rect">
                      <a:avLst/>
                    </a:prstGeom>
                    <a:noFill/>
                  </pic:spPr>
                </pic:pic>
              </a:graphicData>
            </a:graphic>
          </wp:inline>
        </w:drawing>
      </w:r>
    </w:p>
    <w:p w14:paraId="20E6292D" w14:textId="4F87609B" w:rsidR="005E6933" w:rsidRDefault="00F01A39" w:rsidP="00A47B69">
      <w:pPr>
        <w:pStyle w:val="BodyText"/>
      </w:pPr>
      <w:r>
        <w:rPr>
          <w:bCs/>
        </w:rPr>
        <w:t>Recognising the potential benefits of open access</w:t>
      </w:r>
      <w:r w:rsidR="00F013CC">
        <w:rPr>
          <w:bCs/>
        </w:rPr>
        <w:t>,</w:t>
      </w:r>
      <w:r>
        <w:rPr>
          <w:bCs/>
        </w:rPr>
        <w:t xml:space="preserve"> </w:t>
      </w:r>
      <w:r w:rsidR="00F013CC">
        <w:rPr>
          <w:bCs/>
        </w:rPr>
        <w:t>t</w:t>
      </w:r>
      <w:r w:rsidR="005E6933" w:rsidRPr="00971FA5">
        <w:rPr>
          <w:bCs/>
        </w:rPr>
        <w:t>here have been numerous calls to implement a strategic national approach to Australia’s open access policies over the years.</w:t>
      </w:r>
      <w:r w:rsidR="005E6933" w:rsidRPr="00563DEE">
        <w:t xml:space="preserve"> These include the Productivity Commission identifying the need for a National Open Access policy in 2016,</w:t>
      </w:r>
      <w:r w:rsidR="005E6933" w:rsidRPr="00563DEE">
        <w:rPr>
          <w:rStyle w:val="FootnoteReference"/>
          <w:rFonts w:cstheme="minorHAnsi"/>
          <w:szCs w:val="24"/>
        </w:rPr>
        <w:footnoteReference w:id="29"/>
      </w:r>
      <w:r w:rsidR="005E6933" w:rsidRPr="00563DEE">
        <w:t xml:space="preserve"> the Government accepting </w:t>
      </w:r>
      <w:r w:rsidR="003C770B">
        <w:t>its</w:t>
      </w:r>
      <w:r w:rsidR="005E6933" w:rsidRPr="00563DEE">
        <w:t xml:space="preserve"> recommendation in 2017,</w:t>
      </w:r>
      <w:r w:rsidR="005E6933" w:rsidRPr="00563DEE">
        <w:rPr>
          <w:rStyle w:val="FootnoteReference"/>
          <w:rFonts w:cstheme="minorHAnsi"/>
          <w:szCs w:val="24"/>
        </w:rPr>
        <w:footnoteReference w:id="30"/>
      </w:r>
      <w:r w:rsidR="005E6933" w:rsidRPr="00563DEE">
        <w:t xml:space="preserve"> and the House of Representatives Standing Committee on Employment, Education and Training recommending that “the Australian Government develop a more strategic approach to Australia’s open scholarship environment” in 2018.</w:t>
      </w:r>
      <w:r w:rsidR="005E6933" w:rsidRPr="00563DEE">
        <w:rPr>
          <w:rStyle w:val="FootnoteReference"/>
          <w:rFonts w:cstheme="minorHAnsi"/>
          <w:szCs w:val="24"/>
        </w:rPr>
        <w:footnoteReference w:id="31"/>
      </w:r>
      <w:r w:rsidR="005E6933" w:rsidRPr="00563DEE">
        <w:t xml:space="preserve"> </w:t>
      </w:r>
    </w:p>
    <w:p w14:paraId="38C676F8" w14:textId="3301AAA5" w:rsidR="005E6933" w:rsidRDefault="005E6933" w:rsidP="00A47B69">
      <w:pPr>
        <w:pStyle w:val="BodyText"/>
      </w:pPr>
      <w:r w:rsidRPr="00426652">
        <w:t>Despite these calls to action, Australia is yet to implement a national approach</w:t>
      </w:r>
      <w:r>
        <w:t>,</w:t>
      </w:r>
      <w:r w:rsidRPr="00426652">
        <w:t xml:space="preserve"> and significant accessibility and affordability issues remain unsolved.</w:t>
      </w:r>
      <w:r w:rsidRPr="00563DEE">
        <w:t xml:space="preserve"> Australia has experienced significant improvement in open access publication </w:t>
      </w:r>
      <w:r w:rsidR="00EB3D09" w:rsidRPr="00563DEE">
        <w:t>rates,</w:t>
      </w:r>
      <w:r w:rsidR="00D66AEC">
        <w:t xml:space="preserve"> but</w:t>
      </w:r>
      <w:r>
        <w:t xml:space="preserve"> </w:t>
      </w:r>
      <w:r w:rsidRPr="00563DEE">
        <w:t xml:space="preserve">most Australian research publications remain </w:t>
      </w:r>
      <w:r w:rsidRPr="00563DEE">
        <w:lastRenderedPageBreak/>
        <w:t>paywalled</w:t>
      </w:r>
      <w:r w:rsidR="00E577B8">
        <w:t>,</w:t>
      </w:r>
      <w:r w:rsidRPr="00563DEE">
        <w:rPr>
          <w:vertAlign w:val="superscript"/>
        </w:rPr>
        <w:footnoteReference w:id="32"/>
      </w:r>
      <w:r w:rsidRPr="00563DEE">
        <w:t xml:space="preserve"> and open </w:t>
      </w:r>
      <w:r>
        <w:t>access publishing</w:t>
      </w:r>
      <w:r w:rsidRPr="00563DEE">
        <w:t xml:space="preserve"> </w:t>
      </w:r>
      <w:r>
        <w:t>rates</w:t>
      </w:r>
      <w:r w:rsidRPr="00563DEE">
        <w:t xml:space="preserve"> vary dramatically by research field</w:t>
      </w:r>
      <w:r w:rsidRPr="00563DEE">
        <w:rPr>
          <w:lang w:val="en-GB"/>
        </w:rPr>
        <w:t>.</w:t>
      </w:r>
      <w:r w:rsidRPr="00563DEE">
        <w:rPr>
          <w:rStyle w:val="FootnoteReference"/>
          <w:rFonts w:cstheme="minorHAnsi"/>
          <w:lang w:val="en-GB"/>
        </w:rPr>
        <w:footnoteReference w:id="33"/>
      </w:r>
      <w:r w:rsidRPr="00563DEE">
        <w:rPr>
          <w:lang w:val="en-GB"/>
        </w:rPr>
        <w:t xml:space="preserve"> </w:t>
      </w:r>
      <w:r w:rsidRPr="00563DEE">
        <w:t xml:space="preserve">There is poor visibility of Australia’s expenditure on journal subscriptions and </w:t>
      </w:r>
      <w:r>
        <w:t>Article Processing Charges (APCs)</w:t>
      </w:r>
      <w:r w:rsidRPr="00563DEE">
        <w:t>, especially outside the university sector</w:t>
      </w:r>
      <w:r w:rsidR="00EE7EB4">
        <w:t>,</w:t>
      </w:r>
      <w:r w:rsidR="009655A9">
        <w:t xml:space="preserve"> but </w:t>
      </w:r>
      <w:r w:rsidR="00EE7EB4">
        <w:t>overall expenditure has</w:t>
      </w:r>
      <w:r w:rsidR="00D10484">
        <w:t xml:space="preserve"> increased </w:t>
      </w:r>
      <w:r w:rsidR="00EE7EB4">
        <w:t xml:space="preserve">(see Chapter </w:t>
      </w:r>
      <w:r w:rsidR="00EE7EB4">
        <w:fldChar w:fldCharType="begin"/>
      </w:r>
      <w:r w:rsidR="00EE7EB4">
        <w:instrText xml:space="preserve"> REF _Ref87621411 \r \h </w:instrText>
      </w:r>
      <w:r w:rsidR="00EE7EB4">
        <w:fldChar w:fldCharType="separate"/>
      </w:r>
      <w:r w:rsidR="007E283B">
        <w:t>2.4</w:t>
      </w:r>
      <w:r w:rsidR="00EE7EB4">
        <w:fldChar w:fldCharType="end"/>
      </w:r>
      <w:r w:rsidR="00EE7EB4">
        <w:t>)</w:t>
      </w:r>
      <w:r w:rsidRPr="00563DEE">
        <w:t xml:space="preserve">. </w:t>
      </w:r>
      <w:r>
        <w:t>Furthermore</w:t>
      </w:r>
      <w:r w:rsidRPr="00563DEE">
        <w:t xml:space="preserve">, many </w:t>
      </w:r>
      <w:r>
        <w:t>university and research</w:t>
      </w:r>
      <w:r w:rsidRPr="00563DEE">
        <w:t xml:space="preserve"> stakeholders </w:t>
      </w:r>
      <w:r>
        <w:t xml:space="preserve">consulted </w:t>
      </w:r>
      <w:r w:rsidRPr="00563DEE">
        <w:t xml:space="preserve">believe current prices for accessing journal content are too high, with some </w:t>
      </w:r>
      <w:r>
        <w:t xml:space="preserve">industry </w:t>
      </w:r>
      <w:r w:rsidRPr="00563DEE">
        <w:t>stakeholders reporting cutting subscriptions to constrain costs in recent years.</w:t>
      </w:r>
    </w:p>
    <w:p w14:paraId="30CED6D8" w14:textId="570A9C3C" w:rsidR="005E6933" w:rsidRPr="006D61A8" w:rsidRDefault="005E6933" w:rsidP="00A47B69">
      <w:pPr>
        <w:pStyle w:val="BodyText"/>
      </w:pPr>
      <w:r w:rsidRPr="00563DEE">
        <w:t xml:space="preserve">Australia’s Chief Scientist, Dr Cathy Foley, has identified open access as a priority and </w:t>
      </w:r>
      <w:r>
        <w:t>is working</w:t>
      </w:r>
      <w:r w:rsidRPr="00563DEE">
        <w:t xml:space="preserve"> to accelerate Australia’s transition to open access.</w:t>
      </w:r>
      <w:r w:rsidRPr="00563DEE">
        <w:rPr>
          <w:b/>
        </w:rPr>
        <w:t xml:space="preserve"> </w:t>
      </w:r>
      <w:r w:rsidRPr="00563DEE">
        <w:t xml:space="preserve">The </w:t>
      </w:r>
      <w:r>
        <w:t>proposed</w:t>
      </w:r>
      <w:r w:rsidRPr="00563DEE">
        <w:t xml:space="preserve"> model developed by the OCS aims to provide all Australians with free access to </w:t>
      </w:r>
      <w:r w:rsidR="00E577B8">
        <w:t>journal articles</w:t>
      </w:r>
      <w:r w:rsidRPr="00563DEE">
        <w:t xml:space="preserve"> and </w:t>
      </w:r>
      <w:r w:rsidR="00E577B8">
        <w:t xml:space="preserve">to </w:t>
      </w:r>
      <w:r w:rsidRPr="00563DEE">
        <w:t xml:space="preserve">ensure that all Australian </w:t>
      </w:r>
      <w:r w:rsidR="00E577B8">
        <w:t>journal articles are</w:t>
      </w:r>
      <w:r w:rsidRPr="00563DEE">
        <w:t xml:space="preserve"> published with </w:t>
      </w:r>
      <w:r w:rsidR="00DF23B4">
        <w:t>immediate</w:t>
      </w:r>
      <w:r w:rsidRPr="00563DEE">
        <w:t xml:space="preserve"> open access internationally. All stakeholder groups consulted recognised the value of a nationally coordinated approach and </w:t>
      </w:r>
      <w:r>
        <w:t>broadly</w:t>
      </w:r>
      <w:r w:rsidRPr="00563DEE">
        <w:t xml:space="preserve"> supported the efforts of </w:t>
      </w:r>
      <w:r>
        <w:t>Australia’s</w:t>
      </w:r>
      <w:r w:rsidRPr="00563DEE">
        <w:t xml:space="preserve"> Chief Scientist.</w:t>
      </w:r>
    </w:p>
    <w:p w14:paraId="0A14F2A4" w14:textId="38079B81" w:rsidR="005E6933" w:rsidRDefault="005E6933" w:rsidP="00A47B69">
      <w:pPr>
        <w:pStyle w:val="BodyText"/>
      </w:pPr>
    </w:p>
    <w:p w14:paraId="16E57251" w14:textId="6A66B09A" w:rsidR="00AB00CF" w:rsidRDefault="00AB00CF" w:rsidP="00A47B69">
      <w:pPr>
        <w:pStyle w:val="BodyText"/>
      </w:pPr>
    </w:p>
    <w:p w14:paraId="0091F158" w14:textId="6BAD0BD3" w:rsidR="00AB00CF" w:rsidRDefault="00AB00CF" w:rsidP="00A47B69">
      <w:pPr>
        <w:pStyle w:val="BodyText"/>
      </w:pPr>
    </w:p>
    <w:p w14:paraId="68AB917D" w14:textId="4CE4D854" w:rsidR="00AB00CF" w:rsidRDefault="00AB00CF" w:rsidP="00A47B69">
      <w:pPr>
        <w:pStyle w:val="BodyText"/>
      </w:pPr>
    </w:p>
    <w:p w14:paraId="024BDEB1" w14:textId="0D829430" w:rsidR="00AB00CF" w:rsidRDefault="00AB00CF" w:rsidP="00A47B69">
      <w:pPr>
        <w:pStyle w:val="BodyText"/>
      </w:pPr>
    </w:p>
    <w:p w14:paraId="657B9DD2" w14:textId="66D9AC01" w:rsidR="00AB00CF" w:rsidRDefault="00AB00CF" w:rsidP="00A47B69">
      <w:pPr>
        <w:pStyle w:val="BodyText"/>
      </w:pPr>
    </w:p>
    <w:p w14:paraId="47A88006" w14:textId="60DF74AD" w:rsidR="00AB00CF" w:rsidRDefault="00AB00CF" w:rsidP="00A47B69">
      <w:pPr>
        <w:pStyle w:val="BodyText"/>
      </w:pPr>
    </w:p>
    <w:p w14:paraId="778BFE04" w14:textId="65A4C898" w:rsidR="00AB00CF" w:rsidRDefault="00AB00CF" w:rsidP="00A47B69">
      <w:pPr>
        <w:pStyle w:val="BodyText"/>
      </w:pPr>
    </w:p>
    <w:p w14:paraId="7DB055A4" w14:textId="50FD8C0D" w:rsidR="00AB00CF" w:rsidRDefault="00AB00CF" w:rsidP="00A47B69">
      <w:pPr>
        <w:pStyle w:val="BodyText"/>
      </w:pPr>
    </w:p>
    <w:p w14:paraId="29F2BAFF" w14:textId="41855F43" w:rsidR="00AB00CF" w:rsidRDefault="00AB00CF" w:rsidP="00A47B69">
      <w:pPr>
        <w:pStyle w:val="BodyText"/>
      </w:pPr>
    </w:p>
    <w:p w14:paraId="34A46B4D" w14:textId="06970130" w:rsidR="00AB00CF" w:rsidRDefault="00AB00CF" w:rsidP="00A47B69">
      <w:pPr>
        <w:pStyle w:val="BodyText"/>
      </w:pPr>
    </w:p>
    <w:p w14:paraId="6A15328D" w14:textId="62DC848D" w:rsidR="00AB00CF" w:rsidRDefault="00AB00CF" w:rsidP="00A47B69">
      <w:pPr>
        <w:pStyle w:val="BodyText"/>
      </w:pPr>
    </w:p>
    <w:p w14:paraId="40D6004C" w14:textId="75474A1C" w:rsidR="00AB00CF" w:rsidRDefault="00AB00CF" w:rsidP="00A47B69">
      <w:pPr>
        <w:pStyle w:val="BodyText"/>
      </w:pPr>
    </w:p>
    <w:p w14:paraId="4AF30DC8" w14:textId="11602CA3" w:rsidR="00AB00CF" w:rsidRDefault="00AB00CF" w:rsidP="00A47B69">
      <w:pPr>
        <w:pStyle w:val="BodyText"/>
      </w:pPr>
    </w:p>
    <w:p w14:paraId="319D2383" w14:textId="05BB5EF0" w:rsidR="00AB00CF" w:rsidRDefault="00AB00CF" w:rsidP="00A47B69">
      <w:pPr>
        <w:pStyle w:val="BodyText"/>
      </w:pPr>
    </w:p>
    <w:p w14:paraId="0035E20D" w14:textId="0E7419EA" w:rsidR="00AB00CF" w:rsidRDefault="00AB00CF" w:rsidP="00A47B69">
      <w:pPr>
        <w:pStyle w:val="BodyText"/>
      </w:pPr>
    </w:p>
    <w:p w14:paraId="1712D84A" w14:textId="5A5E2610" w:rsidR="00AB00CF" w:rsidRDefault="00AB00CF" w:rsidP="00A47B69">
      <w:pPr>
        <w:pStyle w:val="BodyText"/>
      </w:pPr>
    </w:p>
    <w:p w14:paraId="68E70F4C" w14:textId="77777777" w:rsidR="00AB00CF" w:rsidRDefault="00AB00CF" w:rsidP="00A47B69">
      <w:pPr>
        <w:pStyle w:val="BodyText"/>
      </w:pPr>
    </w:p>
    <w:tbl>
      <w:tblPr>
        <w:tblStyle w:val="TableGrid"/>
        <w:tblW w:w="0" w:type="auto"/>
        <w:shd w:val="clear" w:color="auto" w:fill="F2F2F2" w:themeFill="background1" w:themeFillShade="F2"/>
        <w:tblLayout w:type="fixed"/>
        <w:tblLook w:val="04A0" w:firstRow="1" w:lastRow="0" w:firstColumn="1" w:lastColumn="0" w:noHBand="0" w:noVBand="1"/>
      </w:tblPr>
      <w:tblGrid>
        <w:gridCol w:w="9628"/>
      </w:tblGrid>
      <w:tr w:rsidR="005E6933" w14:paraId="66365819" w14:textId="77777777" w:rsidTr="00076358">
        <w:tc>
          <w:tcPr>
            <w:tcW w:w="9628" w:type="dxa"/>
            <w:shd w:val="clear" w:color="auto" w:fill="F2F2F2" w:themeFill="background1" w:themeFillShade="F2"/>
          </w:tcPr>
          <w:p w14:paraId="60AD2CB5" w14:textId="77777777" w:rsidR="005E6933" w:rsidRPr="00DF23B4" w:rsidRDefault="005E6933" w:rsidP="00DD1760">
            <w:pPr>
              <w:pStyle w:val="BodyText"/>
              <w:rPr>
                <w:b/>
                <w:sz w:val="28"/>
                <w:szCs w:val="22"/>
              </w:rPr>
            </w:pPr>
            <w:r w:rsidRPr="00DF23B4">
              <w:rPr>
                <w:b/>
                <w:sz w:val="28"/>
                <w:szCs w:val="22"/>
              </w:rPr>
              <w:lastRenderedPageBreak/>
              <w:t>Benefits of open access</w:t>
            </w:r>
          </w:p>
          <w:p w14:paraId="6E98FF42" w14:textId="05280FAD" w:rsidR="005E6933" w:rsidRPr="00DF4038" w:rsidRDefault="005E6933" w:rsidP="00A47B69">
            <w:pPr>
              <w:pStyle w:val="BodyText"/>
            </w:pPr>
            <w:r>
              <w:t>Open access can provide a broad range of benefits and has the potential to improve</w:t>
            </w:r>
            <w:r w:rsidRPr="00DF4038">
              <w:t xml:space="preserve"> government return on investment in research and development</w:t>
            </w:r>
            <w:r>
              <w:t xml:space="preserve">. </w:t>
            </w:r>
            <w:r w:rsidR="00273F93">
              <w:t xml:space="preserve">Under </w:t>
            </w:r>
            <w:r w:rsidR="00F7681E">
              <w:t>traditional (</w:t>
            </w:r>
            <w:r w:rsidR="00273F93">
              <w:t>pay-to-read</w:t>
            </w:r>
            <w:r w:rsidR="00F7681E">
              <w:t>)</w:t>
            </w:r>
            <w:r w:rsidR="00273F93">
              <w:t xml:space="preserve"> publishing models</w:t>
            </w:r>
            <w:r w:rsidR="00F7681E">
              <w:t>,</w:t>
            </w:r>
            <w:r w:rsidR="00273F93">
              <w:t xml:space="preserve"> </w:t>
            </w:r>
            <w:r w:rsidR="00273F93" w:rsidRPr="004B0DA2">
              <w:rPr>
                <w:rFonts w:eastAsia="Courier New"/>
                <w:color w:val="auto"/>
              </w:rPr>
              <w:t xml:space="preserve">stakeholders who cannot afford </w:t>
            </w:r>
            <w:r w:rsidR="00273F93">
              <w:rPr>
                <w:rFonts w:eastAsia="Courier New"/>
                <w:color w:val="auto"/>
              </w:rPr>
              <w:t xml:space="preserve">or justify paying for </w:t>
            </w:r>
            <w:r w:rsidR="00273F93" w:rsidRPr="00CA0C13">
              <w:t>access</w:t>
            </w:r>
            <w:r w:rsidR="00273F93">
              <w:t xml:space="preserve"> </w:t>
            </w:r>
            <w:r w:rsidR="00273F93">
              <w:rPr>
                <w:rFonts w:eastAsia="Courier New"/>
                <w:color w:val="auto"/>
              </w:rPr>
              <w:t xml:space="preserve">have limited access to peer reviewed research. </w:t>
            </w:r>
            <w:r w:rsidR="003159DD">
              <w:t>O</w:t>
            </w:r>
            <w:r>
              <w:t xml:space="preserve">pen access </w:t>
            </w:r>
            <w:r w:rsidR="00F7681E">
              <w:t>seek</w:t>
            </w:r>
            <w:r w:rsidR="00DF23B4">
              <w:t>s</w:t>
            </w:r>
            <w:r w:rsidR="00F7681E">
              <w:t xml:space="preserve"> to address this </w:t>
            </w:r>
            <w:r w:rsidR="003159DD">
              <w:t>and has potential to</w:t>
            </w:r>
            <w:r>
              <w:t>:</w:t>
            </w:r>
          </w:p>
          <w:p w14:paraId="6EBBA9F1" w14:textId="4695D78E" w:rsidR="00210D25" w:rsidRPr="00BB0518" w:rsidRDefault="00210D25" w:rsidP="00CA0C13">
            <w:pPr>
              <w:pStyle w:val="ListBullet"/>
            </w:pPr>
            <w:r>
              <w:rPr>
                <w:b/>
                <w:bCs/>
                <w:szCs w:val="24"/>
              </w:rPr>
              <w:t>I</w:t>
            </w:r>
            <w:r w:rsidRPr="002663A5">
              <w:rPr>
                <w:b/>
                <w:bCs/>
                <w:szCs w:val="24"/>
              </w:rPr>
              <w:t>mprov</w:t>
            </w:r>
            <w:r w:rsidR="003159DD">
              <w:rPr>
                <w:b/>
                <w:bCs/>
                <w:szCs w:val="24"/>
              </w:rPr>
              <w:t>e</w:t>
            </w:r>
            <w:r w:rsidRPr="002663A5">
              <w:rPr>
                <w:b/>
                <w:bCs/>
                <w:szCs w:val="24"/>
              </w:rPr>
              <w:t xml:space="preserve"> the dissemination </w:t>
            </w:r>
            <w:r>
              <w:rPr>
                <w:b/>
                <w:bCs/>
                <w:szCs w:val="24"/>
              </w:rPr>
              <w:t>and use</w:t>
            </w:r>
            <w:r w:rsidRPr="002663A5">
              <w:rPr>
                <w:b/>
                <w:bCs/>
                <w:szCs w:val="24"/>
              </w:rPr>
              <w:t xml:space="preserve"> of research:</w:t>
            </w:r>
            <w:r>
              <w:rPr>
                <w:szCs w:val="24"/>
              </w:rPr>
              <w:t xml:space="preserve"> </w:t>
            </w:r>
            <w:r>
              <w:t>O</w:t>
            </w:r>
            <w:r w:rsidRPr="00563DEE">
              <w:t>pen</w:t>
            </w:r>
            <w:r w:rsidRPr="00426652">
              <w:t xml:space="preserve"> access has been </w:t>
            </w:r>
            <w:r>
              <w:t>linked to i</w:t>
            </w:r>
            <w:r w:rsidRPr="00563DEE">
              <w:t xml:space="preserve">mproved </w:t>
            </w:r>
            <w:r>
              <w:t xml:space="preserve">dissemination and citation of </w:t>
            </w:r>
            <w:r w:rsidRPr="003866A8">
              <w:t>research</w:t>
            </w:r>
            <w:r>
              <w:t xml:space="preserve"> (</w:t>
            </w:r>
            <w:r>
              <w:fldChar w:fldCharType="begin"/>
            </w:r>
            <w:r>
              <w:instrText xml:space="preserve"> REF _Ref86150807 \h </w:instrText>
            </w:r>
            <w:r>
              <w:fldChar w:fldCharType="separate"/>
            </w:r>
            <w:r w:rsidR="007E283B" w:rsidRPr="00563DEE">
              <w:t xml:space="preserve">Figure </w:t>
            </w:r>
            <w:r w:rsidR="007E283B">
              <w:rPr>
                <w:noProof/>
              </w:rPr>
              <w:t>3</w:t>
            </w:r>
            <w:r>
              <w:fldChar w:fldCharType="end"/>
            </w:r>
            <w:r>
              <w:t xml:space="preserve">). A systematic review of studies that compared </w:t>
            </w:r>
            <w:r w:rsidRPr="00BE7368">
              <w:t xml:space="preserve">the citation of open access and </w:t>
            </w:r>
            <w:r>
              <w:t>paywalled</w:t>
            </w:r>
            <w:r w:rsidRPr="00BE7368">
              <w:t xml:space="preserve"> </w:t>
            </w:r>
            <w:r>
              <w:t>journal</w:t>
            </w:r>
            <w:r w:rsidRPr="00BE7368">
              <w:t xml:space="preserve"> articles</w:t>
            </w:r>
            <w:r>
              <w:t xml:space="preserve"> found that most (71.7%) of the reviewed studies identified </w:t>
            </w:r>
            <w:r w:rsidRPr="007B6854">
              <w:t xml:space="preserve">open access </w:t>
            </w:r>
            <w:r>
              <w:t>correlating with high</w:t>
            </w:r>
            <w:r w:rsidRPr="007B6854">
              <w:t xml:space="preserve"> citation</w:t>
            </w:r>
            <w:r>
              <w:t>s</w:t>
            </w:r>
            <w:r w:rsidRPr="007B6854">
              <w:t xml:space="preserve"> </w:t>
            </w:r>
            <w:r>
              <w:t>in at least a subset of their sample.</w:t>
            </w:r>
            <w:r>
              <w:rPr>
                <w:rStyle w:val="FootnoteReference"/>
              </w:rPr>
              <w:footnoteReference w:id="34"/>
            </w:r>
          </w:p>
          <w:p w14:paraId="5F21F530" w14:textId="3BD7F760" w:rsidR="005E6933" w:rsidRPr="004B0DA2" w:rsidRDefault="005E6933" w:rsidP="00CA0C13">
            <w:pPr>
              <w:pStyle w:val="ListBullet"/>
            </w:pPr>
            <w:r>
              <w:rPr>
                <w:b/>
              </w:rPr>
              <w:t>I</w:t>
            </w:r>
            <w:r w:rsidRPr="00D72B3D">
              <w:rPr>
                <w:b/>
              </w:rPr>
              <w:t>mprov</w:t>
            </w:r>
            <w:r w:rsidR="003159DD">
              <w:rPr>
                <w:b/>
              </w:rPr>
              <w:t>e</w:t>
            </w:r>
            <w:r w:rsidRPr="00D72B3D">
              <w:rPr>
                <w:b/>
              </w:rPr>
              <w:t xml:space="preserve"> </w:t>
            </w:r>
            <w:r>
              <w:rPr>
                <w:b/>
                <w:bCs/>
              </w:rPr>
              <w:t>access</w:t>
            </w:r>
            <w:r w:rsidRPr="00D72B3D">
              <w:rPr>
                <w:b/>
                <w:bCs/>
              </w:rPr>
              <w:t xml:space="preserve"> </w:t>
            </w:r>
            <w:r>
              <w:rPr>
                <w:b/>
                <w:bCs/>
              </w:rPr>
              <w:t xml:space="preserve">to research </w:t>
            </w:r>
            <w:r w:rsidRPr="00D72B3D">
              <w:rPr>
                <w:b/>
                <w:bCs/>
              </w:rPr>
              <w:t>beyond academic institutions</w:t>
            </w:r>
            <w:r w:rsidRPr="00D72B3D">
              <w:rPr>
                <w:b/>
              </w:rPr>
              <w:t>:</w:t>
            </w:r>
            <w:r w:rsidRPr="00D72B3D">
              <w:t xml:space="preserve"> </w:t>
            </w:r>
            <w:r w:rsidR="00231440">
              <w:rPr>
                <w:rFonts w:eastAsia="Courier New"/>
                <w:color w:val="auto"/>
              </w:rPr>
              <w:t xml:space="preserve">Open access ensures that </w:t>
            </w:r>
            <w:r w:rsidRPr="004B0DA2">
              <w:t>government</w:t>
            </w:r>
            <w:r w:rsidR="00231440">
              <w:t>s</w:t>
            </w:r>
            <w:r w:rsidRPr="004B0DA2">
              <w:t>,</w:t>
            </w:r>
            <w:r w:rsidR="00231440">
              <w:t xml:space="preserve"> industry, and</w:t>
            </w:r>
            <w:r w:rsidRPr="004B0DA2">
              <w:t xml:space="preserve"> the public </w:t>
            </w:r>
            <w:r w:rsidR="00231440">
              <w:t xml:space="preserve">have access to the </w:t>
            </w:r>
            <w:r w:rsidR="002B17B1">
              <w:t>high-quality information</w:t>
            </w:r>
            <w:r w:rsidR="00231440">
              <w:t xml:space="preserve"> </w:t>
            </w:r>
            <w:r w:rsidR="002B17B1">
              <w:t>in journal articles</w:t>
            </w:r>
            <w:r w:rsidRPr="004B0DA2">
              <w:t xml:space="preserve">. </w:t>
            </w:r>
          </w:p>
          <w:p w14:paraId="21030254" w14:textId="61827600" w:rsidR="004863FC" w:rsidRPr="00BB0518" w:rsidRDefault="004863FC" w:rsidP="004863FC">
            <w:pPr>
              <w:pStyle w:val="ListBullet"/>
            </w:pPr>
            <w:r w:rsidRPr="000E6A41">
              <w:rPr>
                <w:b/>
                <w:bCs/>
              </w:rPr>
              <w:t>Increa</w:t>
            </w:r>
            <w:r>
              <w:rPr>
                <w:b/>
                <w:bCs/>
              </w:rPr>
              <w:t>s</w:t>
            </w:r>
            <w:r w:rsidR="003159DD">
              <w:rPr>
                <w:b/>
                <w:bCs/>
              </w:rPr>
              <w:t>e</w:t>
            </w:r>
            <w:r w:rsidRPr="000E6A41">
              <w:rPr>
                <w:b/>
                <w:bCs/>
              </w:rPr>
              <w:t xml:space="preserve"> collaboration and innovation: </w:t>
            </w:r>
            <w:r>
              <w:t>A</w:t>
            </w:r>
            <w:r w:rsidRPr="007D35E9">
              <w:t xml:space="preserve">fter the outbreak of COVID-19, </w:t>
            </w:r>
            <w:r>
              <w:t xml:space="preserve">most research published </w:t>
            </w:r>
            <w:r w:rsidRPr="007D35E9">
              <w:t xml:space="preserve">on the topic </w:t>
            </w:r>
            <w:r>
              <w:t>was</w:t>
            </w:r>
            <w:r w:rsidRPr="007D35E9">
              <w:t xml:space="preserve"> made immediately accessible, enabling rapid </w:t>
            </w:r>
            <w:r>
              <w:t xml:space="preserve">dissemination </w:t>
            </w:r>
            <w:r w:rsidRPr="007D35E9">
              <w:t xml:space="preserve">of findings to accelerate understanding of the virus and </w:t>
            </w:r>
            <w:r>
              <w:t xml:space="preserve">development of </w:t>
            </w:r>
            <w:r w:rsidRPr="007D35E9">
              <w:t>vaccine</w:t>
            </w:r>
            <w:r>
              <w:t>s</w:t>
            </w:r>
            <w:r w:rsidR="00125649">
              <w:t>.</w:t>
            </w:r>
            <w:r>
              <w:rPr>
                <w:rStyle w:val="FootnoteReference"/>
              </w:rPr>
              <w:footnoteReference w:id="35"/>
            </w:r>
            <w:r>
              <w:t xml:space="preserve"> </w:t>
            </w:r>
          </w:p>
          <w:p w14:paraId="34C811AC" w14:textId="0B7D0D49" w:rsidR="005E6933" w:rsidRPr="00426652" w:rsidRDefault="005E6933" w:rsidP="00125649">
            <w:pPr>
              <w:pStyle w:val="ListBullet"/>
              <w:numPr>
                <w:ilvl w:val="0"/>
                <w:numId w:val="0"/>
              </w:numPr>
            </w:pPr>
          </w:p>
          <w:p w14:paraId="7A5AC826" w14:textId="67450810" w:rsidR="005E6933" w:rsidRPr="00563DEE" w:rsidRDefault="005E6933" w:rsidP="00A47B69">
            <w:pPr>
              <w:pStyle w:val="Caption"/>
            </w:pPr>
            <w:bookmarkStart w:id="8" w:name="_Ref86150807"/>
            <w:r w:rsidRPr="00563DEE">
              <w:t xml:space="preserve">Figure </w:t>
            </w:r>
            <w:r w:rsidR="003B28D9">
              <w:fldChar w:fldCharType="begin"/>
            </w:r>
            <w:r w:rsidR="003B28D9">
              <w:instrText xml:space="preserve"> SEQ Figure \* ARABIC </w:instrText>
            </w:r>
            <w:r w:rsidR="003B28D9">
              <w:fldChar w:fldCharType="separate"/>
            </w:r>
            <w:r w:rsidR="007E283B">
              <w:rPr>
                <w:noProof/>
              </w:rPr>
              <w:t>3</w:t>
            </w:r>
            <w:r w:rsidR="003B28D9">
              <w:rPr>
                <w:noProof/>
              </w:rPr>
              <w:fldChar w:fldCharType="end"/>
            </w:r>
            <w:bookmarkEnd w:id="8"/>
            <w:r w:rsidRPr="00563DEE">
              <w:t>: Category normalised citation impact</w:t>
            </w:r>
            <w:r w:rsidRPr="00563DEE">
              <w:rPr>
                <w:rStyle w:val="FootnoteReference"/>
                <w:rFonts w:cstheme="minorHAnsi"/>
                <w:noProof/>
              </w:rPr>
              <w:footnoteReference w:id="36"/>
            </w:r>
            <w:r w:rsidRPr="00563DEE">
              <w:t xml:space="preserve"> for paywalled and open access</w:t>
            </w:r>
            <w:r w:rsidRPr="00563DEE">
              <w:rPr>
                <w:noProof/>
              </w:rPr>
              <w:t xml:space="preserve"> </w:t>
            </w:r>
            <w:r>
              <w:rPr>
                <w:noProof/>
              </w:rPr>
              <w:t>articles and reviews</w:t>
            </w:r>
          </w:p>
          <w:p w14:paraId="07A87FAA" w14:textId="14A8ABA5" w:rsidR="005E6933" w:rsidRDefault="005E6933" w:rsidP="00591763">
            <w:pPr>
              <w:pStyle w:val="BodyText"/>
            </w:pPr>
            <w:r w:rsidRPr="00426652">
              <w:rPr>
                <w:noProof/>
              </w:rPr>
              <w:drawing>
                <wp:inline distT="0" distB="0" distL="0" distR="0" wp14:anchorId="60B39199" wp14:editId="3D0DC854">
                  <wp:extent cx="5880100" cy="2558646"/>
                  <wp:effectExtent l="0" t="0" r="6350" b="0"/>
                  <wp:docPr id="23" name="Picture 23" descr="Bar graph of normalised citation impact of non-open access compared to open access articles in Australia and globally. The normalised citation impact of open access articles is higher than non-open access articles for both Australia and globally. The normalised citation impact of Australian papers is higher than the impact globally for both open and non-open-access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of normalised citation impact of non-open access compared to open access articles in Australia and globally. The normalised citation impact of open access articles is higher than non-open access articles for both Australia and globally. The normalised citation impact of Australian papers is higher than the impact globally for both open and non-open-access papers."/>
                          <pic:cNvPicPr/>
                        </pic:nvPicPr>
                        <pic:blipFill rotWithShape="1">
                          <a:blip r:embed="rId21"/>
                          <a:srcRect t="14902" b="6207"/>
                          <a:stretch/>
                        </pic:blipFill>
                        <pic:spPr bwMode="auto">
                          <a:xfrm>
                            <a:off x="0" y="0"/>
                            <a:ext cx="5899500" cy="25670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D3919C" w14:textId="77777777" w:rsidR="00DD7DE9" w:rsidRDefault="00DD7DE9">
      <w:pPr>
        <w:spacing w:before="0" w:after="0" w:line="240" w:lineRule="auto"/>
        <w:rPr>
          <w:rFonts w:asciiTheme="minorHAnsi" w:eastAsiaTheme="majorEastAsia" w:hAnsiTheme="minorHAnsi" w:cstheme="minorHAnsi"/>
          <w:bCs/>
          <w:color w:val="757579" w:themeColor="accent3"/>
          <w:sz w:val="44"/>
          <w:szCs w:val="28"/>
        </w:rPr>
      </w:pPr>
      <w:r>
        <w:rPr>
          <w:rFonts w:asciiTheme="minorHAnsi" w:hAnsiTheme="minorHAnsi" w:cstheme="minorHAnsi"/>
        </w:rPr>
        <w:br w:type="page"/>
      </w:r>
    </w:p>
    <w:p w14:paraId="6A6C4980" w14:textId="3CE8DF84" w:rsidR="005E6933" w:rsidRPr="00563DEE" w:rsidRDefault="005E6933" w:rsidP="005E6933">
      <w:pPr>
        <w:pStyle w:val="Heading1"/>
        <w:rPr>
          <w:rFonts w:asciiTheme="minorHAnsi" w:hAnsiTheme="minorHAnsi" w:cstheme="minorHAnsi"/>
        </w:rPr>
      </w:pPr>
      <w:bookmarkStart w:id="9" w:name="_Ref86412128"/>
      <w:bookmarkStart w:id="10" w:name="_Ref86412228"/>
      <w:bookmarkStart w:id="11" w:name="_Toc87629929"/>
      <w:r w:rsidRPr="00563DEE">
        <w:rPr>
          <w:rFonts w:asciiTheme="minorHAnsi" w:hAnsiTheme="minorHAnsi" w:cstheme="minorHAnsi"/>
        </w:rPr>
        <w:lastRenderedPageBreak/>
        <w:t>Open access in Australia</w:t>
      </w:r>
      <w:bookmarkEnd w:id="9"/>
      <w:bookmarkEnd w:id="10"/>
      <w:bookmarkEnd w:id="11"/>
    </w:p>
    <w:p w14:paraId="574C9D99" w14:textId="77777777" w:rsidR="005E6933" w:rsidRPr="002023FD" w:rsidRDefault="005E6933" w:rsidP="002023FD">
      <w:pPr>
        <w:pStyle w:val="BodyText"/>
        <w:rPr>
          <w:b/>
          <w:bCs/>
        </w:rPr>
      </w:pPr>
      <w:r w:rsidRPr="002023FD">
        <w:rPr>
          <w:b/>
          <w:bCs/>
        </w:rPr>
        <w:t>Research and academic publishing by the numbers</w:t>
      </w:r>
    </w:p>
    <w:tbl>
      <w:tblPr>
        <w:tblStyle w:val="GridTable5Dark-Accent1"/>
        <w:tblW w:w="0" w:type="auto"/>
        <w:tblBorders>
          <w:top w:val="single" w:sz="6" w:space="0" w:color="00A9CE" w:themeColor="accent1"/>
          <w:bottom w:val="single" w:sz="6" w:space="0" w:color="00A9CE" w:themeColor="accent1"/>
          <w:right w:val="single" w:sz="6" w:space="0" w:color="00A9CE" w:themeColor="accent1"/>
          <w:insideH w:val="single" w:sz="6" w:space="0" w:color="00A9CE" w:themeColor="accent1"/>
        </w:tblBorders>
        <w:tblLook w:val="0680" w:firstRow="0" w:lastRow="0" w:firstColumn="1" w:lastColumn="0" w:noHBand="1" w:noVBand="1"/>
      </w:tblPr>
      <w:tblGrid>
        <w:gridCol w:w="1696"/>
        <w:gridCol w:w="1843"/>
        <w:gridCol w:w="3119"/>
        <w:gridCol w:w="2967"/>
      </w:tblGrid>
      <w:tr w:rsidR="005E6933" w:rsidRPr="006D6ACF" w14:paraId="3F749A16" w14:textId="77777777" w:rsidTr="00D03DCA">
        <w:trPr>
          <w:trHeight w:val="6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146D837" w14:textId="77777777" w:rsidR="005E6933" w:rsidRPr="00BC4B25" w:rsidRDefault="005E6933" w:rsidP="00054830">
            <w:pPr>
              <w:pStyle w:val="RowHeading"/>
              <w:rPr>
                <w:b/>
              </w:rPr>
            </w:pPr>
            <w:r w:rsidRPr="00BC4B25">
              <w:rPr>
                <w:b/>
              </w:rPr>
              <w:t>Australia’s research funding and collaboration</w:t>
            </w:r>
          </w:p>
        </w:tc>
        <w:tc>
          <w:tcPr>
            <w:tcW w:w="1843" w:type="dxa"/>
            <w:shd w:val="clear" w:color="auto" w:fill="FFFFFF" w:themeFill="background1"/>
          </w:tcPr>
          <w:p w14:paraId="05E18376"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797E6D8D" wp14:editId="56522B1C">
                  <wp:extent cx="720000" cy="720000"/>
                  <wp:effectExtent l="0" t="0" r="0" b="4445"/>
                  <wp:docPr id="27" name="Graphic 9" descr="Dollar sign icon.">
                    <a:extLst xmlns:a="http://schemas.openxmlformats.org/drawingml/2006/main">
                      <a:ext uri="{FF2B5EF4-FFF2-40B4-BE49-F238E27FC236}">
                        <a16:creationId xmlns:a16="http://schemas.microsoft.com/office/drawing/2014/main" id="{35558DD8-B9F1-40A1-9502-B902F4AFE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9" descr="Dollar sign icon.">
                            <a:extLst>
                              <a:ext uri="{FF2B5EF4-FFF2-40B4-BE49-F238E27FC236}">
                                <a16:creationId xmlns:a16="http://schemas.microsoft.com/office/drawing/2014/main" id="{35558DD8-B9F1-40A1-9502-B902F4AFE89D}"/>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20000" cy="720000"/>
                          </a:xfrm>
                          <a:prstGeom prst="rect">
                            <a:avLst/>
                          </a:prstGeom>
                        </pic:spPr>
                      </pic:pic>
                    </a:graphicData>
                  </a:graphic>
                </wp:inline>
              </w:drawing>
            </w:r>
          </w:p>
          <w:p w14:paraId="377CF24D"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$35.6B</w:t>
            </w:r>
            <w:r w:rsidRPr="006D6ACF">
              <w:rPr>
                <w:shd w:val="clear" w:color="auto" w:fill="FFFFFF"/>
              </w:rPr>
              <w:br/>
              <w:t>gross expenditure on R&amp;D (GERD)</w:t>
            </w:r>
            <w:r w:rsidRPr="006D6ACF">
              <w:rPr>
                <w:rStyle w:val="FootnoteReference"/>
                <w:rFonts w:cstheme="minorHAnsi"/>
                <w:sz w:val="22"/>
                <w:shd w:val="clear" w:color="auto" w:fill="FFFFFF"/>
              </w:rPr>
              <w:footnoteReference w:id="37"/>
            </w:r>
          </w:p>
        </w:tc>
        <w:tc>
          <w:tcPr>
            <w:tcW w:w="3119" w:type="dxa"/>
            <w:shd w:val="clear" w:color="auto" w:fill="FFFFFF" w:themeFill="background1"/>
          </w:tcPr>
          <w:p w14:paraId="4F6842CC"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1536F892" wp14:editId="382FC04C">
                  <wp:extent cx="720000" cy="720000"/>
                  <wp:effectExtent l="0" t="0" r="4445" b="0"/>
                  <wp:docPr id="14" name="Graphic 13" descr="Coins icon.">
                    <a:extLst xmlns:a="http://schemas.openxmlformats.org/drawingml/2006/main">
                      <a:ext uri="{FF2B5EF4-FFF2-40B4-BE49-F238E27FC236}">
                        <a16:creationId xmlns:a16="http://schemas.microsoft.com/office/drawing/2014/main" id="{E5972C47-DECB-42B7-A617-ECE64D665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Coins icon.">
                            <a:extLst>
                              <a:ext uri="{FF2B5EF4-FFF2-40B4-BE49-F238E27FC236}">
                                <a16:creationId xmlns:a16="http://schemas.microsoft.com/office/drawing/2014/main" id="{E5972C47-DECB-42B7-A617-ECE64D66539B}"/>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20000" cy="720000"/>
                          </a:xfrm>
                          <a:prstGeom prst="rect">
                            <a:avLst/>
                          </a:prstGeom>
                        </pic:spPr>
                      </pic:pic>
                    </a:graphicData>
                  </a:graphic>
                </wp:inline>
              </w:drawing>
            </w:r>
          </w:p>
          <w:p w14:paraId="6DD7693E" w14:textId="637649FA"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1.79%</w:t>
            </w:r>
            <w:r w:rsidRPr="006D6ACF">
              <w:br/>
              <w:t xml:space="preserve">GERD as a proportion of gross domestic product </w:t>
            </w:r>
          </w:p>
        </w:tc>
        <w:tc>
          <w:tcPr>
            <w:tcW w:w="2967" w:type="dxa"/>
            <w:shd w:val="clear" w:color="auto" w:fill="FFFFFF" w:themeFill="background1"/>
          </w:tcPr>
          <w:p w14:paraId="7BED6741"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60EE69D6" wp14:editId="2600B11E">
                  <wp:extent cx="720000" cy="720000"/>
                  <wp:effectExtent l="0" t="0" r="0" b="0"/>
                  <wp:docPr id="28" name="Graphic 24" descr="Cycle with people icon.">
                    <a:extLst xmlns:a="http://schemas.openxmlformats.org/drawingml/2006/main">
                      <a:ext uri="{FF2B5EF4-FFF2-40B4-BE49-F238E27FC236}">
                        <a16:creationId xmlns:a16="http://schemas.microsoft.com/office/drawing/2014/main" id="{124DB15D-5ED8-4337-A39B-EA17F4E64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4" descr="Cycle with people icon.">
                            <a:extLst>
                              <a:ext uri="{FF2B5EF4-FFF2-40B4-BE49-F238E27FC236}">
                                <a16:creationId xmlns:a16="http://schemas.microsoft.com/office/drawing/2014/main" id="{124DB15D-5ED8-4337-A39B-EA17F4E64AA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20000" cy="720000"/>
                          </a:xfrm>
                          <a:prstGeom prst="rect">
                            <a:avLst/>
                          </a:prstGeom>
                        </pic:spPr>
                      </pic:pic>
                    </a:graphicData>
                  </a:graphic>
                </wp:inline>
              </w:drawing>
            </w:r>
          </w:p>
          <w:p w14:paraId="5D9F3301" w14:textId="1A51B570" w:rsidR="005E6933" w:rsidRPr="006D6ACF" w:rsidRDefault="00125649" w:rsidP="002409D8">
            <w:pPr>
              <w:pStyle w:val="TableText"/>
              <w:jc w:val="center"/>
              <w:cnfStyle w:val="000000000000" w:firstRow="0" w:lastRow="0" w:firstColumn="0" w:lastColumn="0" w:oddVBand="0" w:evenVBand="0" w:oddHBand="0" w:evenHBand="0" w:firstRowFirstColumn="0" w:firstRowLastColumn="0" w:lastRowFirstColumn="0" w:lastRowLastColumn="0"/>
            </w:pPr>
            <w:r>
              <w:rPr>
                <w:b/>
                <w:sz w:val="32"/>
              </w:rPr>
              <w:t>60</w:t>
            </w:r>
            <w:r w:rsidR="005E6933" w:rsidRPr="006D6ACF">
              <w:rPr>
                <w:b/>
                <w:sz w:val="32"/>
              </w:rPr>
              <w:t>%</w:t>
            </w:r>
            <w:r w:rsidR="005E6933" w:rsidRPr="006D6ACF">
              <w:br/>
            </w:r>
            <w:r>
              <w:t>of Australian</w:t>
            </w:r>
            <w:r w:rsidR="00066472">
              <w:t>-authored</w:t>
            </w:r>
            <w:r>
              <w:t xml:space="preserve"> journal articles feature international co-authors</w:t>
            </w:r>
            <w:r w:rsidR="005E6933" w:rsidRPr="006D6ACF">
              <w:rPr>
                <w:rStyle w:val="FootnoteReference"/>
                <w:rFonts w:cstheme="minorHAnsi"/>
              </w:rPr>
              <w:footnoteReference w:id="38"/>
            </w:r>
          </w:p>
        </w:tc>
      </w:tr>
      <w:tr w:rsidR="005E6933" w:rsidRPr="006D6ACF" w14:paraId="3959E3D4" w14:textId="77777777" w:rsidTr="00D03DCA">
        <w:tc>
          <w:tcPr>
            <w:cnfStyle w:val="001000000000" w:firstRow="0" w:lastRow="0" w:firstColumn="1" w:lastColumn="0" w:oddVBand="0" w:evenVBand="0" w:oddHBand="0" w:evenHBand="0" w:firstRowFirstColumn="0" w:firstRowLastColumn="0" w:lastRowFirstColumn="0" w:lastRowLastColumn="0"/>
            <w:tcW w:w="1696" w:type="dxa"/>
            <w:vAlign w:val="center"/>
          </w:tcPr>
          <w:p w14:paraId="774806F8" w14:textId="6242509B" w:rsidR="005E6933" w:rsidRPr="00BC4B25" w:rsidRDefault="005E6933" w:rsidP="00054830">
            <w:pPr>
              <w:pStyle w:val="RowHeading"/>
              <w:rPr>
                <w:b/>
              </w:rPr>
            </w:pPr>
            <w:r w:rsidRPr="00BC4B25">
              <w:rPr>
                <w:b/>
              </w:rPr>
              <w:t>Australia’s research output</w:t>
            </w:r>
          </w:p>
        </w:tc>
        <w:tc>
          <w:tcPr>
            <w:tcW w:w="1843" w:type="dxa"/>
            <w:shd w:val="clear" w:color="auto" w:fill="FFFFFF" w:themeFill="background1"/>
          </w:tcPr>
          <w:p w14:paraId="21405527"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sz w:val="32"/>
              </w:rPr>
            </w:pPr>
            <w:r w:rsidRPr="006D6ACF">
              <w:rPr>
                <w:noProof/>
              </w:rPr>
              <w:drawing>
                <wp:inline distT="0" distB="0" distL="0" distR="0" wp14:anchorId="1FFCBCE6" wp14:editId="06B5C422">
                  <wp:extent cx="720000" cy="720000"/>
                  <wp:effectExtent l="0" t="0" r="0" b="0"/>
                  <wp:docPr id="7" name="Graphic 10" descr="Books on shelf icon.">
                    <a:extLst xmlns:a="http://schemas.openxmlformats.org/drawingml/2006/main">
                      <a:ext uri="{FF2B5EF4-FFF2-40B4-BE49-F238E27FC236}">
                        <a16:creationId xmlns:a16="http://schemas.microsoft.com/office/drawing/2014/main" id="{915D18EE-772D-48E8-A691-04D38D9E9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0" descr="Books on shelf icon.">
                            <a:extLst>
                              <a:ext uri="{FF2B5EF4-FFF2-40B4-BE49-F238E27FC236}">
                                <a16:creationId xmlns:a16="http://schemas.microsoft.com/office/drawing/2014/main" id="{915D18EE-772D-48E8-A691-04D38D9E9328}"/>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20000" cy="720000"/>
                          </a:xfrm>
                          <a:prstGeom prst="rect">
                            <a:avLst/>
                          </a:prstGeom>
                        </pic:spPr>
                      </pic:pic>
                    </a:graphicData>
                  </a:graphic>
                </wp:inline>
              </w:drawing>
            </w:r>
          </w:p>
          <w:p w14:paraId="3C0F72CA" w14:textId="3561650A"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116,255</w:t>
            </w:r>
            <w:r w:rsidRPr="006D6ACF">
              <w:br/>
              <w:t>journal articles</w:t>
            </w:r>
            <w:r w:rsidR="00DD7DE9">
              <w:br/>
            </w:r>
            <w:r w:rsidRPr="006D6ACF">
              <w:t xml:space="preserve">published </w:t>
            </w:r>
            <w:r w:rsidR="002F208C">
              <w:t xml:space="preserve">in </w:t>
            </w:r>
            <w:r w:rsidRPr="006D6ACF">
              <w:t>2020</w:t>
            </w:r>
            <w:r w:rsidRPr="006D6ACF">
              <w:rPr>
                <w:rStyle w:val="FootnoteReference"/>
                <w:rFonts w:cstheme="minorHAnsi"/>
                <w:sz w:val="22"/>
                <w:szCs w:val="22"/>
              </w:rPr>
              <w:footnoteReference w:id="39"/>
            </w:r>
          </w:p>
        </w:tc>
        <w:tc>
          <w:tcPr>
            <w:tcW w:w="3119" w:type="dxa"/>
            <w:shd w:val="clear" w:color="auto" w:fill="FFFFFF" w:themeFill="background1"/>
          </w:tcPr>
          <w:p w14:paraId="37B37D02"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77F5CFB9" wp14:editId="54D9C86A">
                  <wp:extent cx="720000" cy="720000"/>
                  <wp:effectExtent l="0" t="0" r="0" b="0"/>
                  <wp:docPr id="12" name="Graphic 8" descr="Bar graph with upward trend icon.">
                    <a:extLst xmlns:a="http://schemas.openxmlformats.org/drawingml/2006/main">
                      <a:ext uri="{FF2B5EF4-FFF2-40B4-BE49-F238E27FC236}">
                        <a16:creationId xmlns:a16="http://schemas.microsoft.com/office/drawing/2014/main" id="{82634464-7E6B-4AD6-9EB6-B1E3BFD46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8" descr="Bar graph with upward trend icon.">
                            <a:extLst>
                              <a:ext uri="{FF2B5EF4-FFF2-40B4-BE49-F238E27FC236}">
                                <a16:creationId xmlns:a16="http://schemas.microsoft.com/office/drawing/2014/main" id="{82634464-7E6B-4AD6-9EB6-B1E3BFD46B50}"/>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20000" cy="720000"/>
                          </a:xfrm>
                          <a:prstGeom prst="rect">
                            <a:avLst/>
                          </a:prstGeom>
                        </pic:spPr>
                      </pic:pic>
                    </a:graphicData>
                  </a:graphic>
                </wp:inline>
              </w:drawing>
            </w:r>
          </w:p>
          <w:p w14:paraId="7BCF9675" w14:textId="414EB3AC"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7.5%</w:t>
            </w:r>
            <w:r w:rsidRPr="006D6ACF">
              <w:br/>
              <w:t>annual growth in research output</w:t>
            </w:r>
            <w:r w:rsidR="00D03DCA">
              <w:t xml:space="preserve"> between 2012 and 2020</w:t>
            </w:r>
            <w:r w:rsidRPr="006D6ACF">
              <w:rPr>
                <w:rStyle w:val="FootnoteReference"/>
                <w:rFonts w:cstheme="minorHAnsi"/>
                <w:sz w:val="22"/>
                <w:szCs w:val="22"/>
              </w:rPr>
              <w:footnoteReference w:id="40"/>
            </w:r>
          </w:p>
        </w:tc>
        <w:tc>
          <w:tcPr>
            <w:tcW w:w="2967" w:type="dxa"/>
            <w:shd w:val="clear" w:color="auto" w:fill="FFFFFF" w:themeFill="background1"/>
          </w:tcPr>
          <w:p w14:paraId="65CBF373"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2094B9DB" wp14:editId="47328E62">
                  <wp:extent cx="720000" cy="720000"/>
                  <wp:effectExtent l="0" t="0" r="0" b="0"/>
                  <wp:docPr id="22" name="Graphic 11" descr="Globe icon.">
                    <a:extLst xmlns:a="http://schemas.openxmlformats.org/drawingml/2006/main">
                      <a:ext uri="{FF2B5EF4-FFF2-40B4-BE49-F238E27FC236}">
                        <a16:creationId xmlns:a16="http://schemas.microsoft.com/office/drawing/2014/main" id="{2FF681C2-E9DE-43E3-8F45-41A5D18D3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11" descr="Globe icon.">
                            <a:extLst>
                              <a:ext uri="{FF2B5EF4-FFF2-40B4-BE49-F238E27FC236}">
                                <a16:creationId xmlns:a16="http://schemas.microsoft.com/office/drawing/2014/main" id="{2FF681C2-E9DE-43E3-8F45-41A5D18D3A84}"/>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20000" cy="720000"/>
                          </a:xfrm>
                          <a:prstGeom prst="rect">
                            <a:avLst/>
                          </a:prstGeom>
                        </pic:spPr>
                      </pic:pic>
                    </a:graphicData>
                  </a:graphic>
                </wp:inline>
              </w:drawing>
            </w:r>
          </w:p>
          <w:p w14:paraId="5C4760D0" w14:textId="5E060E2F"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10</w:t>
            </w:r>
            <w:r w:rsidRPr="006D6ACF">
              <w:rPr>
                <w:b/>
                <w:sz w:val="32"/>
                <w:vertAlign w:val="superscript"/>
              </w:rPr>
              <w:t>th</w:t>
            </w:r>
            <w:r w:rsidRPr="006D6ACF">
              <w:rPr>
                <w:b/>
                <w:sz w:val="32"/>
                <w:vertAlign w:val="superscript"/>
              </w:rPr>
              <w:br/>
            </w:r>
            <w:r w:rsidRPr="006D6ACF">
              <w:t>worldwide for number of</w:t>
            </w:r>
            <w:r>
              <w:t xml:space="preserve"> </w:t>
            </w:r>
            <w:r w:rsidR="00E817FB">
              <w:t>journal</w:t>
            </w:r>
            <w:r w:rsidRPr="006D6ACF">
              <w:t xml:space="preserve"> articles </w:t>
            </w:r>
            <w:r w:rsidR="002F208C">
              <w:t>authored</w:t>
            </w:r>
            <w:r w:rsidR="00B966F5">
              <w:t xml:space="preserve"> (4.2% of total)</w:t>
            </w:r>
            <w:r w:rsidRPr="006D6ACF">
              <w:rPr>
                <w:rStyle w:val="FootnoteReference"/>
                <w:rFonts w:cstheme="minorHAnsi"/>
                <w:sz w:val="22"/>
                <w:szCs w:val="22"/>
              </w:rPr>
              <w:footnoteReference w:id="41"/>
            </w:r>
          </w:p>
        </w:tc>
      </w:tr>
      <w:tr w:rsidR="005E6933" w:rsidRPr="006D6ACF" w14:paraId="13531886" w14:textId="77777777" w:rsidTr="00D03DCA">
        <w:tc>
          <w:tcPr>
            <w:cnfStyle w:val="001000000000" w:firstRow="0" w:lastRow="0" w:firstColumn="1" w:lastColumn="0" w:oddVBand="0" w:evenVBand="0" w:oddHBand="0" w:evenHBand="0" w:firstRowFirstColumn="0" w:firstRowLastColumn="0" w:lastRowFirstColumn="0" w:lastRowLastColumn="0"/>
            <w:tcW w:w="1696" w:type="dxa"/>
            <w:vAlign w:val="center"/>
          </w:tcPr>
          <w:p w14:paraId="488614CE" w14:textId="77777777" w:rsidR="005E6933" w:rsidRPr="00BC4B25" w:rsidRDefault="005E6933" w:rsidP="00054830">
            <w:pPr>
              <w:pStyle w:val="RowHeading"/>
              <w:rPr>
                <w:b/>
              </w:rPr>
            </w:pPr>
            <w:r w:rsidRPr="00BC4B25">
              <w:rPr>
                <w:b/>
              </w:rPr>
              <w:t>Global publishing ecosystem</w:t>
            </w:r>
          </w:p>
        </w:tc>
        <w:tc>
          <w:tcPr>
            <w:tcW w:w="1843" w:type="dxa"/>
            <w:shd w:val="clear" w:color="auto" w:fill="FFFFFF" w:themeFill="background1"/>
          </w:tcPr>
          <w:p w14:paraId="5AD9060A"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299224B0" wp14:editId="328B43A1">
                  <wp:extent cx="720000" cy="720000"/>
                  <wp:effectExtent l="0" t="0" r="0" b="0"/>
                  <wp:docPr id="29" name="Graphic 2" descr="People icon.">
                    <a:extLst xmlns:a="http://schemas.openxmlformats.org/drawingml/2006/main">
                      <a:ext uri="{FF2B5EF4-FFF2-40B4-BE49-F238E27FC236}">
                        <a16:creationId xmlns:a16="http://schemas.microsoft.com/office/drawing/2014/main" id="{9138468B-C97F-4570-B371-F47D514A3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 descr="People icon.">
                            <a:extLst>
                              <a:ext uri="{FF2B5EF4-FFF2-40B4-BE49-F238E27FC236}">
                                <a16:creationId xmlns:a16="http://schemas.microsoft.com/office/drawing/2014/main" id="{9138468B-C97F-4570-B371-F47D514A3227}"/>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20000" cy="720000"/>
                          </a:xfrm>
                          <a:prstGeom prst="rect">
                            <a:avLst/>
                          </a:prstGeom>
                        </pic:spPr>
                      </pic:pic>
                    </a:graphicData>
                  </a:graphic>
                </wp:inline>
              </w:drawing>
            </w:r>
          </w:p>
          <w:p w14:paraId="52C99A5A" w14:textId="63C41649"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25,000+</w:t>
            </w:r>
            <w:r w:rsidRPr="006D6ACF">
              <w:br/>
              <w:t xml:space="preserve">peer-reviewed </w:t>
            </w:r>
            <w:r w:rsidR="0030005D">
              <w:t>academic</w:t>
            </w:r>
            <w:r w:rsidRPr="006D6ACF">
              <w:t xml:space="preserve"> journals</w:t>
            </w:r>
            <w:r w:rsidRPr="006D6ACF">
              <w:rPr>
                <w:rStyle w:val="FootnoteReference"/>
                <w:rFonts w:cstheme="minorHAnsi"/>
                <w:sz w:val="22"/>
              </w:rPr>
              <w:footnoteReference w:id="42"/>
            </w:r>
          </w:p>
        </w:tc>
        <w:tc>
          <w:tcPr>
            <w:tcW w:w="3119" w:type="dxa"/>
            <w:shd w:val="clear" w:color="auto" w:fill="FFFFFF" w:themeFill="background1"/>
          </w:tcPr>
          <w:p w14:paraId="1B335E0B"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2AF12DFB" wp14:editId="72671835">
                  <wp:extent cx="720000" cy="720000"/>
                  <wp:effectExtent l="0" t="0" r="0" b="0"/>
                  <wp:docPr id="30" name="Graphic 4" descr="Store icon.">
                    <a:extLst xmlns:a="http://schemas.openxmlformats.org/drawingml/2006/main">
                      <a:ext uri="{FF2B5EF4-FFF2-40B4-BE49-F238E27FC236}">
                        <a16:creationId xmlns:a16="http://schemas.microsoft.com/office/drawing/2014/main" id="{9EDFF582-5344-4D6E-848A-CBB82010F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4" descr="Store icon.">
                            <a:extLst>
                              <a:ext uri="{FF2B5EF4-FFF2-40B4-BE49-F238E27FC236}">
                                <a16:creationId xmlns:a16="http://schemas.microsoft.com/office/drawing/2014/main" id="{9EDFF582-5344-4D6E-848A-CBB82010F7B1}"/>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0000" cy="720000"/>
                          </a:xfrm>
                          <a:prstGeom prst="rect">
                            <a:avLst/>
                          </a:prstGeom>
                        </pic:spPr>
                      </pic:pic>
                    </a:graphicData>
                  </a:graphic>
                </wp:inline>
              </w:drawing>
            </w:r>
          </w:p>
          <w:p w14:paraId="1CAB7C54" w14:textId="0E5A2DE5"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4</w:t>
            </w:r>
            <w:r w:rsidRPr="006D6ACF">
              <w:br/>
            </w:r>
            <w:r w:rsidR="00BA0125">
              <w:t>publishers</w:t>
            </w:r>
            <w:r w:rsidR="00BA0125" w:rsidRPr="006D6ACF">
              <w:t xml:space="preserve"> </w:t>
            </w:r>
            <w:r w:rsidRPr="006D6ACF">
              <w:t>publish over 50% of Australia’s research</w:t>
            </w:r>
            <w:r w:rsidRPr="006D6ACF">
              <w:rPr>
                <w:rStyle w:val="FootnoteReference"/>
                <w:rFonts w:eastAsia="Courier New" w:cstheme="minorHAnsi"/>
                <w:sz w:val="22"/>
              </w:rPr>
              <w:footnoteReference w:id="43"/>
            </w:r>
          </w:p>
        </w:tc>
        <w:tc>
          <w:tcPr>
            <w:tcW w:w="2967" w:type="dxa"/>
            <w:shd w:val="clear" w:color="auto" w:fill="FFFFFF" w:themeFill="background1"/>
          </w:tcPr>
          <w:p w14:paraId="79CD5C0F" w14:textId="77777777"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noProof/>
              </w:rPr>
              <w:drawing>
                <wp:inline distT="0" distB="0" distL="0" distR="0" wp14:anchorId="50EA7BA3" wp14:editId="05003347">
                  <wp:extent cx="720000" cy="720000"/>
                  <wp:effectExtent l="0" t="0" r="4445" b="0"/>
                  <wp:docPr id="32" name="Graphic 7" descr="Internet page icon.">
                    <a:extLst xmlns:a="http://schemas.openxmlformats.org/drawingml/2006/main">
                      <a:ext uri="{FF2B5EF4-FFF2-40B4-BE49-F238E27FC236}">
                        <a16:creationId xmlns:a16="http://schemas.microsoft.com/office/drawing/2014/main" id="{A1A63785-A98F-4BE7-A0CD-C4DF74F28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7" descr="Internet page icon.">
                            <a:extLst>
                              <a:ext uri="{FF2B5EF4-FFF2-40B4-BE49-F238E27FC236}">
                                <a16:creationId xmlns:a16="http://schemas.microsoft.com/office/drawing/2014/main" id="{A1A63785-A98F-4BE7-A0CD-C4DF74F28827}"/>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20000" cy="720000"/>
                          </a:xfrm>
                          <a:prstGeom prst="rect">
                            <a:avLst/>
                          </a:prstGeom>
                        </pic:spPr>
                      </pic:pic>
                    </a:graphicData>
                  </a:graphic>
                </wp:inline>
              </w:drawing>
            </w:r>
          </w:p>
          <w:p w14:paraId="56519878" w14:textId="35A04C61" w:rsidR="005E6933" w:rsidRPr="006D6ACF"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6D6ACF">
              <w:rPr>
                <w:b/>
                <w:sz w:val="32"/>
              </w:rPr>
              <w:t>113</w:t>
            </w:r>
            <w:r w:rsidR="00D03DCA">
              <w:rPr>
                <w:b/>
                <w:sz w:val="32"/>
              </w:rPr>
              <w:t>0</w:t>
            </w:r>
            <w:r w:rsidRPr="006D6ACF">
              <w:rPr>
                <w:b/>
                <w:sz w:val="32"/>
              </w:rPr>
              <w:t>+</w:t>
            </w:r>
            <w:r w:rsidRPr="006D6ACF">
              <w:rPr>
                <w:sz w:val="40"/>
              </w:rPr>
              <w:br/>
            </w:r>
            <w:r w:rsidRPr="006D6ACF">
              <w:t xml:space="preserve">publishers </w:t>
            </w:r>
            <w:r w:rsidR="00040F7B">
              <w:t>publish</w:t>
            </w:r>
            <w:r w:rsidR="00040F7B" w:rsidRPr="006D6ACF">
              <w:t xml:space="preserve"> </w:t>
            </w:r>
            <w:r w:rsidRPr="006D6ACF">
              <w:t>Australian</w:t>
            </w:r>
            <w:r w:rsidR="005740DD">
              <w:t xml:space="preserve"> </w:t>
            </w:r>
            <w:r w:rsidRPr="006D6ACF">
              <w:t>journal articles</w:t>
            </w:r>
            <w:r w:rsidRPr="006D6ACF">
              <w:rPr>
                <w:rStyle w:val="FootnoteReference"/>
                <w:rFonts w:eastAsia="Courier New" w:cstheme="minorHAnsi"/>
                <w:sz w:val="22"/>
              </w:rPr>
              <w:footnoteReference w:id="44"/>
            </w:r>
          </w:p>
        </w:tc>
      </w:tr>
    </w:tbl>
    <w:p w14:paraId="75E099DA" w14:textId="77777777" w:rsidR="005E6933" w:rsidRDefault="005E6933" w:rsidP="00A47B69">
      <w:pPr>
        <w:pStyle w:val="BodyText"/>
      </w:pPr>
    </w:p>
    <w:tbl>
      <w:tblPr>
        <w:tblStyle w:val="GridTable5Dark-Accent1"/>
        <w:tblW w:w="0" w:type="auto"/>
        <w:tblBorders>
          <w:top w:val="single" w:sz="6" w:space="0" w:color="00A9CE" w:themeColor="accent1"/>
          <w:bottom w:val="single" w:sz="6" w:space="0" w:color="00A9CE" w:themeColor="accent1"/>
          <w:right w:val="single" w:sz="6" w:space="0" w:color="00A9CE" w:themeColor="accent1"/>
          <w:insideH w:val="single" w:sz="6" w:space="0" w:color="00A9CE" w:themeColor="accent1"/>
        </w:tblBorders>
        <w:tblLook w:val="0680" w:firstRow="0" w:lastRow="0" w:firstColumn="1" w:lastColumn="0" w:noHBand="1" w:noVBand="1"/>
      </w:tblPr>
      <w:tblGrid>
        <w:gridCol w:w="2129"/>
        <w:gridCol w:w="2039"/>
        <w:gridCol w:w="2631"/>
        <w:gridCol w:w="2826"/>
      </w:tblGrid>
      <w:tr w:rsidR="00524730" w:rsidRPr="00F424A1" w14:paraId="455861DD" w14:textId="77777777" w:rsidTr="00BC4B25">
        <w:tc>
          <w:tcPr>
            <w:cnfStyle w:val="001000000000" w:firstRow="0" w:lastRow="0" w:firstColumn="1" w:lastColumn="0" w:oddVBand="0" w:evenVBand="0" w:oddHBand="0" w:evenHBand="0" w:firstRowFirstColumn="0" w:firstRowLastColumn="0" w:lastRowFirstColumn="0" w:lastRowLastColumn="0"/>
            <w:tcW w:w="0" w:type="auto"/>
            <w:vAlign w:val="center"/>
          </w:tcPr>
          <w:p w14:paraId="447B43D8" w14:textId="3BEE9E00" w:rsidR="005E6933" w:rsidRPr="00BC4B25" w:rsidRDefault="005E6933" w:rsidP="00054830">
            <w:pPr>
              <w:pStyle w:val="RowHeading"/>
              <w:rPr>
                <w:b/>
              </w:rPr>
            </w:pPr>
            <w:r w:rsidRPr="00BC4B25">
              <w:rPr>
                <w:b/>
              </w:rPr>
              <w:lastRenderedPageBreak/>
              <w:t>Open access in Australia</w:t>
            </w:r>
            <w:r w:rsidRPr="00BC4B25">
              <w:rPr>
                <w:vertAlign w:val="superscript"/>
              </w:rPr>
              <w:footnoteReference w:id="45"/>
            </w:r>
          </w:p>
        </w:tc>
        <w:tc>
          <w:tcPr>
            <w:tcW w:w="0" w:type="auto"/>
            <w:shd w:val="clear" w:color="auto" w:fill="FFFFFF" w:themeFill="background1"/>
          </w:tcPr>
          <w:p w14:paraId="47E694DA"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6C7D1828" wp14:editId="6490FB50">
                  <wp:extent cx="720000" cy="720000"/>
                  <wp:effectExtent l="0" t="0" r="0" b="0"/>
                  <wp:docPr id="6" name="Graphic 7" descr="Open lock icon.">
                    <a:extLst xmlns:a="http://schemas.openxmlformats.org/drawingml/2006/main">
                      <a:ext uri="{FF2B5EF4-FFF2-40B4-BE49-F238E27FC236}">
                        <a16:creationId xmlns:a16="http://schemas.microsoft.com/office/drawing/2014/main" id="{7438C1DE-77C6-4752-BA99-32A03812E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7" descr="Open lock icon.">
                            <a:extLst>
                              <a:ext uri="{FF2B5EF4-FFF2-40B4-BE49-F238E27FC236}">
                                <a16:creationId xmlns:a16="http://schemas.microsoft.com/office/drawing/2014/main" id="{7438C1DE-77C6-4752-BA99-32A03812E2A4}"/>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0000" cy="720000"/>
                          </a:xfrm>
                          <a:prstGeom prst="rect">
                            <a:avLst/>
                          </a:prstGeom>
                        </pic:spPr>
                      </pic:pic>
                    </a:graphicData>
                  </a:graphic>
                </wp:inline>
              </w:drawing>
            </w:r>
          </w:p>
          <w:p w14:paraId="73E951CC" w14:textId="77777777" w:rsidR="005E6933" w:rsidRPr="002409D8"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b/>
                <w:sz w:val="32"/>
              </w:rPr>
            </w:pPr>
            <w:r w:rsidRPr="002409D8">
              <w:rPr>
                <w:b/>
                <w:sz w:val="32"/>
              </w:rPr>
              <w:t>38.4%</w:t>
            </w:r>
          </w:p>
          <w:p w14:paraId="58F400CF" w14:textId="4B0F91E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t>of Australia’s research outputs are open access</w:t>
            </w:r>
            <w:r w:rsidR="00A521D9" w:rsidRPr="00AD7B12">
              <w:rPr>
                <w:highlight w:val="yellow"/>
              </w:rPr>
              <w:t xml:space="preserve"> </w:t>
            </w:r>
          </w:p>
        </w:tc>
        <w:tc>
          <w:tcPr>
            <w:tcW w:w="2631" w:type="dxa"/>
            <w:shd w:val="clear" w:color="auto" w:fill="FFFFFF" w:themeFill="background1"/>
          </w:tcPr>
          <w:p w14:paraId="23CFEF3A"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30A53F39" wp14:editId="6EC19A90">
                  <wp:extent cx="720000" cy="720000"/>
                  <wp:effectExtent l="0" t="0" r="0" b="0"/>
                  <wp:docPr id="13" name="Graphic 9" descr="Pie chart icon.">
                    <a:extLst xmlns:a="http://schemas.openxmlformats.org/drawingml/2006/main">
                      <a:ext uri="{FF2B5EF4-FFF2-40B4-BE49-F238E27FC236}">
                        <a16:creationId xmlns:a16="http://schemas.microsoft.com/office/drawing/2014/main" id="{A881B53C-A0B9-46E1-ABA4-3604E7DF3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9" descr="Pie chart icon.">
                            <a:extLst>
                              <a:ext uri="{FF2B5EF4-FFF2-40B4-BE49-F238E27FC236}">
                                <a16:creationId xmlns:a16="http://schemas.microsoft.com/office/drawing/2014/main" id="{A881B53C-A0B9-46E1-ABA4-3604E7DF321C}"/>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20000" cy="720000"/>
                          </a:xfrm>
                          <a:prstGeom prst="rect">
                            <a:avLst/>
                          </a:prstGeom>
                        </pic:spPr>
                      </pic:pic>
                    </a:graphicData>
                  </a:graphic>
                </wp:inline>
              </w:drawing>
            </w:r>
          </w:p>
          <w:p w14:paraId="7B19385E" w14:textId="77777777" w:rsidR="005E6933" w:rsidRPr="002409D8"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b/>
                <w:sz w:val="32"/>
                <w:szCs w:val="32"/>
              </w:rPr>
            </w:pPr>
            <w:r w:rsidRPr="002409D8">
              <w:rPr>
                <w:b/>
                <w:sz w:val="32"/>
                <w:szCs w:val="32"/>
              </w:rPr>
              <w:t>20.3%</w:t>
            </w:r>
          </w:p>
          <w:p w14:paraId="1194661D" w14:textId="518A9A82" w:rsidR="005E6933" w:rsidRPr="00F424A1" w:rsidRDefault="00D611BC"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t xml:space="preserve">of Australia’s </w:t>
            </w:r>
            <w:r w:rsidR="00E04F79">
              <w:t>research</w:t>
            </w:r>
            <w:r w:rsidRPr="00F424A1">
              <w:t xml:space="preserve"> outputs </w:t>
            </w:r>
            <w:r w:rsidR="005E6933" w:rsidRPr="00F424A1">
              <w:t>are published in gold (15.1%) or hybrid (5.2%) open access journals</w:t>
            </w:r>
          </w:p>
        </w:tc>
        <w:tc>
          <w:tcPr>
            <w:tcW w:w="2826" w:type="dxa"/>
            <w:shd w:val="clear" w:color="auto" w:fill="FFFFFF" w:themeFill="background1"/>
          </w:tcPr>
          <w:p w14:paraId="051E12AC"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4D7CE002" wp14:editId="28E84F75">
                  <wp:extent cx="720000" cy="720000"/>
                  <wp:effectExtent l="0" t="0" r="0" b="0"/>
                  <wp:docPr id="40" name="Graphic 4" descr="Filing Box Archive icon.">
                    <a:extLst xmlns:a="http://schemas.openxmlformats.org/drawingml/2006/main">
                      <a:ext uri="{FF2B5EF4-FFF2-40B4-BE49-F238E27FC236}">
                        <a16:creationId xmlns:a16="http://schemas.microsoft.com/office/drawing/2014/main" id="{32FBF96C-A1DB-4791-80FA-35F50BDB0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descr="Filing Box Archive icon.">
                            <a:extLst>
                              <a:ext uri="{FF2B5EF4-FFF2-40B4-BE49-F238E27FC236}">
                                <a16:creationId xmlns:a16="http://schemas.microsoft.com/office/drawing/2014/main" id="{32FBF96C-A1DB-4791-80FA-35F50BDB0C77}"/>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720000" cy="720000"/>
                          </a:xfrm>
                          <a:prstGeom prst="rect">
                            <a:avLst/>
                          </a:prstGeom>
                        </pic:spPr>
                      </pic:pic>
                    </a:graphicData>
                  </a:graphic>
                </wp:inline>
              </w:drawing>
            </w:r>
          </w:p>
          <w:p w14:paraId="6DBF036F" w14:textId="77777777" w:rsidR="005E6933" w:rsidRPr="002409D8"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b/>
                <w:sz w:val="32"/>
                <w:szCs w:val="32"/>
              </w:rPr>
            </w:pPr>
            <w:r w:rsidRPr="002409D8">
              <w:rPr>
                <w:b/>
                <w:sz w:val="32"/>
                <w:szCs w:val="32"/>
              </w:rPr>
              <w:t>28.6%</w:t>
            </w:r>
          </w:p>
          <w:p w14:paraId="53F3A6F2" w14:textId="5BB26320" w:rsidR="005E6933" w:rsidRPr="00F424A1" w:rsidRDefault="00D611BC"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t xml:space="preserve">of Australia’s </w:t>
            </w:r>
            <w:r w:rsidR="00E04F79">
              <w:t>research</w:t>
            </w:r>
            <w:r w:rsidRPr="00F424A1">
              <w:t xml:space="preserve"> outputs </w:t>
            </w:r>
            <w:r w:rsidR="005E6933" w:rsidRPr="00F424A1">
              <w:t>are freely accessible in repositories (green open access)</w:t>
            </w:r>
          </w:p>
        </w:tc>
      </w:tr>
      <w:tr w:rsidR="00524730" w:rsidRPr="00F424A1" w14:paraId="6E1033B1" w14:textId="77777777" w:rsidTr="00BC4B25">
        <w:tc>
          <w:tcPr>
            <w:cnfStyle w:val="001000000000" w:firstRow="0" w:lastRow="0" w:firstColumn="1" w:lastColumn="0" w:oddVBand="0" w:evenVBand="0" w:oddHBand="0" w:evenHBand="0" w:firstRowFirstColumn="0" w:firstRowLastColumn="0" w:lastRowFirstColumn="0" w:lastRowLastColumn="0"/>
            <w:tcW w:w="0" w:type="auto"/>
            <w:vAlign w:val="center"/>
          </w:tcPr>
          <w:p w14:paraId="6AAF2DDB" w14:textId="77777777" w:rsidR="005E6933" w:rsidRPr="00BC4B25" w:rsidRDefault="005E6933" w:rsidP="00054830">
            <w:pPr>
              <w:pStyle w:val="RowHeading"/>
              <w:rPr>
                <w:b/>
              </w:rPr>
            </w:pPr>
            <w:r w:rsidRPr="00BC4B25">
              <w:rPr>
                <w:b/>
              </w:rPr>
              <w:t>Australia’s current expenditure on journal subscriptions and open access</w:t>
            </w:r>
            <w:r w:rsidRPr="00BC4B25">
              <w:rPr>
                <w:vertAlign w:val="superscript"/>
              </w:rPr>
              <w:footnoteReference w:id="46"/>
            </w:r>
            <w:r w:rsidRPr="00BC4B25">
              <w:rPr>
                <w:b/>
              </w:rPr>
              <w:t xml:space="preserve"> </w:t>
            </w:r>
          </w:p>
        </w:tc>
        <w:tc>
          <w:tcPr>
            <w:tcW w:w="0" w:type="auto"/>
            <w:shd w:val="clear" w:color="auto" w:fill="FFFFFF" w:themeFill="background1"/>
          </w:tcPr>
          <w:p w14:paraId="5D7F0AD7"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0E7CF1DF" wp14:editId="3DD22303">
                  <wp:extent cx="720000" cy="720000"/>
                  <wp:effectExtent l="0" t="0" r="4445" b="0"/>
                  <wp:docPr id="41" name="Graphic 9" descr="Open book icon.">
                    <a:extLst xmlns:a="http://schemas.openxmlformats.org/drawingml/2006/main">
                      <a:ext uri="{FF2B5EF4-FFF2-40B4-BE49-F238E27FC236}">
                        <a16:creationId xmlns:a16="http://schemas.microsoft.com/office/drawing/2014/main" id="{4AB6FD47-AB12-4601-B57C-8246F579B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9" descr="Open book icon.">
                            <a:extLst>
                              <a:ext uri="{FF2B5EF4-FFF2-40B4-BE49-F238E27FC236}">
                                <a16:creationId xmlns:a16="http://schemas.microsoft.com/office/drawing/2014/main" id="{4AB6FD47-AB12-4601-B57C-8246F579B73F}"/>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20000" cy="720000"/>
                          </a:xfrm>
                          <a:prstGeom prst="rect">
                            <a:avLst/>
                          </a:prstGeom>
                        </pic:spPr>
                      </pic:pic>
                    </a:graphicData>
                  </a:graphic>
                </wp:inline>
              </w:drawing>
            </w:r>
          </w:p>
          <w:p w14:paraId="6DCFC39A"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b/>
                <w:sz w:val="32"/>
              </w:rPr>
            </w:pPr>
            <w:r w:rsidRPr="00F424A1">
              <w:rPr>
                <w:b/>
                <w:sz w:val="32"/>
              </w:rPr>
              <w:t>$</w:t>
            </w:r>
            <w:r w:rsidRPr="00F424A1">
              <w:rPr>
                <w:b/>
                <w:sz w:val="32"/>
                <w:szCs w:val="32"/>
              </w:rPr>
              <w:t>302.9M</w:t>
            </w:r>
            <w:r w:rsidRPr="00F424A1">
              <w:rPr>
                <w:b/>
                <w:sz w:val="32"/>
              </w:rPr>
              <w:t>+</w:t>
            </w:r>
            <w:r w:rsidRPr="00F424A1">
              <w:rPr>
                <w:sz w:val="40"/>
              </w:rPr>
              <w:br/>
            </w:r>
            <w:r w:rsidRPr="00F424A1">
              <w:t>on journal subscriptions</w:t>
            </w:r>
          </w:p>
        </w:tc>
        <w:tc>
          <w:tcPr>
            <w:tcW w:w="2631" w:type="dxa"/>
            <w:shd w:val="clear" w:color="auto" w:fill="FFFFFF" w:themeFill="background1"/>
          </w:tcPr>
          <w:p w14:paraId="568FE18E"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427433E6" wp14:editId="16A61CEE">
                  <wp:extent cx="720000" cy="720000"/>
                  <wp:effectExtent l="0" t="0" r="4445" b="0"/>
                  <wp:docPr id="56" name="Graphic 11" descr="Money icon.">
                    <a:extLst xmlns:a="http://schemas.openxmlformats.org/drawingml/2006/main">
                      <a:ext uri="{FF2B5EF4-FFF2-40B4-BE49-F238E27FC236}">
                        <a16:creationId xmlns:a16="http://schemas.microsoft.com/office/drawing/2014/main" id="{535BA370-9F3F-49EA-8DCC-C9F95780B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11" descr="Money icon.">
                            <a:extLst>
                              <a:ext uri="{FF2B5EF4-FFF2-40B4-BE49-F238E27FC236}">
                                <a16:creationId xmlns:a16="http://schemas.microsoft.com/office/drawing/2014/main" id="{535BA370-9F3F-49EA-8DCC-C9F95780B36C}"/>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20000" cy="720000"/>
                          </a:xfrm>
                          <a:prstGeom prst="rect">
                            <a:avLst/>
                          </a:prstGeom>
                        </pic:spPr>
                      </pic:pic>
                    </a:graphicData>
                  </a:graphic>
                </wp:inline>
              </w:drawing>
            </w:r>
          </w:p>
          <w:p w14:paraId="68CCF31A"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2409D8">
              <w:rPr>
                <w:b/>
                <w:sz w:val="32"/>
                <w:szCs w:val="32"/>
              </w:rPr>
              <w:t>$14.5M+</w:t>
            </w:r>
            <w:r w:rsidRPr="00F424A1">
              <w:br/>
              <w:t>on APCs</w:t>
            </w:r>
          </w:p>
        </w:tc>
        <w:tc>
          <w:tcPr>
            <w:tcW w:w="2826" w:type="dxa"/>
            <w:shd w:val="clear" w:color="auto" w:fill="FFFFFF" w:themeFill="background1"/>
          </w:tcPr>
          <w:p w14:paraId="19972994"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04A2D2F6" wp14:editId="670EB24D">
                  <wp:extent cx="720000" cy="720000"/>
                  <wp:effectExtent l="0" t="0" r="0" b="0"/>
                  <wp:docPr id="57" name="Graphic 13" descr="Contract icon.">
                    <a:extLst xmlns:a="http://schemas.openxmlformats.org/drawingml/2006/main">
                      <a:ext uri="{FF2B5EF4-FFF2-40B4-BE49-F238E27FC236}">
                        <a16:creationId xmlns:a16="http://schemas.microsoft.com/office/drawing/2014/main" id="{33EEEFD3-59E9-44B1-9431-6B81C64B0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13" descr="Contract icon.">
                            <a:extLst>
                              <a:ext uri="{FF2B5EF4-FFF2-40B4-BE49-F238E27FC236}">
                                <a16:creationId xmlns:a16="http://schemas.microsoft.com/office/drawing/2014/main" id="{33EEEFD3-59E9-44B1-9431-6B81C64B0943}"/>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20000" cy="720000"/>
                          </a:xfrm>
                          <a:prstGeom prst="rect">
                            <a:avLst/>
                          </a:prstGeom>
                        </pic:spPr>
                      </pic:pic>
                    </a:graphicData>
                  </a:graphic>
                </wp:inline>
              </w:drawing>
            </w:r>
          </w:p>
          <w:p w14:paraId="5722D347" w14:textId="61E0826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b/>
                <w:sz w:val="32"/>
              </w:rPr>
            </w:pPr>
            <w:r w:rsidRPr="00F424A1">
              <w:rPr>
                <w:b/>
                <w:sz w:val="32"/>
              </w:rPr>
              <w:t>$4M+</w:t>
            </w:r>
            <w:r w:rsidRPr="00F424A1">
              <w:rPr>
                <w:sz w:val="40"/>
              </w:rPr>
              <w:br/>
            </w:r>
            <w:r w:rsidRPr="00F424A1">
              <w:t>on transformative agreements</w:t>
            </w:r>
          </w:p>
        </w:tc>
      </w:tr>
      <w:tr w:rsidR="00524730" w:rsidRPr="00F424A1" w14:paraId="0A764EE2" w14:textId="77777777" w:rsidTr="00BC4B25">
        <w:tc>
          <w:tcPr>
            <w:cnfStyle w:val="001000000000" w:firstRow="0" w:lastRow="0" w:firstColumn="1" w:lastColumn="0" w:oddVBand="0" w:evenVBand="0" w:oddHBand="0" w:evenHBand="0" w:firstRowFirstColumn="0" w:firstRowLastColumn="0" w:lastRowFirstColumn="0" w:lastRowLastColumn="0"/>
            <w:tcW w:w="0" w:type="auto"/>
            <w:vAlign w:val="center"/>
          </w:tcPr>
          <w:p w14:paraId="7E9BF287" w14:textId="0A9C6D05" w:rsidR="005E6933" w:rsidRPr="00BC4B25" w:rsidRDefault="00A521D9" w:rsidP="00054830">
            <w:pPr>
              <w:pStyle w:val="RowHeading"/>
              <w:rPr>
                <w:b/>
              </w:rPr>
            </w:pPr>
            <w:r>
              <w:rPr>
                <w:b/>
              </w:rPr>
              <w:t xml:space="preserve">Australia’s </w:t>
            </w:r>
            <w:r w:rsidR="00387651">
              <w:rPr>
                <w:b/>
              </w:rPr>
              <w:t xml:space="preserve">in-kind contributions to the </w:t>
            </w:r>
            <w:r>
              <w:rPr>
                <w:b/>
              </w:rPr>
              <w:t>p</w:t>
            </w:r>
            <w:r w:rsidR="005E6933" w:rsidRPr="00BC4B25">
              <w:rPr>
                <w:b/>
              </w:rPr>
              <w:t xml:space="preserve">eer review </w:t>
            </w:r>
            <w:r w:rsidR="00387651">
              <w:rPr>
                <w:b/>
              </w:rPr>
              <w:t>system</w:t>
            </w:r>
          </w:p>
        </w:tc>
        <w:tc>
          <w:tcPr>
            <w:tcW w:w="0" w:type="auto"/>
            <w:shd w:val="clear" w:color="auto" w:fill="FFFFFF" w:themeFill="background1"/>
          </w:tcPr>
          <w:p w14:paraId="3FB40E2B" w14:textId="77777777"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6121431A" wp14:editId="22D992A6">
                  <wp:extent cx="720000" cy="720000"/>
                  <wp:effectExtent l="0" t="0" r="0" b="0"/>
                  <wp:docPr id="59" name="Graphic 13" descr="people speaking icon.">
                    <a:extLst xmlns:a="http://schemas.openxmlformats.org/drawingml/2006/main">
                      <a:ext uri="{FF2B5EF4-FFF2-40B4-BE49-F238E27FC236}">
                        <a16:creationId xmlns:a16="http://schemas.microsoft.com/office/drawing/2014/main" id="{2A569B94-E13F-48C2-9775-62ADFC3D1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13" descr="people speaking icon.">
                            <a:extLst>
                              <a:ext uri="{FF2B5EF4-FFF2-40B4-BE49-F238E27FC236}">
                                <a16:creationId xmlns:a16="http://schemas.microsoft.com/office/drawing/2014/main" id="{2A569B94-E13F-48C2-9775-62ADFC3D10FB}"/>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20000" cy="720000"/>
                          </a:xfrm>
                          <a:prstGeom prst="rect">
                            <a:avLst/>
                          </a:prstGeom>
                        </pic:spPr>
                      </pic:pic>
                    </a:graphicData>
                  </a:graphic>
                </wp:inline>
              </w:drawing>
            </w:r>
          </w:p>
          <w:p w14:paraId="79905B76" w14:textId="679CF190"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b/>
                <w:sz w:val="32"/>
              </w:rPr>
              <w:t>76,328</w:t>
            </w:r>
            <w:r w:rsidRPr="00F424A1">
              <w:rPr>
                <w:b/>
                <w:sz w:val="32"/>
              </w:rPr>
              <w:br/>
            </w:r>
            <w:r w:rsidRPr="00F424A1">
              <w:t>verified peer reviews provided in the last 12 months.</w:t>
            </w:r>
            <w:r w:rsidRPr="00F424A1">
              <w:rPr>
                <w:rStyle w:val="FootnoteReference"/>
                <w:rFonts w:cstheme="minorHAnsi"/>
              </w:rPr>
              <w:footnoteReference w:id="47"/>
            </w:r>
          </w:p>
        </w:tc>
        <w:tc>
          <w:tcPr>
            <w:tcW w:w="2631" w:type="dxa"/>
            <w:shd w:val="clear" w:color="auto" w:fill="FFFFFF" w:themeFill="background1"/>
          </w:tcPr>
          <w:p w14:paraId="3211C7E3" w14:textId="67AF4F29"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pPr>
            <w:r w:rsidRPr="00F424A1">
              <w:rPr>
                <w:noProof/>
              </w:rPr>
              <w:drawing>
                <wp:inline distT="0" distB="0" distL="0" distR="0" wp14:anchorId="3C52323A" wp14:editId="57B0C062">
                  <wp:extent cx="720000" cy="720000"/>
                  <wp:effectExtent l="0" t="0" r="4445" b="4445"/>
                  <wp:docPr id="60" name="Graphic 8" descr="hands in icon.">
                    <a:extLst xmlns:a="http://schemas.openxmlformats.org/drawingml/2006/main">
                      <a:ext uri="{FF2B5EF4-FFF2-40B4-BE49-F238E27FC236}">
                        <a16:creationId xmlns:a16="http://schemas.microsoft.com/office/drawing/2014/main" id="{EE39B903-6753-42EC-83EF-D532B3CA7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8" descr="hands in icon.">
                            <a:extLst>
                              <a:ext uri="{FF2B5EF4-FFF2-40B4-BE49-F238E27FC236}">
                                <a16:creationId xmlns:a16="http://schemas.microsoft.com/office/drawing/2014/main" id="{EE39B903-6753-42EC-83EF-D532B3CA75BE}"/>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20000" cy="720000"/>
                          </a:xfrm>
                          <a:prstGeom prst="rect">
                            <a:avLst/>
                          </a:prstGeom>
                        </pic:spPr>
                      </pic:pic>
                    </a:graphicData>
                  </a:graphic>
                </wp:inline>
              </w:drawing>
            </w:r>
          </w:p>
          <w:p w14:paraId="6F2E196B" w14:textId="4E9DE1CC" w:rsidR="005E6933" w:rsidRPr="00F424A1" w:rsidRDefault="005E6933" w:rsidP="002409D8">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rsidRPr="00F424A1">
              <w:rPr>
                <w:b/>
                <w:sz w:val="32"/>
              </w:rPr>
              <w:t>$18.3M-$36.6M</w:t>
            </w:r>
            <w:r w:rsidRPr="00F424A1">
              <w:rPr>
                <w:b/>
                <w:sz w:val="32"/>
              </w:rPr>
              <w:br/>
            </w:r>
            <w:r w:rsidRPr="00F424A1">
              <w:t xml:space="preserve">Estimated </w:t>
            </w:r>
            <w:r w:rsidR="00A521D9">
              <w:t xml:space="preserve">in-kind </w:t>
            </w:r>
            <w:r w:rsidRPr="00F424A1">
              <w:t>value of peer reviews provided by in the last 12 months.</w:t>
            </w:r>
            <w:r w:rsidRPr="00F424A1">
              <w:rPr>
                <w:rStyle w:val="FootnoteReference"/>
                <w:rFonts w:cstheme="minorHAnsi"/>
              </w:rPr>
              <w:footnoteReference w:id="48"/>
            </w:r>
          </w:p>
        </w:tc>
        <w:tc>
          <w:tcPr>
            <w:tcW w:w="2826" w:type="dxa"/>
            <w:shd w:val="clear" w:color="auto" w:fill="FFFFFF" w:themeFill="background1"/>
          </w:tcPr>
          <w:p w14:paraId="3A73E072" w14:textId="53A1B1FC" w:rsidR="005E6933" w:rsidRPr="00F424A1" w:rsidRDefault="005E6933" w:rsidP="006234B7">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245AB275" w14:textId="3583445C" w:rsidR="005E6933" w:rsidRDefault="005E6933" w:rsidP="005E6933">
      <w:pPr>
        <w:rPr>
          <w:rFonts w:eastAsiaTheme="majorEastAsia"/>
          <w:color w:val="001D34" w:themeColor="accent2"/>
          <w:sz w:val="32"/>
          <w:szCs w:val="26"/>
        </w:rPr>
      </w:pPr>
    </w:p>
    <w:p w14:paraId="467CFEDB" w14:textId="77777777" w:rsidR="005E6933" w:rsidRPr="00563DEE" w:rsidRDefault="005E6933" w:rsidP="005E6933">
      <w:pPr>
        <w:pStyle w:val="Heading2"/>
        <w:rPr>
          <w:rFonts w:asciiTheme="minorHAnsi" w:hAnsiTheme="minorHAnsi" w:cstheme="minorHAnsi"/>
        </w:rPr>
      </w:pPr>
      <w:bookmarkStart w:id="12" w:name="_Toc87629930"/>
      <w:r w:rsidRPr="00563DEE">
        <w:rPr>
          <w:rFonts w:asciiTheme="minorHAnsi" w:hAnsiTheme="minorHAnsi" w:cstheme="minorHAnsi"/>
        </w:rPr>
        <w:t>Publishing Australia’s research</w:t>
      </w:r>
      <w:bookmarkEnd w:id="12"/>
      <w:r w:rsidRPr="00563DEE">
        <w:rPr>
          <w:rFonts w:asciiTheme="minorHAnsi" w:hAnsiTheme="minorHAnsi" w:cstheme="minorHAnsi"/>
        </w:rPr>
        <w:t xml:space="preserve"> </w:t>
      </w:r>
    </w:p>
    <w:p w14:paraId="4449F4EB" w14:textId="36F922CB" w:rsidR="005E6933" w:rsidRPr="00563DEE" w:rsidRDefault="005E6933" w:rsidP="00A47B69">
      <w:pPr>
        <w:pStyle w:val="BodyText"/>
      </w:pPr>
      <w:r w:rsidRPr="00563DEE">
        <w:rPr>
          <w:b/>
          <w:bCs/>
        </w:rPr>
        <w:t xml:space="preserve">Australia’s research output has grown substantially and is considered </w:t>
      </w:r>
      <w:r>
        <w:rPr>
          <w:b/>
          <w:bCs/>
        </w:rPr>
        <w:t>to have a high academic impact</w:t>
      </w:r>
      <w:r w:rsidRPr="00563DEE">
        <w:rPr>
          <w:b/>
          <w:bCs/>
        </w:rPr>
        <w:t xml:space="preserve">. </w:t>
      </w:r>
      <w:r w:rsidRPr="00563DEE">
        <w:t>Australian authors contributed to over 134,000 research publications in 2020, a number which has grown at approximately 7.5% per annum since 2012.</w:t>
      </w:r>
      <w:r w:rsidRPr="00563DEE">
        <w:rPr>
          <w:rStyle w:val="FootnoteReference"/>
          <w:rFonts w:cstheme="minorHAnsi"/>
          <w:sz w:val="22"/>
        </w:rPr>
        <w:footnoteReference w:id="49"/>
      </w:r>
      <w:r w:rsidRPr="00563DEE">
        <w:t xml:space="preserve"> Australia is ranked 10</w:t>
      </w:r>
      <w:r w:rsidRPr="00563DEE">
        <w:rPr>
          <w:vertAlign w:val="superscript"/>
        </w:rPr>
        <w:t>th</w:t>
      </w:r>
      <w:r w:rsidRPr="00563DEE">
        <w:t xml:space="preserve"> globally by publication volume</w:t>
      </w:r>
      <w:r w:rsidR="00A521D9">
        <w:t xml:space="preserve">, accounting for 4.2% of the world’s </w:t>
      </w:r>
      <w:r w:rsidRPr="00563DEE">
        <w:t xml:space="preserve">scientific publications in 2019. Australian </w:t>
      </w:r>
      <w:r w:rsidRPr="00563DEE">
        <w:lastRenderedPageBreak/>
        <w:t xml:space="preserve">authors are publishing highly impactful research, </w:t>
      </w:r>
      <w:r w:rsidR="00A521D9">
        <w:t>authoring</w:t>
      </w:r>
      <w:r w:rsidRPr="00563DEE">
        <w:t xml:space="preserve"> 8.6% of the world's top 1% most cited publications, substantially above the OECD average of 3.9%.</w:t>
      </w:r>
      <w:r w:rsidRPr="00563DEE">
        <w:rPr>
          <w:rStyle w:val="FootnoteReference"/>
          <w:rFonts w:cstheme="minorHAnsi"/>
          <w:sz w:val="22"/>
        </w:rPr>
        <w:footnoteReference w:id="50"/>
      </w:r>
    </w:p>
    <w:p w14:paraId="6445C1A5" w14:textId="3574581A" w:rsidR="005E6933" w:rsidRDefault="005E6933" w:rsidP="00A47B69">
      <w:pPr>
        <w:pStyle w:val="BodyText"/>
      </w:pPr>
      <w:r w:rsidRPr="00563DEE">
        <w:t xml:space="preserve">There are more than 25,000 </w:t>
      </w:r>
      <w:r w:rsidR="009C5586">
        <w:t>academic</w:t>
      </w:r>
      <w:r w:rsidRPr="00563DEE">
        <w:t>, peer reviewed journals operating globally,</w:t>
      </w:r>
      <w:r w:rsidRPr="00563DEE">
        <w:rPr>
          <w:rStyle w:val="FootnoteReference"/>
          <w:rFonts w:cstheme="minorHAnsi"/>
        </w:rPr>
        <w:footnoteReference w:id="51"/>
      </w:r>
      <w:r w:rsidRPr="00563DEE">
        <w:t xml:space="preserve"> approximately 770 of which are based in Australia.</w:t>
      </w:r>
      <w:r w:rsidRPr="00563DEE">
        <w:rPr>
          <w:rStyle w:val="FootnoteReference"/>
          <w:rFonts w:cstheme="minorHAnsi"/>
        </w:rPr>
        <w:footnoteReference w:id="52"/>
      </w:r>
      <w:r w:rsidRPr="00563DEE">
        <w:t xml:space="preserve"> </w:t>
      </w:r>
      <w:r>
        <w:t>However, t</w:t>
      </w:r>
      <w:r w:rsidRPr="00563DEE">
        <w:t xml:space="preserve">he global academic publishing sector is dominated by a small number of publishers. The four largest publishers of Australian research (Elsevier, Wiley, Springer Nature, and Taylor &amp; Francis) </w:t>
      </w:r>
      <w:r w:rsidR="009C5586">
        <w:t>published</w:t>
      </w:r>
      <w:r w:rsidRPr="00563DEE">
        <w:t xml:space="preserve"> more than 50% of Australia’s </w:t>
      </w:r>
      <w:r>
        <w:t>journal articles published between 2011 and 2020.</w:t>
      </w:r>
      <w:r w:rsidRPr="00563DEE">
        <w:t xml:space="preserve"> </w:t>
      </w:r>
      <w:r>
        <w:t xml:space="preserve">Web of Science data indicates a long-tailed distribution curve of publishers </w:t>
      </w:r>
      <w:r w:rsidR="009C5586">
        <w:t>of Australian journal articles</w:t>
      </w:r>
      <w:r>
        <w:t xml:space="preserve"> (see </w:t>
      </w:r>
      <w:r>
        <w:fldChar w:fldCharType="begin"/>
      </w:r>
      <w:r>
        <w:instrText xml:space="preserve"> REF _Ref83829564 \h </w:instrText>
      </w:r>
      <w:r>
        <w:fldChar w:fldCharType="separate"/>
      </w:r>
      <w:r w:rsidR="007E283B" w:rsidRPr="00563DEE">
        <w:t xml:space="preserve">Figure </w:t>
      </w:r>
      <w:r w:rsidR="007E283B">
        <w:rPr>
          <w:noProof/>
        </w:rPr>
        <w:t>4</w:t>
      </w:r>
      <w:r>
        <w:fldChar w:fldCharType="end"/>
      </w:r>
      <w:r>
        <w:t>)</w:t>
      </w:r>
      <w:r w:rsidRPr="00563DEE">
        <w:t xml:space="preserve">. </w:t>
      </w:r>
    </w:p>
    <w:p w14:paraId="6322D4D2" w14:textId="436AFD76" w:rsidR="005E6933" w:rsidRDefault="005E6933" w:rsidP="00A47B69">
      <w:pPr>
        <w:pStyle w:val="Caption"/>
        <w:rPr>
          <w:lang w:val="en-US"/>
        </w:rPr>
      </w:pPr>
      <w:bookmarkStart w:id="13" w:name="_Ref83829564"/>
      <w:r w:rsidRPr="00563DEE">
        <w:t xml:space="preserve">Figure </w:t>
      </w:r>
      <w:r w:rsidR="003B28D9">
        <w:fldChar w:fldCharType="begin"/>
      </w:r>
      <w:r w:rsidR="003B28D9">
        <w:instrText xml:space="preserve"> SEQ Figure \* ARABIC </w:instrText>
      </w:r>
      <w:r w:rsidR="003B28D9">
        <w:fldChar w:fldCharType="separate"/>
      </w:r>
      <w:r w:rsidR="007E283B">
        <w:rPr>
          <w:noProof/>
        </w:rPr>
        <w:t>4</w:t>
      </w:r>
      <w:r w:rsidR="003B28D9">
        <w:rPr>
          <w:noProof/>
        </w:rPr>
        <w:fldChar w:fldCharType="end"/>
      </w:r>
      <w:bookmarkEnd w:id="13"/>
      <w:r w:rsidRPr="00563DEE">
        <w:t xml:space="preserve">: </w:t>
      </w:r>
      <w:r w:rsidRPr="00563DEE">
        <w:rPr>
          <w:lang w:val="en-US"/>
        </w:rPr>
        <w:t xml:space="preserve">Distribution of </w:t>
      </w:r>
      <w:r>
        <w:rPr>
          <w:lang w:val="en-US"/>
        </w:rPr>
        <w:t xml:space="preserve">journal articles </w:t>
      </w:r>
      <w:r w:rsidRPr="00563DEE">
        <w:rPr>
          <w:lang w:val="en-US"/>
        </w:rPr>
        <w:t>amongst publishers of research</w:t>
      </w:r>
      <w:r w:rsidR="00CF1653">
        <w:rPr>
          <w:lang w:val="en-US"/>
        </w:rPr>
        <w:t xml:space="preserve"> with </w:t>
      </w:r>
      <w:r w:rsidRPr="00563DEE">
        <w:rPr>
          <w:lang w:val="en-US"/>
        </w:rPr>
        <w:t>Australian</w:t>
      </w:r>
      <w:r w:rsidR="00CF1653">
        <w:rPr>
          <w:lang w:val="en-US"/>
        </w:rPr>
        <w:t xml:space="preserve"> authors</w:t>
      </w:r>
      <w:r w:rsidRPr="00563DEE">
        <w:rPr>
          <w:lang w:val="en-US"/>
        </w:rPr>
        <w:t xml:space="preserve"> (2011-2020)</w:t>
      </w:r>
      <w:r w:rsidRPr="00563DEE">
        <w:rPr>
          <w:rStyle w:val="FootnoteReference"/>
          <w:rFonts w:cstheme="minorHAnsi"/>
          <w:lang w:val="en-US"/>
        </w:rPr>
        <w:footnoteReference w:id="53"/>
      </w:r>
    </w:p>
    <w:p w14:paraId="3857BD44" w14:textId="4E3BE6BF" w:rsidR="003E2975" w:rsidRPr="003E2975" w:rsidRDefault="003E2975" w:rsidP="003E2975">
      <w:pPr>
        <w:pStyle w:val="BodyText"/>
        <w:rPr>
          <w:lang w:val="en-US"/>
        </w:rPr>
      </w:pPr>
      <w:r>
        <w:rPr>
          <w:noProof/>
        </w:rPr>
        <w:drawing>
          <wp:inline distT="0" distB="0" distL="0" distR="0" wp14:anchorId="6B1005CD" wp14:editId="35FF1E28">
            <wp:extent cx="6120130" cy="2371479"/>
            <wp:effectExtent l="0" t="0" r="0" b="0"/>
            <wp:docPr id="2126055513" name="Picture 7" descr="Combination histogram and line chart. Histogram chart shows the number of Australian journal articles that each of 1137 publishers publish annually. This is on a logarithmic scale and includes  only publishers that published 10 or more articles by Australian authors between 2011 and 2020.&#10;The line chart shows the cumulative percentage of the records. The chart shows that the market is highly concentrated, but with a long tail of publi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55513" name="Picture 7" descr="Combination histogram and line chart. Histogram chart shows the number of Australian journal articles that each of 1137 publishers publish annually. This is on a logarithmic scale and includes  only publishers that published 10 or more articles by Australian authors between 2011 and 2020.&#10;The line chart shows the cumulative percentage of the records. The chart shows that the market is highly concentrated, but with a long tail of publisher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371479"/>
                    </a:xfrm>
                    <a:prstGeom prst="rect">
                      <a:avLst/>
                    </a:prstGeom>
                    <a:noFill/>
                  </pic:spPr>
                </pic:pic>
              </a:graphicData>
            </a:graphic>
          </wp:inline>
        </w:drawing>
      </w:r>
    </w:p>
    <w:p w14:paraId="4819F750" w14:textId="14444862" w:rsidR="005E6933" w:rsidRPr="00563DEE" w:rsidRDefault="005E6933" w:rsidP="00A47B69">
      <w:pPr>
        <w:pStyle w:val="BodyText"/>
      </w:pPr>
      <w:r>
        <w:t>M</w:t>
      </w:r>
      <w:r w:rsidRPr="00563DEE">
        <w:t xml:space="preserve">any publishers and journals have started to transition to business models that charge </w:t>
      </w:r>
      <w:r>
        <w:t>authors APCs</w:t>
      </w:r>
      <w:r w:rsidRPr="00563DEE">
        <w:t xml:space="preserve"> instead of</w:t>
      </w:r>
      <w:r>
        <w:t xml:space="preserve"> (or </w:t>
      </w:r>
      <w:r w:rsidRPr="00563DEE">
        <w:t>in addition to</w:t>
      </w:r>
      <w:r>
        <w:t xml:space="preserve">) </w:t>
      </w:r>
      <w:r w:rsidRPr="00563DEE">
        <w:t xml:space="preserve">relying on subscription-based revenue. Funders and authors are also commonly insisting on the right to make pre-print versions of </w:t>
      </w:r>
      <w:r w:rsidR="009C5586">
        <w:t>journal</w:t>
      </w:r>
      <w:r w:rsidRPr="00563DEE">
        <w:t xml:space="preserve"> articles openly accessible</w:t>
      </w:r>
      <w:r>
        <w:t>,</w:t>
      </w:r>
      <w:r w:rsidRPr="00563DEE">
        <w:t xml:space="preserve"> even if they are published in traditional journals. The most common approaches are described in </w:t>
      </w:r>
      <w:r w:rsidRPr="007D35E9">
        <w:fldChar w:fldCharType="begin"/>
      </w:r>
      <w:r w:rsidRPr="007D35E9">
        <w:instrText xml:space="preserve"> REF _Ref83832598 \h  \* MERGEFORMAT </w:instrText>
      </w:r>
      <w:r w:rsidRPr="007D35E9">
        <w:fldChar w:fldCharType="separate"/>
      </w:r>
      <w:r w:rsidR="007E283B" w:rsidRPr="00563DEE">
        <w:t xml:space="preserve">Table </w:t>
      </w:r>
      <w:r w:rsidR="007E283B">
        <w:rPr>
          <w:noProof/>
        </w:rPr>
        <w:t>1</w:t>
      </w:r>
      <w:r w:rsidRPr="007D35E9">
        <w:fldChar w:fldCharType="end"/>
      </w:r>
      <w:r w:rsidRPr="007D35E9">
        <w:t xml:space="preserve">. </w:t>
      </w:r>
    </w:p>
    <w:p w14:paraId="58999726" w14:textId="77777777" w:rsidR="008553CC" w:rsidRDefault="008553CC">
      <w:pPr>
        <w:spacing w:before="0" w:after="0" w:line="240" w:lineRule="auto"/>
        <w:rPr>
          <w:b/>
          <w:bCs/>
          <w:color w:val="757579" w:themeColor="accent3"/>
          <w:sz w:val="20"/>
          <w:szCs w:val="18"/>
        </w:rPr>
      </w:pPr>
      <w:bookmarkStart w:id="14" w:name="_Ref83832598"/>
      <w:r>
        <w:br w:type="page"/>
      </w:r>
    </w:p>
    <w:p w14:paraId="2731A10A" w14:textId="56D23073" w:rsidR="005E6933" w:rsidRPr="00563DEE" w:rsidRDefault="005E6933" w:rsidP="00A47B69">
      <w:pPr>
        <w:pStyle w:val="Caption"/>
      </w:pPr>
      <w:r w:rsidRPr="00563DEE">
        <w:lastRenderedPageBreak/>
        <w:t xml:space="preserve">Table </w:t>
      </w:r>
      <w:r w:rsidR="003B28D9">
        <w:fldChar w:fldCharType="begin"/>
      </w:r>
      <w:r w:rsidR="003B28D9">
        <w:instrText xml:space="preserve"> SEQ Table \* ARABIC </w:instrText>
      </w:r>
      <w:r w:rsidR="003B28D9">
        <w:fldChar w:fldCharType="separate"/>
      </w:r>
      <w:r w:rsidR="007E283B">
        <w:rPr>
          <w:noProof/>
        </w:rPr>
        <w:t>1</w:t>
      </w:r>
      <w:r w:rsidR="003B28D9">
        <w:rPr>
          <w:noProof/>
        </w:rPr>
        <w:fldChar w:fldCharType="end"/>
      </w:r>
      <w:bookmarkEnd w:id="14"/>
      <w:r w:rsidRPr="00563DEE">
        <w:t xml:space="preserve">: Common models for open access </w:t>
      </w:r>
    </w:p>
    <w:tbl>
      <w:tblPr>
        <w:tblStyle w:val="ListTable3-Accent1"/>
        <w:tblW w:w="0" w:type="auto"/>
        <w:tblLook w:val="04A0" w:firstRow="1" w:lastRow="0" w:firstColumn="1" w:lastColumn="0" w:noHBand="0" w:noVBand="1"/>
      </w:tblPr>
      <w:tblGrid>
        <w:gridCol w:w="890"/>
        <w:gridCol w:w="3838"/>
        <w:gridCol w:w="2906"/>
        <w:gridCol w:w="1994"/>
      </w:tblGrid>
      <w:tr w:rsidR="005E6933" w:rsidRPr="007D35E9" w14:paraId="001876F7" w14:textId="77777777" w:rsidTr="00924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5FBC278" w14:textId="713C8A5A" w:rsidR="005E6933" w:rsidRPr="009363FB" w:rsidRDefault="007F677D" w:rsidP="00C7094B">
            <w:pPr>
              <w:pStyle w:val="ColumnHeading"/>
              <w:rPr>
                <w:b/>
                <w:color w:val="auto"/>
              </w:rPr>
            </w:pPr>
            <w:r w:rsidRPr="009363FB">
              <w:rPr>
                <w:b/>
                <w:color w:val="auto"/>
              </w:rPr>
              <w:t xml:space="preserve">open access </w:t>
            </w:r>
            <w:r w:rsidR="005E6933" w:rsidRPr="009363FB">
              <w:rPr>
                <w:b/>
                <w:color w:val="auto"/>
              </w:rPr>
              <w:t>model</w:t>
            </w:r>
          </w:p>
        </w:tc>
        <w:tc>
          <w:tcPr>
            <w:tcW w:w="3838" w:type="dxa"/>
          </w:tcPr>
          <w:p w14:paraId="16603429" w14:textId="433615D0" w:rsidR="005E6933" w:rsidRPr="009363FB"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9363FB">
              <w:rPr>
                <w:b/>
                <w:color w:val="auto"/>
              </w:rPr>
              <w:t>Description</w:t>
            </w:r>
          </w:p>
        </w:tc>
        <w:tc>
          <w:tcPr>
            <w:tcW w:w="2906" w:type="dxa"/>
          </w:tcPr>
          <w:p w14:paraId="03BDD613" w14:textId="77777777" w:rsidR="005E6933" w:rsidRPr="009363FB"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9363FB">
              <w:rPr>
                <w:b/>
                <w:color w:val="auto"/>
              </w:rPr>
              <w:t>Cost structure</w:t>
            </w:r>
          </w:p>
        </w:tc>
        <w:tc>
          <w:tcPr>
            <w:tcW w:w="0" w:type="auto"/>
          </w:tcPr>
          <w:p w14:paraId="24CA4DD4" w14:textId="77777777" w:rsidR="005E6933" w:rsidRPr="009363FB"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9363FB">
              <w:rPr>
                <w:b/>
                <w:color w:val="auto"/>
              </w:rPr>
              <w:t>Responsibility for infrastructure</w:t>
            </w:r>
          </w:p>
        </w:tc>
      </w:tr>
      <w:tr w:rsidR="005E6933" w:rsidRPr="007D35E9" w14:paraId="5A0E4DBA" w14:textId="77777777" w:rsidTr="00924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89701" w14:textId="6F1607BF" w:rsidR="005E6933" w:rsidRPr="007D35E9" w:rsidRDefault="005E6933" w:rsidP="00054830">
            <w:pPr>
              <w:pStyle w:val="RowHeading"/>
              <w:rPr>
                <w:b/>
              </w:rPr>
            </w:pPr>
            <w:r w:rsidRPr="0064277C">
              <w:rPr>
                <w:b/>
              </w:rPr>
              <w:t>Hybrid</w:t>
            </w:r>
            <w:r w:rsidR="007F677D">
              <w:rPr>
                <w:b/>
              </w:rPr>
              <w:t xml:space="preserve"> </w:t>
            </w:r>
          </w:p>
        </w:tc>
        <w:tc>
          <w:tcPr>
            <w:tcW w:w="3838" w:type="dxa"/>
          </w:tcPr>
          <w:p w14:paraId="09E5E0D4" w14:textId="596B1801" w:rsidR="005E6933" w:rsidRPr="007D35E9" w:rsidRDefault="005E6933" w:rsidP="00EF0003">
            <w:pPr>
              <w:pStyle w:val="TableText"/>
              <w:cnfStyle w:val="000000100000" w:firstRow="0" w:lastRow="0" w:firstColumn="0" w:lastColumn="0" w:oddVBand="0" w:evenVBand="0" w:oddHBand="1" w:evenHBand="0" w:firstRowFirstColumn="0" w:firstRowLastColumn="0" w:lastRowFirstColumn="0" w:lastRowLastColumn="0"/>
            </w:pPr>
            <w:r w:rsidRPr="007D35E9">
              <w:t xml:space="preserve">In a hybrid journal model, </w:t>
            </w:r>
            <w:r w:rsidR="009C0054">
              <w:t>the author</w:t>
            </w:r>
            <w:r w:rsidR="00FB4257">
              <w:t>(s)</w:t>
            </w:r>
            <w:r w:rsidR="009C0054">
              <w:t xml:space="preserve"> of a journal article may pay </w:t>
            </w:r>
            <w:r w:rsidRPr="007D35E9">
              <w:t xml:space="preserve">an optional APC to the publisher </w:t>
            </w:r>
            <w:r w:rsidR="009C0054">
              <w:t>for the author</w:t>
            </w:r>
            <w:r w:rsidRPr="007D35E9">
              <w:t xml:space="preserve"> to retain copyright and </w:t>
            </w:r>
            <w:r w:rsidR="009C0054">
              <w:t>their journal article to be</w:t>
            </w:r>
            <w:r w:rsidRPr="007D35E9">
              <w:t xml:space="preserve"> publish</w:t>
            </w:r>
            <w:r w:rsidR="009C0054">
              <w:t>ed</w:t>
            </w:r>
            <w:r w:rsidRPr="007D35E9">
              <w:t xml:space="preserve"> as open access in a </w:t>
            </w:r>
            <w:r w:rsidR="009C0054">
              <w:t>journal that is generally</w:t>
            </w:r>
            <w:r w:rsidRPr="007D35E9">
              <w:t xml:space="preserve"> paywalled.</w:t>
            </w:r>
            <w:r w:rsidRPr="007D35E9">
              <w:rPr>
                <w:rStyle w:val="FootnoteReference"/>
                <w:rFonts w:cstheme="minorHAnsi"/>
              </w:rPr>
              <w:footnoteReference w:id="54"/>
            </w:r>
            <w:r w:rsidR="00EF0003">
              <w:t xml:space="preserve"> </w:t>
            </w:r>
            <w:r>
              <w:t xml:space="preserve">Australian hybrid journal examples include the </w:t>
            </w:r>
            <w:r w:rsidRPr="00347229">
              <w:rPr>
                <w:i/>
              </w:rPr>
              <w:t>Australian Journal of Chemistry, Crop and Pasture Science</w:t>
            </w:r>
            <w:r>
              <w:t xml:space="preserve">, and </w:t>
            </w:r>
            <w:r w:rsidRPr="00347229">
              <w:rPr>
                <w:i/>
              </w:rPr>
              <w:t>Pacific Conservation Biology</w:t>
            </w:r>
            <w:r>
              <w:t>.</w:t>
            </w:r>
          </w:p>
        </w:tc>
        <w:tc>
          <w:tcPr>
            <w:tcW w:w="2906" w:type="dxa"/>
          </w:tcPr>
          <w:p w14:paraId="52EECF80"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Authors pay optional APCs to publishers to publish </w:t>
            </w:r>
            <w:r w:rsidR="009C0054">
              <w:t xml:space="preserve">their paper as </w:t>
            </w:r>
            <w:r w:rsidRPr="007D35E9">
              <w:t>open access.</w:t>
            </w:r>
          </w:p>
          <w:p w14:paraId="2E9B3AF7" w14:textId="5F4D3F24"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64277C">
              <w:t xml:space="preserve">Readers pay subscriptions or pay-to-view fees to access the paywalled articles </w:t>
            </w:r>
            <w:r w:rsidR="009C0054">
              <w:t>(i.e</w:t>
            </w:r>
            <w:r w:rsidR="0036106E">
              <w:t>.,</w:t>
            </w:r>
            <w:r w:rsidR="009C0054">
              <w:t xml:space="preserve"> articles for </w:t>
            </w:r>
            <w:r w:rsidR="0036106E">
              <w:t>which</w:t>
            </w:r>
            <w:r w:rsidR="009C0054">
              <w:t xml:space="preserve"> an APC has not been paid) </w:t>
            </w:r>
            <w:r w:rsidRPr="0064277C">
              <w:t>in the same journal.</w:t>
            </w:r>
          </w:p>
        </w:tc>
        <w:tc>
          <w:tcPr>
            <w:tcW w:w="0" w:type="auto"/>
          </w:tcPr>
          <w:p w14:paraId="1431EAED"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64277C">
              <w:t>Publishers maintain journal infrastructure and metadata.</w:t>
            </w:r>
          </w:p>
        </w:tc>
      </w:tr>
      <w:tr w:rsidR="005E6933" w:rsidRPr="007D35E9" w14:paraId="6219A684" w14:textId="77777777" w:rsidTr="009249C8">
        <w:trPr>
          <w:trHeight w:val="64"/>
        </w:trPr>
        <w:tc>
          <w:tcPr>
            <w:cnfStyle w:val="001000000000" w:firstRow="0" w:lastRow="0" w:firstColumn="1" w:lastColumn="0" w:oddVBand="0" w:evenVBand="0" w:oddHBand="0" w:evenHBand="0" w:firstRowFirstColumn="0" w:firstRowLastColumn="0" w:lastRowFirstColumn="0" w:lastRowLastColumn="0"/>
            <w:tcW w:w="0" w:type="auto"/>
          </w:tcPr>
          <w:p w14:paraId="71C8CB48" w14:textId="77777777" w:rsidR="005E6933" w:rsidRPr="007D35E9" w:rsidRDefault="005E6933" w:rsidP="00054830">
            <w:pPr>
              <w:pStyle w:val="RowHeading"/>
              <w:rPr>
                <w:b/>
              </w:rPr>
            </w:pPr>
            <w:r w:rsidRPr="0064277C">
              <w:rPr>
                <w:b/>
              </w:rPr>
              <w:t>Gold</w:t>
            </w:r>
          </w:p>
        </w:tc>
        <w:tc>
          <w:tcPr>
            <w:tcW w:w="3838" w:type="dxa"/>
          </w:tcPr>
          <w:p w14:paraId="3F2B8CE1" w14:textId="2F4967E8" w:rsidR="005E6933" w:rsidRPr="007D35E9" w:rsidRDefault="00B572D6" w:rsidP="00054830">
            <w:pPr>
              <w:pStyle w:val="TableText"/>
              <w:cnfStyle w:val="000000000000" w:firstRow="0" w:lastRow="0" w:firstColumn="0" w:lastColumn="0" w:oddVBand="0" w:evenVBand="0" w:oddHBand="0" w:evenHBand="0" w:firstRowFirstColumn="0" w:firstRowLastColumn="0" w:lastRowFirstColumn="0" w:lastRowLastColumn="0"/>
            </w:pPr>
            <w:r w:rsidRPr="00C73A6D">
              <w:t>In a gold journal model</w:t>
            </w:r>
            <w:r w:rsidR="009C0054">
              <w:t>,</w:t>
            </w:r>
            <w:r w:rsidRPr="00C73A6D">
              <w:t xml:space="preserve"> all articles are published </w:t>
            </w:r>
            <w:r w:rsidR="000F6905">
              <w:t>as open access</w:t>
            </w:r>
            <w:r w:rsidR="00ED0909">
              <w:t>.</w:t>
            </w:r>
            <w:r w:rsidR="005E6933" w:rsidRPr="007D35E9">
              <w:t xml:space="preserve"> </w:t>
            </w:r>
            <w:r w:rsidR="005E6933">
              <w:t xml:space="preserve">For example, all MDPI journals are </w:t>
            </w:r>
            <w:r w:rsidR="009249C8">
              <w:t>gold</w:t>
            </w:r>
            <w:r w:rsidR="005E6933">
              <w:t xml:space="preserve"> </w:t>
            </w:r>
            <w:r w:rsidR="009249C8">
              <w:t>journals</w:t>
            </w:r>
            <w:r w:rsidR="005E6933">
              <w:t xml:space="preserve">. </w:t>
            </w:r>
          </w:p>
          <w:p w14:paraId="04C87A2B" w14:textId="76EA1CB0" w:rsidR="005E6933" w:rsidRPr="007D35E9" w:rsidRDefault="00D80A5E" w:rsidP="00054830">
            <w:pPr>
              <w:pStyle w:val="TableText"/>
              <w:cnfStyle w:val="000000000000" w:firstRow="0" w:lastRow="0" w:firstColumn="0" w:lastColumn="0" w:oddVBand="0" w:evenVBand="0" w:oddHBand="0" w:evenHBand="0" w:firstRowFirstColumn="0" w:firstRowLastColumn="0" w:lastRowFirstColumn="0" w:lastRowLastColumn="0"/>
            </w:pPr>
            <w:r w:rsidRPr="00C73A6D">
              <w:t xml:space="preserve">Diamond (aka </w:t>
            </w:r>
            <w:r w:rsidR="009C0054">
              <w:t>p</w:t>
            </w:r>
            <w:r w:rsidRPr="00C73A6D">
              <w:t>latinum) journals are a subset of gold journals that are free for readers to access and authors to publish in.</w:t>
            </w:r>
            <w:r w:rsidR="004D31AB">
              <w:rPr>
                <w:rStyle w:val="FootnoteReference"/>
              </w:rPr>
              <w:footnoteReference w:id="55"/>
            </w:r>
            <w:r w:rsidRPr="00C73A6D">
              <w:t xml:space="preserve"> </w:t>
            </w:r>
            <w:r w:rsidR="005E6933" w:rsidRPr="0064277C">
              <w:t xml:space="preserve"> </w:t>
            </w:r>
            <w:r w:rsidR="005E6933">
              <w:t xml:space="preserve">Australian examples include </w:t>
            </w:r>
            <w:r w:rsidR="00B42816" w:rsidRPr="0094727A">
              <w:rPr>
                <w:i/>
              </w:rPr>
              <w:t>T</w:t>
            </w:r>
            <w:r w:rsidR="005E6933" w:rsidRPr="0094727A">
              <w:rPr>
                <w:i/>
              </w:rPr>
              <w:t>he International Journal of Critical Indigenous Studies</w:t>
            </w:r>
            <w:r w:rsidR="005E6933">
              <w:t xml:space="preserve">, </w:t>
            </w:r>
            <w:r w:rsidR="00B42816" w:rsidRPr="0094727A">
              <w:rPr>
                <w:i/>
              </w:rPr>
              <w:t>T</w:t>
            </w:r>
            <w:r w:rsidR="005E6933" w:rsidRPr="0094727A">
              <w:rPr>
                <w:i/>
              </w:rPr>
              <w:t>he Journal of Social Inclusion</w:t>
            </w:r>
            <w:r w:rsidR="005E6933">
              <w:t xml:space="preserve">, and </w:t>
            </w:r>
            <w:r w:rsidR="00B42816" w:rsidRPr="0094727A">
              <w:rPr>
                <w:i/>
              </w:rPr>
              <w:t>T</w:t>
            </w:r>
            <w:r w:rsidR="005E6933" w:rsidRPr="0094727A">
              <w:rPr>
                <w:i/>
              </w:rPr>
              <w:t>he International Review of Environmental History</w:t>
            </w:r>
            <w:r w:rsidR="005E6933">
              <w:t>.</w:t>
            </w:r>
          </w:p>
        </w:tc>
        <w:tc>
          <w:tcPr>
            <w:tcW w:w="2906" w:type="dxa"/>
          </w:tcPr>
          <w:p w14:paraId="1A0382B7"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Authors typically pay an APC to publishers. </w:t>
            </w:r>
          </w:p>
          <w:p w14:paraId="13BA57B6"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64277C">
              <w:t>Diamond journals are typically supported financially by sponsors such as research institutions or professional societies and charge no fees.</w:t>
            </w:r>
          </w:p>
        </w:tc>
        <w:tc>
          <w:tcPr>
            <w:tcW w:w="0" w:type="auto"/>
          </w:tcPr>
          <w:p w14:paraId="6EC3A18E"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64277C">
              <w:t>Publishers maintain journal infrastructure and metadata.</w:t>
            </w:r>
          </w:p>
        </w:tc>
      </w:tr>
      <w:tr w:rsidR="005E6933" w:rsidRPr="007D35E9" w14:paraId="6C46BD2D" w14:textId="77777777" w:rsidTr="00924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5FF61" w14:textId="77777777" w:rsidR="005E6933" w:rsidRPr="007D35E9" w:rsidRDefault="005E6933" w:rsidP="00054830">
            <w:pPr>
              <w:pStyle w:val="RowHeading"/>
              <w:rPr>
                <w:b/>
              </w:rPr>
            </w:pPr>
            <w:r w:rsidRPr="0064277C">
              <w:rPr>
                <w:b/>
              </w:rPr>
              <w:t>Green</w:t>
            </w:r>
          </w:p>
        </w:tc>
        <w:tc>
          <w:tcPr>
            <w:tcW w:w="3838" w:type="dxa"/>
          </w:tcPr>
          <w:p w14:paraId="1FF2F585" w14:textId="432EAF37" w:rsidR="005E6933" w:rsidRPr="007D35E9" w:rsidRDefault="00E42496" w:rsidP="00054830">
            <w:pPr>
              <w:pStyle w:val="TableText"/>
              <w:cnfStyle w:val="000000100000" w:firstRow="0" w:lastRow="0" w:firstColumn="0" w:lastColumn="0" w:oddVBand="0" w:evenVBand="0" w:oddHBand="1" w:evenHBand="0" w:firstRowFirstColumn="0" w:firstRowLastColumn="0" w:lastRowFirstColumn="0" w:lastRowLastColumn="0"/>
            </w:pPr>
            <w:r w:rsidRPr="00C73A6D">
              <w:t xml:space="preserve">In a green </w:t>
            </w:r>
            <w:r>
              <w:t>open access</w:t>
            </w:r>
            <w:r w:rsidRPr="00C73A6D">
              <w:t xml:space="preserve"> model, either a pre- or post-print version of an article is made freely accessible in a repository,</w:t>
            </w:r>
            <w:r w:rsidRPr="00C73A6D">
              <w:rPr>
                <w:vertAlign w:val="superscript"/>
              </w:rPr>
              <w:footnoteReference w:id="56"/>
            </w:r>
            <w:r w:rsidRPr="00C73A6D">
              <w:t xml:space="preserve"> and authors retain the right to reuse their article.</w:t>
            </w:r>
            <w:r w:rsidRPr="00C73A6D">
              <w:rPr>
                <w:vertAlign w:val="superscript"/>
              </w:rPr>
              <w:footnoteReference w:id="57"/>
            </w:r>
            <w:r w:rsidRPr="00C73A6D">
              <w:t xml:space="preserve"> Publisher agreements typically require an embargo period of up to 12 months before the article can be archived in a repository.</w:t>
            </w:r>
          </w:p>
        </w:tc>
        <w:tc>
          <w:tcPr>
            <w:tcW w:w="2906" w:type="dxa"/>
          </w:tcPr>
          <w:p w14:paraId="46C1BB85"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64277C">
              <w:t xml:space="preserve">No additional charge to author. </w:t>
            </w:r>
          </w:p>
        </w:tc>
        <w:tc>
          <w:tcPr>
            <w:tcW w:w="0" w:type="auto"/>
          </w:tcPr>
          <w:p w14:paraId="1143ACBE" w14:textId="77777777" w:rsidR="005E6933" w:rsidRPr="00350D7A"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64277C">
              <w:t>Research institutions or repository owners maintain repository infrastructure and metadata.</w:t>
            </w:r>
          </w:p>
        </w:tc>
      </w:tr>
    </w:tbl>
    <w:p w14:paraId="19FFBAFB" w14:textId="77777777" w:rsidR="008553CC" w:rsidRDefault="008553CC" w:rsidP="008553CC">
      <w:pPr>
        <w:pStyle w:val="BodyText"/>
      </w:pPr>
      <w:bookmarkStart w:id="15" w:name="_Toc87629931"/>
    </w:p>
    <w:p w14:paraId="71C12F8B" w14:textId="77777777" w:rsidR="008553CC" w:rsidRDefault="008553CC">
      <w:pPr>
        <w:spacing w:before="0" w:after="0" w:line="240" w:lineRule="auto"/>
        <w:rPr>
          <w:rFonts w:asciiTheme="minorHAnsi" w:eastAsiaTheme="majorEastAsia" w:hAnsiTheme="minorHAnsi" w:cstheme="minorHAnsi"/>
          <w:bCs/>
          <w:color w:val="001D34" w:themeColor="accent2"/>
          <w:sz w:val="32"/>
          <w:szCs w:val="26"/>
        </w:rPr>
      </w:pPr>
      <w:r>
        <w:rPr>
          <w:rFonts w:asciiTheme="minorHAnsi" w:hAnsiTheme="minorHAnsi" w:cstheme="minorHAnsi"/>
        </w:rPr>
        <w:br w:type="page"/>
      </w:r>
    </w:p>
    <w:p w14:paraId="70D4647A" w14:textId="02B4EBA8" w:rsidR="005E6933" w:rsidRPr="00563DEE" w:rsidRDefault="005E6933" w:rsidP="005E6933">
      <w:pPr>
        <w:pStyle w:val="Heading2"/>
        <w:rPr>
          <w:rFonts w:asciiTheme="minorHAnsi" w:hAnsiTheme="minorHAnsi" w:cstheme="minorHAnsi"/>
        </w:rPr>
      </w:pPr>
      <w:r w:rsidRPr="00563DEE">
        <w:rPr>
          <w:rFonts w:asciiTheme="minorHAnsi" w:hAnsiTheme="minorHAnsi" w:cstheme="minorHAnsi"/>
        </w:rPr>
        <w:lastRenderedPageBreak/>
        <w:t>Open access initiatives</w:t>
      </w:r>
      <w:bookmarkEnd w:id="15"/>
    </w:p>
    <w:p w14:paraId="1F1F8359" w14:textId="67185EF5" w:rsidR="005E6933" w:rsidRPr="00563DEE" w:rsidRDefault="005E6933" w:rsidP="00F35E47">
      <w:pPr>
        <w:pStyle w:val="BodyText"/>
      </w:pPr>
      <w:r w:rsidRPr="00563DEE">
        <w:t xml:space="preserve">Open access has broad support from Australian stakeholders – including researchers, publishers, and funders – who recognise </w:t>
      </w:r>
      <w:r>
        <w:t>its associated</w:t>
      </w:r>
      <w:r w:rsidRPr="00563DEE">
        <w:t xml:space="preserve"> potential economic</w:t>
      </w:r>
      <w:r w:rsidR="00D0474E">
        <w:t>,</w:t>
      </w:r>
      <w:r w:rsidRPr="00563DEE">
        <w:t xml:space="preserve"> innovation </w:t>
      </w:r>
      <w:r w:rsidR="00D0474E">
        <w:t>and social</w:t>
      </w:r>
      <w:r w:rsidRPr="00563DEE">
        <w:t xml:space="preserve"> benefits. Since the early 2000s, stakeholders in the Australian publishing ecosystem have invested in a variety of initiatives and actions that support open access. </w:t>
      </w:r>
      <w:r w:rsidR="00970262">
        <w:t>These</w:t>
      </w:r>
      <w:r w:rsidRPr="00563DEE">
        <w:t xml:space="preserve"> include but </w:t>
      </w:r>
      <w:r w:rsidR="00970262">
        <w:t xml:space="preserve">are </w:t>
      </w:r>
      <w:r w:rsidRPr="00563DEE">
        <w:t>not limited to the following:</w:t>
      </w:r>
    </w:p>
    <w:p w14:paraId="16FEBDE2" w14:textId="56EFAB31" w:rsidR="005E6933" w:rsidRPr="007D35E9" w:rsidRDefault="005E6933" w:rsidP="00F35E47">
      <w:pPr>
        <w:pStyle w:val="ListBullet"/>
        <w:jc w:val="both"/>
        <w:rPr>
          <w:szCs w:val="24"/>
        </w:rPr>
      </w:pPr>
      <w:r w:rsidRPr="007D35E9">
        <w:rPr>
          <w:b/>
          <w:bCs/>
        </w:rPr>
        <w:t xml:space="preserve">Open access policies: </w:t>
      </w:r>
      <w:r w:rsidRPr="007D35E9">
        <w:rPr>
          <w:szCs w:val="24"/>
        </w:rPr>
        <w:t>Australia’s research funding councils, t</w:t>
      </w:r>
      <w:r w:rsidRPr="007D35E9">
        <w:t xml:space="preserve">he Australian Research Council (ARC) and the National Health and Medicine Research Council (NHMRC), have both implemented </w:t>
      </w:r>
      <w:r w:rsidRPr="007D35E9">
        <w:rPr>
          <w:szCs w:val="24"/>
        </w:rPr>
        <w:t xml:space="preserve">open access policies that require that publications associated with the research they fund </w:t>
      </w:r>
      <w:r>
        <w:rPr>
          <w:szCs w:val="24"/>
        </w:rPr>
        <w:t xml:space="preserve">must </w:t>
      </w:r>
      <w:r w:rsidRPr="007D35E9">
        <w:rPr>
          <w:szCs w:val="24"/>
        </w:rPr>
        <w:t>be made open access within a year of publication.</w:t>
      </w:r>
      <w:r w:rsidRPr="007D35E9">
        <w:rPr>
          <w:szCs w:val="24"/>
          <w:vertAlign w:val="superscript"/>
        </w:rPr>
        <w:footnoteReference w:id="58"/>
      </w:r>
      <w:r w:rsidRPr="007D35E9">
        <w:rPr>
          <w:szCs w:val="24"/>
          <w:vertAlign w:val="superscript"/>
        </w:rPr>
        <w:t>,</w:t>
      </w:r>
      <w:r w:rsidRPr="007D35E9">
        <w:rPr>
          <w:szCs w:val="24"/>
          <w:vertAlign w:val="superscript"/>
        </w:rPr>
        <w:footnoteReference w:id="59"/>
      </w:r>
      <w:r w:rsidRPr="007D35E9">
        <w:rPr>
          <w:szCs w:val="24"/>
        </w:rPr>
        <w:t xml:space="preserve"> </w:t>
      </w:r>
      <w:r w:rsidRPr="007D35E9">
        <w:t xml:space="preserve">The </w:t>
      </w:r>
      <w:r w:rsidRPr="00563DEE">
        <w:rPr>
          <w:rStyle w:val="BodyTextChar"/>
        </w:rPr>
        <w:t xml:space="preserve">Universities Australia Deputy Vice Chancellors (Research) Committee’s Australian FAIR Access </w:t>
      </w:r>
      <w:r w:rsidRPr="00F8505E">
        <w:rPr>
          <w:rStyle w:val="BodyTextChar"/>
        </w:rPr>
        <w:t>Working</w:t>
      </w:r>
      <w:r w:rsidRPr="00563DEE">
        <w:rPr>
          <w:rStyle w:val="BodyTextChar"/>
        </w:rPr>
        <w:t xml:space="preserve"> Group published a policy statement in 2017</w:t>
      </w:r>
      <w:r w:rsidR="00970262">
        <w:rPr>
          <w:rStyle w:val="BodyTextChar"/>
        </w:rPr>
        <w:t>,</w:t>
      </w:r>
      <w:r w:rsidRPr="00563DEE">
        <w:rPr>
          <w:rStyle w:val="BodyTextChar"/>
        </w:rPr>
        <w:t xml:space="preserve"> </w:t>
      </w:r>
      <w:r w:rsidR="00DA0455">
        <w:rPr>
          <w:rStyle w:val="BodyTextChar"/>
        </w:rPr>
        <w:t>indicating</w:t>
      </w:r>
      <w:r w:rsidRPr="00563DEE">
        <w:rPr>
          <w:rStyle w:val="BodyTextChar"/>
        </w:rPr>
        <w:t xml:space="preserve"> that Australian publicly funded research organisations should have policies, standards and practices to make publicly funded research outputs findable, accessible, interoperable and reusable (FAIR) in place by 2020.</w:t>
      </w:r>
      <w:r w:rsidRPr="00563DEE">
        <w:rPr>
          <w:rStyle w:val="BodyTextChar"/>
          <w:vertAlign w:val="superscript"/>
        </w:rPr>
        <w:footnoteReference w:id="60"/>
      </w:r>
      <w:r w:rsidRPr="007D35E9">
        <w:rPr>
          <w:szCs w:val="24"/>
        </w:rPr>
        <w:t xml:space="preserve"> </w:t>
      </w:r>
      <w:r>
        <w:rPr>
          <w:szCs w:val="24"/>
        </w:rPr>
        <w:t xml:space="preserve">However, only half </w:t>
      </w:r>
      <w:r w:rsidRPr="007D35E9">
        <w:rPr>
          <w:szCs w:val="24"/>
        </w:rPr>
        <w:t>of Australia’s universities have now established open access policies.</w:t>
      </w:r>
      <w:r w:rsidRPr="008B1C99">
        <w:rPr>
          <w:rStyle w:val="FootnoteReference"/>
        </w:rPr>
        <w:footnoteReference w:id="61"/>
      </w:r>
    </w:p>
    <w:p w14:paraId="45C744B1" w14:textId="0C1288D5" w:rsidR="005E6933" w:rsidRPr="007D35E9" w:rsidRDefault="005E6933" w:rsidP="00F35E47">
      <w:pPr>
        <w:pStyle w:val="ListBullet"/>
        <w:jc w:val="both"/>
      </w:pPr>
      <w:r w:rsidRPr="007D35E9">
        <w:rPr>
          <w:b/>
          <w:bCs/>
        </w:rPr>
        <w:t>Investment in institutional repositories:</w:t>
      </w:r>
      <w:r w:rsidRPr="007D35E9">
        <w:t xml:space="preserve"> Australia has invested in repositories affiliated with each university to archive research conducted </w:t>
      </w:r>
      <w:r>
        <w:t>there</w:t>
      </w:r>
      <w:r w:rsidRPr="007D35E9">
        <w:t xml:space="preserve">, providing an alternative pathway to making journal articles openly accessible. These </w:t>
      </w:r>
      <w:r w:rsidR="00487B5A">
        <w:t>institutional</w:t>
      </w:r>
      <w:r w:rsidRPr="007D35E9">
        <w:t xml:space="preserve"> repositories were established through the Australian Scheme for Higher Education Repositories between 2007</w:t>
      </w:r>
      <w:r w:rsidR="00DA0455">
        <w:t xml:space="preserve"> and </w:t>
      </w:r>
      <w:r w:rsidRPr="007D35E9">
        <w:t xml:space="preserve">2011 to assist reporting for Australia’s research assessment exercise – the </w:t>
      </w:r>
      <w:r>
        <w:t xml:space="preserve">planned </w:t>
      </w:r>
      <w:r w:rsidRPr="00F8505E">
        <w:t>Research</w:t>
      </w:r>
      <w:r w:rsidRPr="007D35E9">
        <w:t xml:space="preserve"> Quality Framework, </w:t>
      </w:r>
      <w:r>
        <w:t>which was replaced with</w:t>
      </w:r>
      <w:r w:rsidRPr="007D35E9">
        <w:t xml:space="preserve"> Excellence in Research for Australia (ERA). </w:t>
      </w:r>
      <w:r>
        <w:t>In total, almost $42</w:t>
      </w:r>
      <w:r w:rsidR="00970262">
        <w:t xml:space="preserve"> </w:t>
      </w:r>
      <w:r>
        <w:t xml:space="preserve">million was provided to universities </w:t>
      </w:r>
      <w:r w:rsidRPr="00306D6B">
        <w:t>to help them develop digital repositories and data systems</w:t>
      </w:r>
      <w:r>
        <w:t>.</w:t>
      </w:r>
      <w:r>
        <w:rPr>
          <w:rStyle w:val="FootnoteReference"/>
        </w:rPr>
        <w:footnoteReference w:id="62"/>
      </w:r>
      <w:r>
        <w:t xml:space="preserve"> </w:t>
      </w:r>
      <w:r w:rsidRPr="007D35E9">
        <w:t>Archiving freely accessible versions of journal articles in institutional repositories (</w:t>
      </w:r>
      <w:r>
        <w:t>green open access</w:t>
      </w:r>
      <w:r w:rsidRPr="007D35E9">
        <w:t>) can provide a cost-effective alternative to paying APCs</w:t>
      </w:r>
      <w:r>
        <w:t xml:space="preserve"> </w:t>
      </w:r>
      <w:r w:rsidRPr="007D35E9">
        <w:t>and is the only open access option for research published in journals</w:t>
      </w:r>
      <w:r w:rsidR="009249C8">
        <w:t xml:space="preserve"> without an APC option</w:t>
      </w:r>
      <w:r w:rsidRPr="007D35E9">
        <w:t xml:space="preserve">. </w:t>
      </w:r>
      <w:r w:rsidRPr="00A36E77">
        <w:t>How</w:t>
      </w:r>
      <w:r w:rsidRPr="001D56B1">
        <w:t xml:space="preserve">ever, </w:t>
      </w:r>
      <w:r w:rsidRPr="000C56EE">
        <w:t xml:space="preserve">a </w:t>
      </w:r>
      <w:r w:rsidRPr="00A36E77">
        <w:t>rece</w:t>
      </w:r>
      <w:r w:rsidRPr="001D56B1">
        <w:t xml:space="preserve">nt </w:t>
      </w:r>
      <w:r w:rsidRPr="000C56EE">
        <w:t xml:space="preserve">review of compliance with the NHMRC’s </w:t>
      </w:r>
      <w:r w:rsidR="00F23C6E">
        <w:t>o</w:t>
      </w:r>
      <w:r w:rsidR="00F23C6E" w:rsidRPr="000C56EE">
        <w:t xml:space="preserve">pen </w:t>
      </w:r>
      <w:r w:rsidR="00F23C6E">
        <w:t>a</w:t>
      </w:r>
      <w:r w:rsidR="00F23C6E" w:rsidRPr="000C56EE">
        <w:t xml:space="preserve">ccess </w:t>
      </w:r>
      <w:r w:rsidR="00F23C6E">
        <w:t>p</w:t>
      </w:r>
      <w:r w:rsidR="00F23C6E" w:rsidRPr="000C56EE">
        <w:t>olicy</w:t>
      </w:r>
      <w:r w:rsidRPr="000C56EE">
        <w:t xml:space="preserve"> found </w:t>
      </w:r>
      <w:r w:rsidRPr="00A36E77">
        <w:t xml:space="preserve">low </w:t>
      </w:r>
      <w:r w:rsidRPr="001D56B1">
        <w:t>levels of author accepted manuscripts in Australian institutional repositories</w:t>
      </w:r>
      <w:r>
        <w:t>.</w:t>
      </w:r>
      <w:r>
        <w:rPr>
          <w:rStyle w:val="FootnoteReference"/>
        </w:rPr>
        <w:footnoteReference w:id="63"/>
      </w:r>
    </w:p>
    <w:p w14:paraId="08A31FFB" w14:textId="1BF60D80" w:rsidR="005E6933" w:rsidRPr="007D35E9" w:rsidRDefault="005E6933" w:rsidP="00F35E47">
      <w:pPr>
        <w:pStyle w:val="ListBullet"/>
        <w:jc w:val="both"/>
      </w:pPr>
      <w:r w:rsidRPr="007D35E9">
        <w:rPr>
          <w:b/>
          <w:bCs/>
        </w:rPr>
        <w:t xml:space="preserve">Open access advocacy: </w:t>
      </w:r>
      <w:r w:rsidRPr="007D35E9">
        <w:t>Open Access Australasia</w:t>
      </w:r>
      <w:r w:rsidR="00970262">
        <w:t xml:space="preserve">, </w:t>
      </w:r>
      <w:r w:rsidRPr="007D35E9">
        <w:t>founded in 2013 as the Australian Open Access Support Group</w:t>
      </w:r>
      <w:r w:rsidR="00970262">
        <w:t xml:space="preserve">, </w:t>
      </w:r>
      <w:r>
        <w:t>has</w:t>
      </w:r>
      <w:r w:rsidRPr="007D35E9">
        <w:t xml:space="preserve"> been a strong </w:t>
      </w:r>
      <w:r w:rsidRPr="00F8505E">
        <w:t>advocate</w:t>
      </w:r>
      <w:r w:rsidRPr="007D35E9">
        <w:t xml:space="preserve"> for open access in Australia and New Zealand. The Council of Australian University Libraries </w:t>
      </w:r>
      <w:r w:rsidR="000B2284">
        <w:t xml:space="preserve">(CAUL) </w:t>
      </w:r>
      <w:r w:rsidRPr="007D35E9">
        <w:t xml:space="preserve">and the Australian Library and Information Association </w:t>
      </w:r>
      <w:r w:rsidR="000B2284">
        <w:t>(ALIA)</w:t>
      </w:r>
      <w:r w:rsidRPr="007D35E9">
        <w:t xml:space="preserve"> are also strong proponents of open access. </w:t>
      </w:r>
    </w:p>
    <w:p w14:paraId="750EA650" w14:textId="77777777" w:rsidR="005E6933" w:rsidRPr="00563DEE" w:rsidRDefault="005E6933" w:rsidP="005E6933">
      <w:pPr>
        <w:pStyle w:val="Heading2"/>
        <w:jc w:val="both"/>
        <w:rPr>
          <w:rFonts w:asciiTheme="minorHAnsi" w:hAnsiTheme="minorHAnsi" w:cstheme="minorHAnsi"/>
        </w:rPr>
      </w:pPr>
      <w:bookmarkStart w:id="16" w:name="_Toc84493536"/>
      <w:bookmarkStart w:id="17" w:name="_Toc87629932"/>
      <w:bookmarkEnd w:id="16"/>
      <w:r w:rsidRPr="00563DEE">
        <w:rPr>
          <w:rFonts w:asciiTheme="minorHAnsi" w:hAnsiTheme="minorHAnsi" w:cstheme="minorHAnsi"/>
        </w:rPr>
        <w:lastRenderedPageBreak/>
        <w:t>Current state of open access in Australia</w:t>
      </w:r>
      <w:bookmarkEnd w:id="17"/>
    </w:p>
    <w:p w14:paraId="4E0F4BDD" w14:textId="22ED3079" w:rsidR="005E6933" w:rsidRPr="00F8505E" w:rsidRDefault="005E6933" w:rsidP="00A47B69">
      <w:pPr>
        <w:pStyle w:val="BodyText"/>
      </w:pPr>
      <w:r w:rsidRPr="00563DEE">
        <w:t xml:space="preserve">Due in part to </w:t>
      </w:r>
      <w:r>
        <w:t>past open access</w:t>
      </w:r>
      <w:r w:rsidRPr="00563DEE">
        <w:t xml:space="preserve"> initiatives, Australia’s open access publication rates </w:t>
      </w:r>
      <w:r w:rsidR="009D208E" w:rsidRPr="00924978">
        <w:t>ha</w:t>
      </w:r>
      <w:r w:rsidR="00970262">
        <w:t>ve</w:t>
      </w:r>
      <w:r w:rsidR="009D208E" w:rsidRPr="00924978">
        <w:t xml:space="preserve"> steadily</w:t>
      </w:r>
      <w:r w:rsidRPr="00563DEE">
        <w:t xml:space="preserve"> increased over the last 20 years. </w:t>
      </w:r>
      <w:r>
        <w:t>Despite this</w:t>
      </w:r>
      <w:r w:rsidRPr="00563DEE">
        <w:t xml:space="preserve">, </w:t>
      </w:r>
      <w:r>
        <w:t>most journal articles</w:t>
      </w:r>
      <w:r w:rsidRPr="00563DEE">
        <w:t xml:space="preserve"> </w:t>
      </w:r>
      <w:r w:rsidR="009D208E">
        <w:t xml:space="preserve">with Australian authors </w:t>
      </w:r>
      <w:r>
        <w:t>are paywalled.</w:t>
      </w:r>
      <w:r w:rsidRPr="00F8505E">
        <w:t xml:space="preserve"> </w:t>
      </w:r>
    </w:p>
    <w:p w14:paraId="3BDE406A" w14:textId="66434266" w:rsidR="005E6933" w:rsidRPr="00563DEE" w:rsidRDefault="005E6933" w:rsidP="00A47B69">
      <w:pPr>
        <w:pStyle w:val="BodyText"/>
      </w:pPr>
      <w:r w:rsidRPr="007A21B7">
        <w:t>There has been a modest increase in Australia’s rates of open access.</w:t>
      </w:r>
      <w:r w:rsidRPr="00563DEE">
        <w:rPr>
          <w:b/>
          <w:bCs/>
        </w:rPr>
        <w:t xml:space="preserve"> </w:t>
      </w:r>
      <w:r w:rsidRPr="00563DEE">
        <w:t xml:space="preserve">In Australia, </w:t>
      </w:r>
      <w:r>
        <w:t>open access</w:t>
      </w:r>
      <w:r w:rsidRPr="00563DEE">
        <w:t xml:space="preserve"> rates have been above 40% since 2014 – up from approximately 20% in 2000 (see </w:t>
      </w:r>
      <w:r w:rsidRPr="00563DEE">
        <w:fldChar w:fldCharType="begin"/>
      </w:r>
      <w:r w:rsidRPr="00563DEE">
        <w:instrText xml:space="preserve"> REF _Ref83832616 \h  \* MERGEFORMAT </w:instrText>
      </w:r>
      <w:r w:rsidRPr="00563DEE">
        <w:fldChar w:fldCharType="separate"/>
      </w:r>
      <w:r w:rsidR="007E283B" w:rsidRPr="00563DEE">
        <w:t xml:space="preserve">Figure </w:t>
      </w:r>
      <w:r w:rsidR="007E283B">
        <w:rPr>
          <w:noProof/>
        </w:rPr>
        <w:t>5</w:t>
      </w:r>
      <w:r w:rsidRPr="00563DEE">
        <w:fldChar w:fldCharType="end"/>
      </w:r>
      <w:r w:rsidRPr="00563DEE">
        <w:t>).</w:t>
      </w:r>
      <w:r w:rsidRPr="00563DEE">
        <w:rPr>
          <w:vertAlign w:val="superscript"/>
        </w:rPr>
        <w:footnoteReference w:id="64"/>
      </w:r>
      <w:r w:rsidRPr="00563DEE">
        <w:t xml:space="preserve"> The apparent </w:t>
      </w:r>
      <w:r w:rsidR="000673FE">
        <w:t>decline</w:t>
      </w:r>
      <w:r>
        <w:t xml:space="preserve"> of</w:t>
      </w:r>
      <w:r w:rsidRPr="00563DEE">
        <w:t xml:space="preserve"> </w:t>
      </w:r>
      <w:r>
        <w:t>open access</w:t>
      </w:r>
      <w:r w:rsidRPr="00563DEE">
        <w:t xml:space="preserve"> rates since 2018 </w:t>
      </w:r>
      <w:r w:rsidR="00EF5D2C">
        <w:t>can be attribute</w:t>
      </w:r>
      <w:r w:rsidR="00635B3D">
        <w:t>d</w:t>
      </w:r>
      <w:r w:rsidR="00EF5D2C">
        <w:t xml:space="preserve"> to </w:t>
      </w:r>
      <w:r w:rsidR="00BE414C">
        <w:t>lower rates of green open access</w:t>
      </w:r>
      <w:r w:rsidR="00FC2660">
        <w:t xml:space="preserve">. This </w:t>
      </w:r>
      <w:r w:rsidR="001241FD">
        <w:t>may</w:t>
      </w:r>
      <w:r w:rsidR="008B4799">
        <w:t xml:space="preserve"> </w:t>
      </w:r>
      <w:r w:rsidR="005D3014">
        <w:t>be</w:t>
      </w:r>
      <w:r w:rsidR="008B4799">
        <w:t xml:space="preserve"> </w:t>
      </w:r>
      <w:r w:rsidR="0098625A">
        <w:t>partiall</w:t>
      </w:r>
      <w:r w:rsidR="008B4799">
        <w:t xml:space="preserve">y </w:t>
      </w:r>
      <w:r w:rsidRPr="00563DEE" w:rsidDel="008B4799">
        <w:t xml:space="preserve">due </w:t>
      </w:r>
      <w:r w:rsidRPr="00563DEE">
        <w:t>to</w:t>
      </w:r>
      <w:r w:rsidR="005D3014">
        <w:t xml:space="preserve"> </w:t>
      </w:r>
      <w:r w:rsidRPr="00563DEE">
        <w:t>embargo periods</w:t>
      </w:r>
      <w:r w:rsidR="000673FE" w:rsidDel="00BE414C">
        <w:t>,</w:t>
      </w:r>
      <w:r w:rsidRPr="00563DEE" w:rsidDel="00BE414C">
        <w:t xml:space="preserve"> </w:t>
      </w:r>
      <w:r w:rsidDel="00BE414C">
        <w:t>which</w:t>
      </w:r>
      <w:r>
        <w:t xml:space="preserve"> </w:t>
      </w:r>
      <w:r w:rsidR="005D3014">
        <w:t xml:space="preserve">delay archival of </w:t>
      </w:r>
      <w:r w:rsidR="00991A5A">
        <w:t>new journal articles</w:t>
      </w:r>
      <w:r>
        <w:t>. Gold and hybrid publishing</w:t>
      </w:r>
      <w:r w:rsidR="000673FE">
        <w:t>,</w:t>
      </w:r>
      <w:r>
        <w:t xml:space="preserve"> which are not limited by embargo periods</w:t>
      </w:r>
      <w:r w:rsidR="000673FE">
        <w:t>,</w:t>
      </w:r>
      <w:r>
        <w:t xml:space="preserve"> have continued to increase over the same period</w:t>
      </w:r>
      <w:r w:rsidRPr="00563DEE">
        <w:t xml:space="preserve">. </w:t>
      </w:r>
    </w:p>
    <w:p w14:paraId="585A0842" w14:textId="1300E62C" w:rsidR="005E6933" w:rsidRPr="00563DEE" w:rsidRDefault="005E6933" w:rsidP="00A47B69">
      <w:pPr>
        <w:pStyle w:val="Caption"/>
      </w:pPr>
      <w:bookmarkStart w:id="18" w:name="_Ref83832616"/>
      <w:r w:rsidRPr="00563DEE">
        <w:t xml:space="preserve">Figure </w:t>
      </w:r>
      <w:r w:rsidR="003B28D9">
        <w:fldChar w:fldCharType="begin"/>
      </w:r>
      <w:r w:rsidR="003B28D9">
        <w:instrText xml:space="preserve"> SEQ Figure \* ARABIC </w:instrText>
      </w:r>
      <w:r w:rsidR="003B28D9">
        <w:fldChar w:fldCharType="separate"/>
      </w:r>
      <w:r w:rsidR="007E283B">
        <w:rPr>
          <w:noProof/>
        </w:rPr>
        <w:t>5</w:t>
      </w:r>
      <w:r w:rsidR="003B28D9">
        <w:rPr>
          <w:noProof/>
        </w:rPr>
        <w:fldChar w:fldCharType="end"/>
      </w:r>
      <w:bookmarkEnd w:id="18"/>
      <w:r w:rsidRPr="00563DEE">
        <w:t xml:space="preserve">: Australia’s open access </w:t>
      </w:r>
      <w:r w:rsidR="00D6520C">
        <w:t>(OA)</w:t>
      </w:r>
      <w:r w:rsidRPr="00563DEE">
        <w:t xml:space="preserve"> rates have improved over the last 20 years</w:t>
      </w:r>
      <w:r w:rsidRPr="00563DEE">
        <w:rPr>
          <w:vertAlign w:val="superscript"/>
        </w:rPr>
        <w:footnoteReference w:id="65"/>
      </w:r>
    </w:p>
    <w:p w14:paraId="10FBBF72" w14:textId="77777777" w:rsidR="005E6933" w:rsidRPr="00112B30" w:rsidRDefault="005E6933" w:rsidP="0049386A">
      <w:pPr>
        <w:pStyle w:val="BodyText"/>
        <w:jc w:val="center"/>
      </w:pPr>
      <w:r w:rsidRPr="00112B30">
        <w:rPr>
          <w:noProof/>
        </w:rPr>
        <w:drawing>
          <wp:inline distT="0" distB="0" distL="0" distR="0" wp14:anchorId="1D2DE5FB" wp14:editId="42A15687">
            <wp:extent cx="5841124" cy="1903955"/>
            <wp:effectExtent l="0" t="0" r="7620" b="0"/>
            <wp:docPr id="26" name="Picture 26" descr="A line graph showing the increase of open access (including gold open access, green open access, and hybrid open access) as a percentage of publications from approximately 20% in 2000 to approximately over 40%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ine graph showing the increase of open access (including gold open access, green open access, and hybrid open access) as a percentage of publications from approximately 20% in 2000 to approximately over 40% in 20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2991" cy="1911083"/>
                    </a:xfrm>
                    <a:prstGeom prst="rect">
                      <a:avLst/>
                    </a:prstGeom>
                    <a:noFill/>
                  </pic:spPr>
                </pic:pic>
              </a:graphicData>
            </a:graphic>
          </wp:inline>
        </w:drawing>
      </w:r>
    </w:p>
    <w:p w14:paraId="474A37DB" w14:textId="00708CDD" w:rsidR="00BA679D" w:rsidRDefault="00BD00A5" w:rsidP="00A47B69">
      <w:pPr>
        <w:pStyle w:val="BodyText"/>
      </w:pPr>
      <w:r>
        <w:t>Almost 40</w:t>
      </w:r>
      <w:r w:rsidR="005E6933" w:rsidRPr="007A21B7">
        <w:t>% of Australian publications published between 2000-2020</w:t>
      </w:r>
      <w:r w:rsidR="00BA679D">
        <w:t xml:space="preserve"> </w:t>
      </w:r>
      <w:r w:rsidR="005E6933" w:rsidRPr="007A21B7">
        <w:t>are now openly accessible</w:t>
      </w:r>
      <w:r w:rsidR="00BA679D">
        <w:t>:</w:t>
      </w:r>
      <w:r w:rsidR="005E6933" w:rsidRPr="007A21B7">
        <w:rPr>
          <w:vertAlign w:val="superscript"/>
        </w:rPr>
        <w:footnoteReference w:id="66"/>
      </w:r>
      <w:r w:rsidR="005E6933" w:rsidRPr="00563DEE">
        <w:t xml:space="preserve"> </w:t>
      </w:r>
    </w:p>
    <w:p w14:paraId="4A437A09" w14:textId="581A04BE" w:rsidR="00BA679D" w:rsidRDefault="005E6933" w:rsidP="00BA679D">
      <w:pPr>
        <w:pStyle w:val="ListBullet"/>
      </w:pPr>
      <w:r w:rsidRPr="00563DEE">
        <w:t>28.6% are accessible via repositories (</w:t>
      </w:r>
      <w:r>
        <w:t>green open access</w:t>
      </w:r>
      <w:r w:rsidRPr="00563DEE">
        <w:t>)</w:t>
      </w:r>
    </w:p>
    <w:p w14:paraId="12D53235" w14:textId="66BEC7E1" w:rsidR="00BA679D" w:rsidRDefault="005E6933" w:rsidP="00BA679D">
      <w:pPr>
        <w:pStyle w:val="ListBullet"/>
      </w:pPr>
      <w:r w:rsidRPr="00563DEE">
        <w:t xml:space="preserve">15.1% </w:t>
      </w:r>
      <w:r>
        <w:t>are</w:t>
      </w:r>
      <w:r w:rsidRPr="00563DEE">
        <w:t xml:space="preserve"> published in fully open access journals (</w:t>
      </w:r>
      <w:r>
        <w:t>gold open access</w:t>
      </w:r>
      <w:r w:rsidRPr="00563DEE">
        <w:t>)</w:t>
      </w:r>
    </w:p>
    <w:p w14:paraId="0DB06D37" w14:textId="681EE4EF" w:rsidR="00BA679D" w:rsidRDefault="005E6933" w:rsidP="00BA679D">
      <w:pPr>
        <w:pStyle w:val="ListBullet"/>
      </w:pPr>
      <w:r w:rsidRPr="00563DEE">
        <w:t xml:space="preserve">5.2% </w:t>
      </w:r>
      <w:r>
        <w:t>are</w:t>
      </w:r>
      <w:r w:rsidRPr="00563DEE">
        <w:t xml:space="preserve"> published in hybrid journals with payment of an APC (or a fee waiver)</w:t>
      </w:r>
      <w:r w:rsidR="00376924">
        <w:t xml:space="preserve"> </w:t>
      </w:r>
    </w:p>
    <w:p w14:paraId="79DDEEBE" w14:textId="3E9EDF4A" w:rsidR="00BA679D" w:rsidRDefault="00376924" w:rsidP="003D251B">
      <w:pPr>
        <w:pStyle w:val="ListBullet"/>
      </w:pPr>
      <w:r w:rsidRPr="00563DEE">
        <w:t>10.3%</w:t>
      </w:r>
      <w:r>
        <w:t xml:space="preserve"> are</w:t>
      </w:r>
      <w:r w:rsidRPr="00563DEE">
        <w:t xml:space="preserve"> accessible but lack a clear license</w:t>
      </w:r>
      <w:r w:rsidR="005A0E19">
        <w:t xml:space="preserve"> for reuse</w:t>
      </w:r>
      <w:r>
        <w:t>.</w:t>
      </w:r>
      <w:r>
        <w:rPr>
          <w:rStyle w:val="CommentReference"/>
        </w:rPr>
        <w:t xml:space="preserve"> </w:t>
      </w:r>
    </w:p>
    <w:p w14:paraId="24EC285F" w14:textId="27F95056" w:rsidR="005E6933" w:rsidRPr="00563DEE" w:rsidRDefault="005E6933" w:rsidP="005A477C">
      <w:pPr>
        <w:pStyle w:val="BodyText"/>
      </w:pPr>
      <w:r w:rsidRPr="00563DEE">
        <w:t xml:space="preserve">Data provided by Clarivate indicates that Australia’s open access rates are now comparable to that of China and the </w:t>
      </w:r>
      <w:r w:rsidR="00AD6230" w:rsidRPr="00563DEE">
        <w:t>U</w:t>
      </w:r>
      <w:r w:rsidR="00AD6230">
        <w:t>nited States of America</w:t>
      </w:r>
      <w:r w:rsidRPr="00563DEE">
        <w:t>, but lag European nations</w:t>
      </w:r>
      <w:r>
        <w:t>, including</w:t>
      </w:r>
      <w:r w:rsidRPr="00563DEE">
        <w:t xml:space="preserve"> the Netherlands, </w:t>
      </w:r>
      <w:r w:rsidR="00AD6230">
        <w:t>the United Kingdom</w:t>
      </w:r>
      <w:r w:rsidRPr="00563DEE">
        <w:t>, Germany and France (see</w:t>
      </w:r>
      <w:r w:rsidR="000973A3">
        <w:t xml:space="preserve"> </w:t>
      </w:r>
      <w:r w:rsidR="000973A3">
        <w:fldChar w:fldCharType="begin"/>
      </w:r>
      <w:r w:rsidR="000973A3">
        <w:instrText xml:space="preserve"> REF _Ref86409973 \h </w:instrText>
      </w:r>
      <w:r w:rsidR="000973A3">
        <w:fldChar w:fldCharType="separate"/>
      </w:r>
      <w:r w:rsidR="007E283B" w:rsidRPr="00563DEE">
        <w:t xml:space="preserve">Figure </w:t>
      </w:r>
      <w:r w:rsidR="007E283B">
        <w:rPr>
          <w:noProof/>
        </w:rPr>
        <w:t>6</w:t>
      </w:r>
      <w:r w:rsidR="000973A3">
        <w:fldChar w:fldCharType="end"/>
      </w:r>
      <w:r w:rsidRPr="00563DEE">
        <w:t>).</w:t>
      </w:r>
    </w:p>
    <w:p w14:paraId="53D31741" w14:textId="5F73AA1E" w:rsidR="009249C8" w:rsidRPr="00563DEE" w:rsidRDefault="009249C8" w:rsidP="009249C8">
      <w:pPr>
        <w:pStyle w:val="Caption"/>
      </w:pPr>
      <w:bookmarkStart w:id="19" w:name="_Ref86409973"/>
      <w:r w:rsidRPr="00563DEE">
        <w:lastRenderedPageBreak/>
        <w:t xml:space="preserve">Figure </w:t>
      </w:r>
      <w:r w:rsidR="003B28D9">
        <w:fldChar w:fldCharType="begin"/>
      </w:r>
      <w:r w:rsidR="003B28D9">
        <w:instrText xml:space="preserve"> SEQ Figure \* ARABIC </w:instrText>
      </w:r>
      <w:r w:rsidR="003B28D9">
        <w:fldChar w:fldCharType="separate"/>
      </w:r>
      <w:r w:rsidR="007E283B">
        <w:rPr>
          <w:noProof/>
        </w:rPr>
        <w:t>6</w:t>
      </w:r>
      <w:r w:rsidR="003B28D9">
        <w:rPr>
          <w:noProof/>
        </w:rPr>
        <w:fldChar w:fldCharType="end"/>
      </w:r>
      <w:bookmarkEnd w:id="19"/>
      <w:r w:rsidRPr="00563DEE">
        <w:t xml:space="preserve">: Open access </w:t>
      </w:r>
      <w:r w:rsidR="002B0F78">
        <w:t xml:space="preserve">(OA) </w:t>
      </w:r>
      <w:r w:rsidRPr="00563DEE">
        <w:t>rates and volumes for selected countries.</w:t>
      </w:r>
      <w:r w:rsidR="008709E3">
        <w:rPr>
          <w:rStyle w:val="FootnoteReference"/>
        </w:rPr>
        <w:footnoteReference w:id="67"/>
      </w:r>
    </w:p>
    <w:p w14:paraId="1D417998" w14:textId="761C7F54" w:rsidR="009249C8" w:rsidRPr="00563DEE" w:rsidRDefault="009249C8" w:rsidP="0049386A">
      <w:pPr>
        <w:pStyle w:val="BodyText"/>
        <w:jc w:val="center"/>
      </w:pPr>
      <w:r w:rsidRPr="00563DEE">
        <w:rPr>
          <w:noProof/>
        </w:rPr>
        <w:drawing>
          <wp:inline distT="0" distB="0" distL="0" distR="0" wp14:anchorId="3E4DA065" wp14:editId="44ED98D1">
            <wp:extent cx="4999904" cy="2419928"/>
            <wp:effectExtent l="0" t="0" r="0" b="0"/>
            <wp:docPr id="2" name="Picture 2" descr="A bubble chart showing the number of open access papers published by country in the year 2020 on the x-axis and open access papers as percentages of all papers on the y-axis. China and the USA sit on the right of the chart with more than 200,000 open access papers each, and approximately 35% of all papers being open access. Australia also has a similar rate of open access publishing with around 35% of papers being open access but a much smaller volume less than 50,000 papers. open access papers. The charted European nations tend to have higher rates of open access publishing, led by the Netherlands with over 60% of papers published as open ac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bble chart showing the number of open access papers published by country in the year 2020 on the x-axis and open access papers as percentages of all papers on the y-axis. China and the USA sit on the right of the chart with more than 200,000 open access papers each, and approximately 35% of all papers being open access. Australia also has a similar rate of open access publishing with around 35% of papers being open access but a much smaller volume less than 50,000 papers. open access papers. The charted European nations tend to have higher rates of open access publishing, led by the Netherlands with over 60% of papers published as open acces. "/>
                    <pic:cNvPicPr/>
                  </pic:nvPicPr>
                  <pic:blipFill rotWithShape="1">
                    <a:blip r:embed="rId58"/>
                    <a:srcRect t="15601"/>
                    <a:stretch/>
                  </pic:blipFill>
                  <pic:spPr bwMode="auto">
                    <a:xfrm>
                      <a:off x="0" y="0"/>
                      <a:ext cx="5004223" cy="2422018"/>
                    </a:xfrm>
                    <a:prstGeom prst="rect">
                      <a:avLst/>
                    </a:prstGeom>
                    <a:ln>
                      <a:noFill/>
                    </a:ln>
                    <a:extLst>
                      <a:ext uri="{53640926-AAD7-44D8-BBD7-CCE9431645EC}">
                        <a14:shadowObscured xmlns:a14="http://schemas.microsoft.com/office/drawing/2010/main"/>
                      </a:ext>
                    </a:extLst>
                  </pic:spPr>
                </pic:pic>
              </a:graphicData>
            </a:graphic>
          </wp:inline>
        </w:drawing>
      </w:r>
    </w:p>
    <w:p w14:paraId="3A2F28B2" w14:textId="503C7BCB" w:rsidR="002A196E" w:rsidRDefault="005E6933" w:rsidP="00A47B69">
      <w:pPr>
        <w:pStyle w:val="BodyText"/>
      </w:pPr>
      <w:r w:rsidRPr="00563DEE">
        <w:t xml:space="preserve">Based on current trajectories in </w:t>
      </w:r>
      <w:r w:rsidR="10E22886" w:rsidRPr="00563DEE">
        <w:t>research publication</w:t>
      </w:r>
      <w:r w:rsidRPr="00563DEE">
        <w:t xml:space="preserve"> rates, it is plausible that almost 60% of Australia’s 2026 publication output will be openly accessible.</w:t>
      </w:r>
      <w:r w:rsidRPr="6452823E">
        <w:rPr>
          <w:rStyle w:val="FootnoteReference"/>
          <w:rFonts w:cstheme="minorBidi"/>
        </w:rPr>
        <w:footnoteReference w:id="68"/>
      </w:r>
      <w:r w:rsidRPr="00563DEE">
        <w:t xml:space="preserve"> Open access growth for Australia </w:t>
      </w:r>
      <w:r w:rsidR="000673FE">
        <w:t>between</w:t>
      </w:r>
      <w:r w:rsidR="00872080">
        <w:t xml:space="preserve"> </w:t>
      </w:r>
      <w:r w:rsidR="000673FE">
        <w:t xml:space="preserve">2000-2020 </w:t>
      </w:r>
      <w:r w:rsidRPr="00563DEE">
        <w:t>averaged 13% per year, whereas total publication growth averaged 9%</w:t>
      </w:r>
      <w:r w:rsidR="000673FE">
        <w:t xml:space="preserve"> for the same period</w:t>
      </w:r>
      <w:r w:rsidRPr="00563DEE">
        <w:t>.</w:t>
      </w:r>
      <w:r w:rsidRPr="6452823E">
        <w:rPr>
          <w:rStyle w:val="FootnoteReference"/>
          <w:rFonts w:cstheme="minorBidi"/>
        </w:rPr>
        <w:footnoteReference w:id="69"/>
      </w:r>
      <w:r w:rsidRPr="00563DEE">
        <w:t xml:space="preserve"> If these growth rates continue</w:t>
      </w:r>
      <w:r w:rsidR="000673FE">
        <w:t>,</w:t>
      </w:r>
      <w:r w:rsidR="009C0591" w:rsidRPr="00563DEE">
        <w:t xml:space="preserve"> then</w:t>
      </w:r>
      <w:r w:rsidRPr="00563DEE">
        <w:t xml:space="preserve"> </w:t>
      </w:r>
      <w:r>
        <w:t xml:space="preserve">all new Australian </w:t>
      </w:r>
      <w:r w:rsidR="00386AB9">
        <w:t>research publications</w:t>
      </w:r>
      <w:r>
        <w:t xml:space="preserve"> would be open access by around </w:t>
      </w:r>
      <w:r w:rsidRPr="00563DEE">
        <w:t xml:space="preserve">2039 (see </w:t>
      </w:r>
      <w:r w:rsidRPr="007D35E9">
        <w:fldChar w:fldCharType="begin"/>
      </w:r>
      <w:r w:rsidRPr="007D35E9">
        <w:instrText xml:space="preserve"> REF _Ref84594088 \h  \* MERGEFORMAT </w:instrText>
      </w:r>
      <w:r w:rsidRPr="007D35E9">
        <w:fldChar w:fldCharType="separate"/>
      </w:r>
      <w:r w:rsidR="007E283B" w:rsidRPr="00563DEE">
        <w:t xml:space="preserve">Figure </w:t>
      </w:r>
      <w:r w:rsidR="007E283B">
        <w:rPr>
          <w:noProof/>
        </w:rPr>
        <w:t>7</w:t>
      </w:r>
      <w:r w:rsidRPr="007D35E9">
        <w:fldChar w:fldCharType="end"/>
      </w:r>
      <w:r w:rsidRPr="007D35E9">
        <w:t xml:space="preserve">). </w:t>
      </w:r>
    </w:p>
    <w:p w14:paraId="23D8E608" w14:textId="7A6EDD84" w:rsidR="005E6933" w:rsidRPr="00563DEE" w:rsidRDefault="005E6933" w:rsidP="00A47B69">
      <w:pPr>
        <w:pStyle w:val="BodyText"/>
      </w:pPr>
      <w:r w:rsidRPr="00563DEE">
        <w:t xml:space="preserve">Acknowledging that persistent compounding growth is likely to be an overestimate of future publication rates, these growth rates were halved and projected forward </w:t>
      </w:r>
      <w:r w:rsidR="0007449E">
        <w:t>to describe more pessimistic scenarios for both Australia’s total and open access publication output</w:t>
      </w:r>
      <w:r w:rsidRPr="00563DEE">
        <w:t xml:space="preserve">. Under these </w:t>
      </w:r>
      <w:r w:rsidR="00B2139A">
        <w:t>halved</w:t>
      </w:r>
      <w:r w:rsidR="00820782">
        <w:t xml:space="preserve"> </w:t>
      </w:r>
      <w:r w:rsidR="00B2139A">
        <w:t>growth scenario</w:t>
      </w:r>
      <w:r w:rsidR="0007449E">
        <w:t>s</w:t>
      </w:r>
      <w:r w:rsidRPr="00563DEE">
        <w:t xml:space="preserve">, </w:t>
      </w:r>
      <w:r w:rsidR="0007449E">
        <w:t>only</w:t>
      </w:r>
      <w:r w:rsidRPr="00563DEE">
        <w:t xml:space="preserve"> </w:t>
      </w:r>
      <w:r>
        <w:t>70</w:t>
      </w:r>
      <w:r w:rsidRPr="00563DEE">
        <w:t xml:space="preserve">% of Australia’s </w:t>
      </w:r>
      <w:r w:rsidR="009227F9">
        <w:t xml:space="preserve">research </w:t>
      </w:r>
      <w:r w:rsidRPr="00563DEE">
        <w:t>publication</w:t>
      </w:r>
      <w:r w:rsidR="009227F9">
        <w:t>s</w:t>
      </w:r>
      <w:r w:rsidRPr="00563DEE">
        <w:t xml:space="preserve"> </w:t>
      </w:r>
      <w:r>
        <w:t>would be open</w:t>
      </w:r>
      <w:r w:rsidR="000673FE">
        <w:t>ly</w:t>
      </w:r>
      <w:r>
        <w:t xml:space="preserve"> access</w:t>
      </w:r>
      <w:r w:rsidR="000673FE">
        <w:t>ible</w:t>
      </w:r>
      <w:r>
        <w:t xml:space="preserve"> </w:t>
      </w:r>
      <w:r w:rsidRPr="00563DEE">
        <w:t>by 2039</w:t>
      </w:r>
      <w:r w:rsidR="0007449E">
        <w:t xml:space="preserve"> (see </w:t>
      </w:r>
      <w:r w:rsidR="0007449E" w:rsidRPr="00563DEE">
        <w:fldChar w:fldCharType="begin"/>
      </w:r>
      <w:r w:rsidR="0007449E" w:rsidRPr="00563DEE">
        <w:instrText xml:space="preserve"> REF _Ref84594088 \h </w:instrText>
      </w:r>
      <w:r w:rsidR="0007449E">
        <w:instrText xml:space="preserve"> \* MERGEFORMAT </w:instrText>
      </w:r>
      <w:r w:rsidR="0007449E" w:rsidRPr="00563DEE">
        <w:fldChar w:fldCharType="separate"/>
      </w:r>
      <w:r w:rsidR="007E283B" w:rsidRPr="00563DEE">
        <w:t xml:space="preserve">Figure </w:t>
      </w:r>
      <w:r w:rsidR="007E283B">
        <w:rPr>
          <w:noProof/>
        </w:rPr>
        <w:t>7</w:t>
      </w:r>
      <w:r w:rsidR="0007449E" w:rsidRPr="00563DEE">
        <w:fldChar w:fldCharType="end"/>
      </w:r>
      <w:r w:rsidR="0007449E">
        <w:t>)</w:t>
      </w:r>
      <w:r w:rsidRPr="00563DEE">
        <w:t>.</w:t>
      </w:r>
    </w:p>
    <w:p w14:paraId="116858BF" w14:textId="64E493BB" w:rsidR="002A6DED" w:rsidRPr="00563DEE" w:rsidRDefault="005E6933" w:rsidP="002A6DED">
      <w:pPr>
        <w:pStyle w:val="Caption"/>
      </w:pPr>
      <w:bookmarkStart w:id="20" w:name="_Ref84594088"/>
      <w:bookmarkStart w:id="21" w:name="_Ref84594083"/>
      <w:r w:rsidRPr="00563DEE">
        <w:lastRenderedPageBreak/>
        <w:t xml:space="preserve">Figure </w:t>
      </w:r>
      <w:r w:rsidR="003B28D9">
        <w:fldChar w:fldCharType="begin"/>
      </w:r>
      <w:r w:rsidR="003B28D9">
        <w:instrText xml:space="preserve"> SEQ Figure \* ARABIC </w:instrText>
      </w:r>
      <w:r w:rsidR="003B28D9">
        <w:fldChar w:fldCharType="separate"/>
      </w:r>
      <w:r w:rsidR="007E283B">
        <w:rPr>
          <w:noProof/>
        </w:rPr>
        <w:t>7</w:t>
      </w:r>
      <w:r w:rsidR="003B28D9">
        <w:rPr>
          <w:noProof/>
        </w:rPr>
        <w:fldChar w:fldCharType="end"/>
      </w:r>
      <w:bookmarkEnd w:id="20"/>
      <w:bookmarkEnd w:id="21"/>
      <w:r w:rsidRPr="00563DEE">
        <w:t xml:space="preserve">: Total </w:t>
      </w:r>
      <w:r w:rsidR="002A6DED" w:rsidRPr="00563DEE">
        <w:t>and open</w:t>
      </w:r>
      <w:r w:rsidR="004B4893">
        <w:t>ly</w:t>
      </w:r>
      <w:r w:rsidR="002A6DED" w:rsidRPr="00563DEE">
        <w:t xml:space="preserve"> access</w:t>
      </w:r>
      <w:r w:rsidR="004B4893">
        <w:t>ible</w:t>
      </w:r>
      <w:r w:rsidR="002A6DED" w:rsidRPr="00563DEE">
        <w:t xml:space="preserve"> </w:t>
      </w:r>
      <w:r w:rsidR="00D50D19">
        <w:t>publications</w:t>
      </w:r>
      <w:r w:rsidR="002A6DED" w:rsidRPr="00563DEE">
        <w:t xml:space="preserve"> projected based on </w:t>
      </w:r>
      <w:r w:rsidR="002A6DED" w:rsidRPr="00B0640C">
        <w:t>Curtin Open Knowledge Institute</w:t>
      </w:r>
      <w:r w:rsidR="002A6DED" w:rsidRPr="00563DEE">
        <w:t xml:space="preserve"> </w:t>
      </w:r>
      <w:r w:rsidR="002A6DED">
        <w:t>(</w:t>
      </w:r>
      <w:r w:rsidR="002A6DED" w:rsidRPr="00563DEE">
        <w:t>COKI</w:t>
      </w:r>
      <w:r w:rsidR="002A6DED">
        <w:t>)</w:t>
      </w:r>
      <w:r w:rsidR="002A6DED" w:rsidRPr="00563DEE">
        <w:t xml:space="preserve"> </w:t>
      </w:r>
      <w:r w:rsidR="002A6DED" w:rsidRPr="00544358">
        <w:t>data</w:t>
      </w:r>
    </w:p>
    <w:p w14:paraId="493951F2" w14:textId="4F3799E7" w:rsidR="013BB813" w:rsidRDefault="013BB813" w:rsidP="1AA62E3D">
      <w:pPr>
        <w:pStyle w:val="BodyText"/>
        <w:rPr>
          <w:color w:val="000000" w:themeColor="text2"/>
          <w:szCs w:val="24"/>
        </w:rPr>
      </w:pPr>
      <w:bookmarkStart w:id="22" w:name="_Ref86340936"/>
      <w:bookmarkStart w:id="23" w:name="_Ref86341108"/>
      <w:bookmarkStart w:id="24" w:name="_Toc81297008"/>
      <w:r>
        <w:rPr>
          <w:noProof/>
        </w:rPr>
        <w:drawing>
          <wp:inline distT="0" distB="0" distL="0" distR="0" wp14:anchorId="48D391E9" wp14:editId="769327C3">
            <wp:extent cx="5827690" cy="3773510"/>
            <wp:effectExtent l="0" t="0" r="1905" b="0"/>
            <wp:docPr id="2131389042" name="Picture 2131389042" descr="A line chart showing the increasing number of total and open access research publications from 2002 to 2020 and the projected growth and halved projected growth increasing from 2020 to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9042" name="Picture 2131389042" descr="A line chart showing the increasing number of total and open access research publications from 2002 to 2020 and the projected growth and halved projected growth increasing from 2020 to 2038."/>
                    <pic:cNvPicPr/>
                  </pic:nvPicPr>
                  <pic:blipFill rotWithShape="1">
                    <a:blip r:embed="rId59">
                      <a:extLst>
                        <a:ext uri="{28A0092B-C50C-407E-A947-70E740481C1C}">
                          <a14:useLocalDpi xmlns:a14="http://schemas.microsoft.com/office/drawing/2010/main" val="0"/>
                        </a:ext>
                      </a:extLst>
                    </a:blip>
                    <a:srcRect l="655" t="1002" r="501" b="1160"/>
                    <a:stretch/>
                  </pic:blipFill>
                  <pic:spPr bwMode="auto">
                    <a:xfrm>
                      <a:off x="0" y="0"/>
                      <a:ext cx="5828806" cy="3774232"/>
                    </a:xfrm>
                    <a:prstGeom prst="rect">
                      <a:avLst/>
                    </a:prstGeom>
                    <a:ln>
                      <a:noFill/>
                    </a:ln>
                    <a:extLst>
                      <a:ext uri="{53640926-AAD7-44D8-BBD7-CCE9431645EC}">
                        <a14:shadowObscured xmlns:a14="http://schemas.microsoft.com/office/drawing/2010/main"/>
                      </a:ext>
                    </a:extLst>
                  </pic:spPr>
                </pic:pic>
              </a:graphicData>
            </a:graphic>
          </wp:inline>
        </w:drawing>
      </w:r>
    </w:p>
    <w:p w14:paraId="70FA63B8" w14:textId="5C0F3EA6" w:rsidR="005E6933" w:rsidRDefault="005E6933" w:rsidP="005E6933">
      <w:pPr>
        <w:pStyle w:val="Heading2"/>
      </w:pPr>
      <w:bookmarkStart w:id="25" w:name="_Ref87621411"/>
      <w:bookmarkStart w:id="26" w:name="_Toc87629933"/>
      <w:r>
        <w:t>Current expenditure on journal subscriptions and open access publishing</w:t>
      </w:r>
      <w:bookmarkEnd w:id="22"/>
      <w:bookmarkEnd w:id="23"/>
      <w:bookmarkEnd w:id="25"/>
      <w:bookmarkEnd w:id="26"/>
    </w:p>
    <w:p w14:paraId="23C1EBB6" w14:textId="44B949F1" w:rsidR="002249EC" w:rsidRDefault="005E6933" w:rsidP="006425B7">
      <w:pPr>
        <w:pStyle w:val="BodyText"/>
      </w:pPr>
      <w:r w:rsidRPr="00563DEE">
        <w:t>A survey of stakeholders found that Australian organisations spent over $3</w:t>
      </w:r>
      <w:r>
        <w:t>21</w:t>
      </w:r>
      <w:r w:rsidRPr="00563DEE">
        <w:t xml:space="preserve"> million on journal subscription and open access publishing in 2020</w:t>
      </w:r>
      <w:r w:rsidR="00C06DF1">
        <w:t xml:space="preserve"> (</w:t>
      </w:r>
      <w:r w:rsidR="00E17312">
        <w:t>s</w:t>
      </w:r>
      <w:r w:rsidR="00C06DF1">
        <w:t xml:space="preserve">ee </w:t>
      </w:r>
      <w:r w:rsidR="00C06DF1" w:rsidRPr="007D35E9">
        <w:fldChar w:fldCharType="begin"/>
      </w:r>
      <w:r w:rsidR="00C06DF1" w:rsidRPr="007D35E9">
        <w:instrText xml:space="preserve"> REF _Ref84506844 \h  \* MERGEFORMAT </w:instrText>
      </w:r>
      <w:r w:rsidR="00C06DF1" w:rsidRPr="007D35E9">
        <w:fldChar w:fldCharType="separate"/>
      </w:r>
      <w:r w:rsidR="007E283B" w:rsidRPr="00563DEE">
        <w:t xml:space="preserve">Table </w:t>
      </w:r>
      <w:r w:rsidR="007E283B">
        <w:rPr>
          <w:noProof/>
        </w:rPr>
        <w:t>2</w:t>
      </w:r>
      <w:r w:rsidR="00C06DF1" w:rsidRPr="007D35E9">
        <w:fldChar w:fldCharType="end"/>
      </w:r>
      <w:r w:rsidR="00C06DF1">
        <w:t xml:space="preserve"> and </w:t>
      </w:r>
      <w:r w:rsidR="00C06DF1">
        <w:rPr>
          <w:b/>
          <w:bCs/>
          <w:color w:val="757579" w:themeColor="accent3"/>
          <w:sz w:val="20"/>
          <w:szCs w:val="18"/>
        </w:rPr>
        <w:fldChar w:fldCharType="begin"/>
      </w:r>
      <w:r w:rsidR="00C06DF1">
        <w:instrText xml:space="preserve"> REF _Ref86316252 \h </w:instrText>
      </w:r>
      <w:r w:rsidR="006425B7">
        <w:instrText xml:space="preserve"> \* MERGEFORMAT </w:instrText>
      </w:r>
      <w:r w:rsidR="00C06DF1">
        <w:rPr>
          <w:b/>
          <w:bCs/>
          <w:color w:val="757579" w:themeColor="accent3"/>
          <w:sz w:val="20"/>
          <w:szCs w:val="18"/>
        </w:rPr>
      </w:r>
      <w:r w:rsidR="00C06DF1">
        <w:rPr>
          <w:b/>
          <w:bCs/>
          <w:color w:val="757579" w:themeColor="accent3"/>
          <w:sz w:val="20"/>
          <w:szCs w:val="18"/>
        </w:rPr>
        <w:fldChar w:fldCharType="separate"/>
      </w:r>
      <w:r w:rsidR="007E283B" w:rsidRPr="00563DEE">
        <w:t xml:space="preserve">Figure </w:t>
      </w:r>
      <w:r w:rsidR="007E283B">
        <w:rPr>
          <w:noProof/>
        </w:rPr>
        <w:t>8</w:t>
      </w:r>
      <w:r w:rsidR="00C06DF1">
        <w:fldChar w:fldCharType="end"/>
      </w:r>
      <w:r w:rsidR="00C06DF1">
        <w:t>)</w:t>
      </w:r>
      <w:r w:rsidRPr="00563DEE">
        <w:t>.</w:t>
      </w:r>
      <w:r w:rsidRPr="00563DEE">
        <w:rPr>
          <w:rStyle w:val="FootnoteReference"/>
          <w:rFonts w:cstheme="minorHAnsi"/>
        </w:rPr>
        <w:footnoteReference w:id="70"/>
      </w:r>
      <w:r w:rsidR="002249EC" w:rsidRPr="002249EC">
        <w:t xml:space="preserve"> </w:t>
      </w:r>
      <w:r w:rsidR="002249EC">
        <w:t xml:space="preserve">In addition, Australian peer reviewers contribute in the order of </w:t>
      </w:r>
      <w:r w:rsidR="002249EC" w:rsidRPr="00C06AB2">
        <w:t>$18.3</w:t>
      </w:r>
      <w:r w:rsidR="002249EC">
        <w:t>-</w:t>
      </w:r>
      <w:r w:rsidR="002249EC" w:rsidRPr="00C06AB2">
        <w:t>36.</w:t>
      </w:r>
      <w:r w:rsidR="002249EC">
        <w:t>6 million of in-kind value annually.</w:t>
      </w:r>
      <w:r w:rsidR="002249EC">
        <w:rPr>
          <w:rStyle w:val="FootnoteReference"/>
        </w:rPr>
        <w:footnoteReference w:id="71"/>
      </w:r>
      <w:r w:rsidR="002249EC">
        <w:t xml:space="preserve"> </w:t>
      </w:r>
    </w:p>
    <w:p w14:paraId="37E17604" w14:textId="22778B44" w:rsidR="005D55AD" w:rsidRDefault="005E6933" w:rsidP="00A47B69">
      <w:pPr>
        <w:pStyle w:val="BodyText"/>
      </w:pPr>
      <w:r w:rsidRPr="00563DEE">
        <w:t xml:space="preserve">Poor visibility of APC expenditure in many organisations and limited responses from non-university stakeholders (including no responses from industry stakeholders) suggest this is an underestimate of Australia’s total expenditure. </w:t>
      </w:r>
      <w:r w:rsidR="00A40DDB" w:rsidRPr="00563DEE">
        <w:t>Respondents noted several issues associated with APC expenditure, including expenditure not being tracked and reported by their institution and the variety of fund</w:t>
      </w:r>
      <w:r w:rsidR="00A40DDB">
        <w:t>ing source</w:t>
      </w:r>
      <w:r w:rsidR="00A40DDB" w:rsidRPr="00563DEE">
        <w:t xml:space="preserve">s (e.g., research grants, personal, </w:t>
      </w:r>
      <w:r w:rsidR="00A40DDB">
        <w:t>faculty</w:t>
      </w:r>
      <w:r w:rsidR="00A40DDB" w:rsidRPr="00563DEE">
        <w:t xml:space="preserve"> budgets) that can be used to pay APCs. In addition, estimates may also be affected by fee-waivers or contributions from other authors from different institutions. </w:t>
      </w:r>
      <w:r w:rsidR="00E63451">
        <w:t xml:space="preserve">A </w:t>
      </w:r>
      <w:r w:rsidRPr="00563DEE">
        <w:t>nationally coordinated approach</w:t>
      </w:r>
      <w:r w:rsidR="00E63451">
        <w:t xml:space="preserve"> to </w:t>
      </w:r>
      <w:r w:rsidR="00697073">
        <w:t xml:space="preserve">journal subscriptions and open access publishing </w:t>
      </w:r>
      <w:r w:rsidR="00E63451">
        <w:t>may help to address this poor visibility</w:t>
      </w:r>
      <w:r w:rsidRPr="00563DEE">
        <w:t xml:space="preserve">. </w:t>
      </w:r>
    </w:p>
    <w:p w14:paraId="6BF098A8" w14:textId="55319525" w:rsidR="00934282" w:rsidRPr="00563DEE" w:rsidRDefault="00934282" w:rsidP="00934282">
      <w:pPr>
        <w:pStyle w:val="Caption"/>
      </w:pPr>
      <w:bookmarkStart w:id="27" w:name="_Ref84506844"/>
      <w:r w:rsidRPr="00563DEE">
        <w:lastRenderedPageBreak/>
        <w:t xml:space="preserve">Table </w:t>
      </w:r>
      <w:r w:rsidR="003B28D9">
        <w:fldChar w:fldCharType="begin"/>
      </w:r>
      <w:r w:rsidR="003B28D9">
        <w:instrText xml:space="preserve"> SEQ Table \* ARABIC </w:instrText>
      </w:r>
      <w:r w:rsidR="003B28D9">
        <w:fldChar w:fldCharType="separate"/>
      </w:r>
      <w:r w:rsidR="007E283B">
        <w:rPr>
          <w:noProof/>
        </w:rPr>
        <w:t>2</w:t>
      </w:r>
      <w:r w:rsidR="003B28D9">
        <w:rPr>
          <w:noProof/>
        </w:rPr>
        <w:fldChar w:fldCharType="end"/>
      </w:r>
      <w:bookmarkEnd w:id="27"/>
      <w:r w:rsidRPr="00563DEE">
        <w:t xml:space="preserve">: </w:t>
      </w:r>
      <w:r w:rsidR="00507A22">
        <w:t>Reported</w:t>
      </w:r>
      <w:r w:rsidRPr="00563DEE">
        <w:t xml:space="preserve"> expenditure on journal subscriptions and open access publishing</w:t>
      </w:r>
    </w:p>
    <w:tbl>
      <w:tblPr>
        <w:tblStyle w:val="ListTable3-Accent1"/>
        <w:tblW w:w="9864" w:type="dxa"/>
        <w:tblLook w:val="04A0" w:firstRow="1" w:lastRow="0" w:firstColumn="1" w:lastColumn="0" w:noHBand="0" w:noVBand="1"/>
      </w:tblPr>
      <w:tblGrid>
        <w:gridCol w:w="1675"/>
        <w:gridCol w:w="2099"/>
        <w:gridCol w:w="6090"/>
      </w:tblGrid>
      <w:tr w:rsidR="00934282" w:rsidRPr="007D35E9" w14:paraId="2F464B90" w14:textId="77777777" w:rsidTr="003A36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81D6011" w14:textId="77777777" w:rsidR="00934282" w:rsidRPr="00753167" w:rsidRDefault="00934282" w:rsidP="003A36CD">
            <w:pPr>
              <w:pStyle w:val="ColumnHeading"/>
              <w:keepNext/>
              <w:rPr>
                <w:color w:val="auto"/>
              </w:rPr>
            </w:pPr>
          </w:p>
        </w:tc>
        <w:tc>
          <w:tcPr>
            <w:tcW w:w="2099" w:type="dxa"/>
            <w:vAlign w:val="center"/>
          </w:tcPr>
          <w:p w14:paraId="69FB298A" w14:textId="77777777" w:rsidR="00934282" w:rsidRPr="00753167" w:rsidRDefault="00934282" w:rsidP="003A36CD">
            <w:pPr>
              <w:pStyle w:val="ColumnHeading"/>
              <w:keepNext/>
              <w:cnfStyle w:val="100000000000" w:firstRow="1" w:lastRow="0" w:firstColumn="0" w:lastColumn="0" w:oddVBand="0" w:evenVBand="0" w:oddHBand="0" w:evenHBand="0" w:firstRowFirstColumn="0" w:firstRowLastColumn="0" w:lastRowFirstColumn="0" w:lastRowLastColumn="0"/>
              <w:rPr>
                <w:b/>
                <w:color w:val="auto"/>
              </w:rPr>
            </w:pPr>
            <w:r w:rsidRPr="00753167">
              <w:rPr>
                <w:b/>
                <w:color w:val="auto"/>
              </w:rPr>
              <w:t>Reported expenditure</w:t>
            </w:r>
          </w:p>
        </w:tc>
        <w:tc>
          <w:tcPr>
            <w:tcW w:w="0" w:type="auto"/>
            <w:vAlign w:val="center"/>
          </w:tcPr>
          <w:p w14:paraId="63758A44" w14:textId="77777777" w:rsidR="00934282" w:rsidRPr="00753167" w:rsidDel="008D520D" w:rsidRDefault="00934282" w:rsidP="003A36CD">
            <w:pPr>
              <w:pStyle w:val="ColumnHeading"/>
              <w:keepNext/>
              <w:cnfStyle w:val="100000000000" w:firstRow="1" w:lastRow="0" w:firstColumn="0" w:lastColumn="0" w:oddVBand="0" w:evenVBand="0" w:oddHBand="0" w:evenHBand="0" w:firstRowFirstColumn="0" w:firstRowLastColumn="0" w:lastRowFirstColumn="0" w:lastRowLastColumn="0"/>
              <w:rPr>
                <w:color w:val="auto"/>
              </w:rPr>
            </w:pPr>
            <w:r w:rsidRPr="00753167">
              <w:rPr>
                <w:b/>
                <w:color w:val="auto"/>
              </w:rPr>
              <w:t>Trends</w:t>
            </w:r>
          </w:p>
        </w:tc>
      </w:tr>
      <w:tr w:rsidR="00934282" w:rsidRPr="007D35E9" w14:paraId="50E378F4" w14:textId="77777777" w:rsidTr="003A3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CDACA1" w14:textId="77777777" w:rsidR="00934282" w:rsidRPr="007D35E9" w:rsidRDefault="00934282" w:rsidP="003A36CD">
            <w:pPr>
              <w:pStyle w:val="RowHeading"/>
              <w:keepNext/>
            </w:pPr>
            <w:r w:rsidRPr="00190DB4">
              <w:rPr>
                <w:b/>
              </w:rPr>
              <w:t>Journal subscriptions</w:t>
            </w:r>
          </w:p>
        </w:tc>
        <w:tc>
          <w:tcPr>
            <w:tcW w:w="2099" w:type="dxa"/>
            <w:vAlign w:val="center"/>
          </w:tcPr>
          <w:p w14:paraId="0B6463C0" w14:textId="77777777" w:rsidR="00934282" w:rsidRPr="007E464D" w:rsidRDefault="00934282" w:rsidP="003A36CD">
            <w:pPr>
              <w:pStyle w:val="BodyText"/>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7E464D">
              <w:rPr>
                <w:rFonts w:asciiTheme="minorHAnsi" w:hAnsiTheme="minorHAnsi"/>
                <w:bCs/>
              </w:rPr>
              <w:t>$302.9M+</w:t>
            </w:r>
          </w:p>
        </w:tc>
        <w:tc>
          <w:tcPr>
            <w:tcW w:w="0" w:type="auto"/>
            <w:vAlign w:val="center"/>
          </w:tcPr>
          <w:p w14:paraId="25536643" w14:textId="4176B6EF" w:rsidR="00934282" w:rsidRPr="007D35E9" w:rsidRDefault="00934282" w:rsidP="003A36CD">
            <w:pPr>
              <w:pStyle w:val="TableText"/>
              <w:keepNext/>
              <w:cnfStyle w:val="000000100000" w:firstRow="0" w:lastRow="0" w:firstColumn="0" w:lastColumn="0" w:oddVBand="0" w:evenVBand="0" w:oddHBand="1" w:evenHBand="0" w:firstRowFirstColumn="0" w:firstRowLastColumn="0" w:lastRowFirstColumn="0" w:lastRowLastColumn="0"/>
            </w:pPr>
            <w:r>
              <w:t xml:space="preserve">The </w:t>
            </w:r>
            <w:r w:rsidRPr="007D35E9">
              <w:t>total cost of journal subscriptions for Australian university libraries increased by about 40% between 2009</w:t>
            </w:r>
            <w:r>
              <w:t xml:space="preserve"> and</w:t>
            </w:r>
            <w:r w:rsidRPr="007D35E9">
              <w:t xml:space="preserve"> </w:t>
            </w:r>
            <w:r>
              <w:t>2016</w:t>
            </w:r>
            <w:r w:rsidRPr="007D35E9">
              <w:t xml:space="preserve">. This increase was largely due to significant, higher than consumer price index (CPI) subscription price increases each year </w:t>
            </w:r>
            <w:r>
              <w:t>and</w:t>
            </w:r>
            <w:r w:rsidRPr="007D35E9">
              <w:t xml:space="preserve"> was further impacted by a weaker Australian dollar.</w:t>
            </w:r>
            <w:r w:rsidRPr="007D35E9">
              <w:rPr>
                <w:vertAlign w:val="superscript"/>
              </w:rPr>
              <w:footnoteReference w:id="72"/>
            </w:r>
            <w:r w:rsidRPr="007D35E9">
              <w:rPr>
                <w:vertAlign w:val="superscript"/>
              </w:rPr>
              <w:t xml:space="preserve"> </w:t>
            </w:r>
          </w:p>
          <w:p w14:paraId="0B86E3F2" w14:textId="197F22B5" w:rsidR="00934282" w:rsidRPr="00190DB4" w:rsidRDefault="00934282" w:rsidP="006425B7">
            <w:pPr>
              <w:pStyle w:val="TableText"/>
              <w:cnfStyle w:val="000000100000" w:firstRow="0" w:lastRow="0" w:firstColumn="0" w:lastColumn="0" w:oddVBand="0" w:evenVBand="0" w:oddHBand="1" w:evenHBand="0" w:firstRowFirstColumn="0" w:firstRowLastColumn="0" w:lastRowFirstColumn="0" w:lastRowLastColumn="0"/>
            </w:pPr>
            <w:r w:rsidRPr="007D35E9">
              <w:t>However, since 2016</w:t>
            </w:r>
            <w:r>
              <w:t>,</w:t>
            </w:r>
            <w:r w:rsidRPr="007D35E9">
              <w:t xml:space="preserve"> total expenditure on subscriptions by universities appears to have stabilised (see</w:t>
            </w:r>
            <w:r w:rsidR="006425B7">
              <w:t xml:space="preserve"> </w:t>
            </w:r>
            <w:r w:rsidR="006425B7">
              <w:fldChar w:fldCharType="begin"/>
            </w:r>
            <w:r w:rsidR="006425B7">
              <w:instrText xml:space="preserve"> REF _Ref87949617 \h </w:instrText>
            </w:r>
            <w:r w:rsidR="006425B7">
              <w:fldChar w:fldCharType="separate"/>
            </w:r>
            <w:r w:rsidR="007E283B" w:rsidRPr="00563DEE">
              <w:t xml:space="preserve">Figure </w:t>
            </w:r>
            <w:r w:rsidR="007E283B">
              <w:rPr>
                <w:noProof/>
              </w:rPr>
              <w:t>9</w:t>
            </w:r>
            <w:r w:rsidR="006425B7">
              <w:fldChar w:fldCharType="end"/>
            </w:r>
            <w:r w:rsidRPr="00190DB4">
              <w:t>).</w:t>
            </w:r>
          </w:p>
        </w:tc>
      </w:tr>
      <w:tr w:rsidR="00934282" w:rsidRPr="007D35E9" w14:paraId="3082495E" w14:textId="77777777" w:rsidTr="003A36CD">
        <w:tc>
          <w:tcPr>
            <w:cnfStyle w:val="001000000000" w:firstRow="0" w:lastRow="0" w:firstColumn="1" w:lastColumn="0" w:oddVBand="0" w:evenVBand="0" w:oddHBand="0" w:evenHBand="0" w:firstRowFirstColumn="0" w:firstRowLastColumn="0" w:lastRowFirstColumn="0" w:lastRowLastColumn="0"/>
            <w:tcW w:w="0" w:type="auto"/>
            <w:vAlign w:val="center"/>
          </w:tcPr>
          <w:p w14:paraId="41A411C4" w14:textId="77777777" w:rsidR="00934282" w:rsidRPr="007D35E9" w:rsidRDefault="00934282" w:rsidP="003A36CD">
            <w:pPr>
              <w:pStyle w:val="RowHeading"/>
              <w:keepNext/>
            </w:pPr>
            <w:r w:rsidRPr="00190DB4">
              <w:rPr>
                <w:b/>
              </w:rPr>
              <w:t>APCs</w:t>
            </w:r>
          </w:p>
        </w:tc>
        <w:tc>
          <w:tcPr>
            <w:tcW w:w="2099" w:type="dxa"/>
            <w:vAlign w:val="center"/>
          </w:tcPr>
          <w:p w14:paraId="4E4A5FF9" w14:textId="77777777" w:rsidR="00934282" w:rsidRPr="007E464D" w:rsidRDefault="00934282" w:rsidP="003A36CD">
            <w:pPr>
              <w:pStyle w:val="BodyText"/>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E464D">
              <w:rPr>
                <w:rFonts w:asciiTheme="minorHAnsi" w:hAnsiTheme="minorHAnsi"/>
                <w:bCs/>
              </w:rPr>
              <w:t>$14.5M+</w:t>
            </w:r>
            <w:r w:rsidRPr="007E464D">
              <w:rPr>
                <w:rFonts w:asciiTheme="minorHAnsi" w:hAnsiTheme="minorHAnsi"/>
                <w:bCs/>
              </w:rPr>
              <w:br/>
            </w:r>
          </w:p>
        </w:tc>
        <w:tc>
          <w:tcPr>
            <w:tcW w:w="0" w:type="auto"/>
            <w:tcBorders>
              <w:bottom w:val="single" w:sz="4" w:space="0" w:color="00A9CE" w:themeColor="accent1"/>
            </w:tcBorders>
            <w:vAlign w:val="center"/>
          </w:tcPr>
          <w:p w14:paraId="1650B025" w14:textId="36B57A51" w:rsidR="00934282" w:rsidRPr="00190DB4" w:rsidRDefault="00934282" w:rsidP="003A36CD">
            <w:pPr>
              <w:pStyle w:val="TableText"/>
              <w:keepNext/>
              <w:cnfStyle w:val="000000000000" w:firstRow="0" w:lastRow="0" w:firstColumn="0" w:lastColumn="0" w:oddVBand="0" w:evenVBand="0" w:oddHBand="0" w:evenHBand="0" w:firstRowFirstColumn="0" w:firstRowLastColumn="0" w:lastRowFirstColumn="0" w:lastRowLastColumn="0"/>
            </w:pPr>
            <w:r>
              <w:t xml:space="preserve">The percentage of Australia’s journal articles published in gold and hybrid journals rose </w:t>
            </w:r>
            <w:r w:rsidRPr="007D35E9">
              <w:t>from 16.6% in 2012 to 35.2% in 2020.</w:t>
            </w:r>
            <w:r w:rsidRPr="007D35E9">
              <w:rPr>
                <w:rStyle w:val="FootnoteReference"/>
                <w:rFonts w:cstheme="minorHAnsi"/>
                <w:szCs w:val="28"/>
              </w:rPr>
              <w:footnoteReference w:id="73"/>
            </w:r>
            <w:r w:rsidRPr="00190DB4">
              <w:t xml:space="preserve"> This increase in gold and hybrid publishing is likely to have increased </w:t>
            </w:r>
            <w:r>
              <w:t>Australia’s APC expenditure</w:t>
            </w:r>
            <w:r w:rsidRPr="00190DB4">
              <w:t xml:space="preserve">. </w:t>
            </w:r>
          </w:p>
        </w:tc>
      </w:tr>
      <w:tr w:rsidR="00934282" w:rsidRPr="007D35E9" w14:paraId="1A2622D0" w14:textId="77777777" w:rsidTr="003A3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457165" w14:textId="77777777" w:rsidR="00934282" w:rsidRPr="007D35E9" w:rsidRDefault="00934282" w:rsidP="003A36CD">
            <w:pPr>
              <w:pStyle w:val="RowHeading"/>
              <w:keepNext/>
            </w:pPr>
            <w:r w:rsidRPr="00190DB4">
              <w:rPr>
                <w:b/>
              </w:rPr>
              <w:t>Transformative agreements</w:t>
            </w:r>
          </w:p>
        </w:tc>
        <w:tc>
          <w:tcPr>
            <w:tcW w:w="2099" w:type="dxa"/>
            <w:vAlign w:val="center"/>
          </w:tcPr>
          <w:p w14:paraId="301BE5CA" w14:textId="77777777" w:rsidR="00934282" w:rsidRPr="007E464D" w:rsidRDefault="00934282" w:rsidP="003A36CD">
            <w:pPr>
              <w:pStyle w:val="BodyText"/>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7E464D">
              <w:rPr>
                <w:rFonts w:asciiTheme="minorHAnsi" w:hAnsiTheme="minorHAnsi"/>
                <w:bCs/>
              </w:rPr>
              <w:t>$4.1M+</w:t>
            </w:r>
          </w:p>
        </w:tc>
        <w:tc>
          <w:tcPr>
            <w:tcW w:w="0" w:type="auto"/>
            <w:vAlign w:val="center"/>
          </w:tcPr>
          <w:p w14:paraId="394B55C4" w14:textId="77777777" w:rsidR="00934282" w:rsidRPr="00190DB4" w:rsidRDefault="00934282" w:rsidP="003A36CD">
            <w:pPr>
              <w:pStyle w:val="TableText"/>
              <w:keepNext/>
              <w:cnfStyle w:val="000000100000" w:firstRow="0" w:lastRow="0" w:firstColumn="0" w:lastColumn="0" w:oddVBand="0" w:evenVBand="0" w:oddHBand="1" w:evenHBand="0" w:firstRowFirstColumn="0" w:firstRowLastColumn="0" w:lastRowFirstColumn="0" w:lastRowLastColumn="0"/>
            </w:pPr>
            <w:r w:rsidRPr="007D35E9">
              <w:t>Transformative agreements are becoming more common in Australia</w:t>
            </w:r>
            <w:r>
              <w:t>,</w:t>
            </w:r>
            <w:r w:rsidRPr="007D35E9">
              <w:t xml:space="preserve"> with additional agreements announced since the data collection period</w:t>
            </w:r>
            <w:r>
              <w:t xml:space="preserve"> of this prospective analysis</w:t>
            </w:r>
            <w:r w:rsidRPr="007D35E9">
              <w:t>.</w:t>
            </w:r>
            <w:r w:rsidRPr="00190DB4">
              <w:rPr>
                <w:rStyle w:val="FootnoteReference"/>
                <w:rFonts w:cstheme="minorHAnsi"/>
                <w:color w:val="000000" w:themeColor="text1"/>
                <w:szCs w:val="28"/>
              </w:rPr>
              <w:footnoteReference w:id="74"/>
            </w:r>
            <w:r w:rsidRPr="00190DB4">
              <w:t xml:space="preserve"> However, overall expenditure on them is comparatively low and it is too early to see the impact of these agreements on overall costs and open access outcomes. </w:t>
            </w:r>
          </w:p>
        </w:tc>
      </w:tr>
    </w:tbl>
    <w:p w14:paraId="22F8B93E" w14:textId="22FE4C6C" w:rsidR="005E6933" w:rsidRDefault="005E6933" w:rsidP="00A47B69">
      <w:pPr>
        <w:pStyle w:val="Caption"/>
      </w:pPr>
      <w:bookmarkStart w:id="28" w:name="_Ref86316252"/>
      <w:bookmarkEnd w:id="24"/>
      <w:r w:rsidRPr="00563DEE">
        <w:t xml:space="preserve">Figure </w:t>
      </w:r>
      <w:r w:rsidR="003B28D9">
        <w:fldChar w:fldCharType="begin"/>
      </w:r>
      <w:r w:rsidR="003B28D9">
        <w:instrText xml:space="preserve"> SEQ Figure \* ARABIC </w:instrText>
      </w:r>
      <w:r w:rsidR="003B28D9">
        <w:fldChar w:fldCharType="separate"/>
      </w:r>
      <w:r w:rsidR="007E283B">
        <w:rPr>
          <w:noProof/>
        </w:rPr>
        <w:t>8</w:t>
      </w:r>
      <w:r w:rsidR="003B28D9">
        <w:rPr>
          <w:noProof/>
        </w:rPr>
        <w:fldChar w:fldCharType="end"/>
      </w:r>
      <w:bookmarkEnd w:id="28"/>
      <w:r w:rsidRPr="00563DEE">
        <w:t xml:space="preserve">: </w:t>
      </w:r>
      <w:r>
        <w:t xml:space="preserve">Breakdown </w:t>
      </w:r>
      <w:r w:rsidR="004A18F2">
        <w:t>of reported expenditure on journal subscriptions and open access publishing</w:t>
      </w:r>
    </w:p>
    <w:p w14:paraId="0080C155" w14:textId="57BB6B1C" w:rsidR="008553CC" w:rsidRPr="008553CC" w:rsidRDefault="008553CC" w:rsidP="008553CC">
      <w:pPr>
        <w:pStyle w:val="BodyText"/>
        <w:jc w:val="center"/>
      </w:pPr>
      <w:r>
        <w:rPr>
          <w:noProof/>
        </w:rPr>
        <w:drawing>
          <wp:inline distT="0" distB="0" distL="0" distR="0" wp14:anchorId="0760EC40" wp14:editId="2DC6CF2F">
            <wp:extent cx="5163820" cy="2920365"/>
            <wp:effectExtent l="0" t="0" r="0" b="0"/>
            <wp:docPr id="907001596" name="Picture 8" descr="Pie chart of reported expenditure on journal subscriptions and open access publishing. 94% of expenditure was on journal subscriptions. 5% was for Article Processing Charge and approximately 1% was spend on transformativ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01596" name="Picture 8" descr="Pie chart of reported expenditure on journal subscriptions and open access publishing. 94% of expenditure was on journal subscriptions. 5% was for Article Processing Charge and approximately 1% was spend on transformative agreeme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3820" cy="2920365"/>
                    </a:xfrm>
                    <a:prstGeom prst="rect">
                      <a:avLst/>
                    </a:prstGeom>
                    <a:noFill/>
                  </pic:spPr>
                </pic:pic>
              </a:graphicData>
            </a:graphic>
          </wp:inline>
        </w:drawing>
      </w:r>
    </w:p>
    <w:p w14:paraId="38FC40E4" w14:textId="05CA7588" w:rsidR="005109E7" w:rsidRDefault="005109E7" w:rsidP="006425B7">
      <w:pPr>
        <w:pStyle w:val="BodyText"/>
      </w:pPr>
      <w:bookmarkStart w:id="29" w:name="_Ref84496975"/>
    </w:p>
    <w:p w14:paraId="47CC494D" w14:textId="5D7E7069" w:rsidR="006425B7" w:rsidRDefault="006425B7" w:rsidP="006425B7">
      <w:pPr>
        <w:pStyle w:val="Caption"/>
      </w:pPr>
      <w:bookmarkStart w:id="30" w:name="_Ref87949617"/>
      <w:r w:rsidRPr="00563DEE">
        <w:lastRenderedPageBreak/>
        <w:t xml:space="preserve">Figure </w:t>
      </w:r>
      <w:r w:rsidR="003B28D9">
        <w:fldChar w:fldCharType="begin"/>
      </w:r>
      <w:r w:rsidR="003B28D9">
        <w:instrText xml:space="preserve"> SEQ Figure \* ARABIC </w:instrText>
      </w:r>
      <w:r w:rsidR="003B28D9">
        <w:fldChar w:fldCharType="separate"/>
      </w:r>
      <w:r w:rsidR="007E283B">
        <w:rPr>
          <w:noProof/>
        </w:rPr>
        <w:t>9</w:t>
      </w:r>
      <w:r w:rsidR="003B28D9">
        <w:rPr>
          <w:noProof/>
        </w:rPr>
        <w:fldChar w:fldCharType="end"/>
      </w:r>
      <w:bookmarkEnd w:id="30"/>
      <w:r w:rsidRPr="00563DEE">
        <w:t xml:space="preserve">: </w:t>
      </w:r>
      <w:r>
        <w:t>U</w:t>
      </w:r>
      <w:r w:rsidRPr="00563DEE">
        <w:t>niversity expenditure on journal subscriptions since 2009</w:t>
      </w:r>
      <w:r w:rsidRPr="007D35E9">
        <w:rPr>
          <w:vertAlign w:val="superscript"/>
        </w:rPr>
        <w:footnoteReference w:id="75"/>
      </w:r>
    </w:p>
    <w:p w14:paraId="3546B58A" w14:textId="5ECF0C2B" w:rsidR="008553CC" w:rsidRDefault="008553CC" w:rsidP="008553CC">
      <w:pPr>
        <w:pStyle w:val="BodyText"/>
      </w:pPr>
      <w:r>
        <w:rPr>
          <w:noProof/>
        </w:rPr>
        <w:drawing>
          <wp:inline distT="0" distB="0" distL="0" distR="0" wp14:anchorId="5F2A501C" wp14:editId="22E7D901">
            <wp:extent cx="5316220" cy="2609215"/>
            <wp:effectExtent l="0" t="0" r="0" b="635"/>
            <wp:docPr id="480149672" name="Picture 9" descr="A line graph showing the increase of Australian university expenditure on journal subscriptions from approximately $180 million in 2009 to approximately $275 million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49672" name="Picture 9" descr="A line graph showing the increase of Australian university expenditure on journal subscriptions from approximately $180 million in 2009 to approximately $275 million in 20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6220" cy="2609215"/>
                    </a:xfrm>
                    <a:prstGeom prst="rect">
                      <a:avLst/>
                    </a:prstGeom>
                    <a:noFill/>
                  </pic:spPr>
                </pic:pic>
              </a:graphicData>
            </a:graphic>
          </wp:inline>
        </w:drawing>
      </w:r>
    </w:p>
    <w:p w14:paraId="2340CE9C" w14:textId="57D8378C" w:rsidR="008553CC" w:rsidRDefault="008553CC">
      <w:pPr>
        <w:spacing w:before="0" w:after="0" w:line="240" w:lineRule="auto"/>
      </w:pPr>
      <w:r>
        <w:br w:type="page"/>
      </w:r>
    </w:p>
    <w:p w14:paraId="0F5D07AC" w14:textId="77777777" w:rsidR="005E6933" w:rsidRPr="00563DEE" w:rsidRDefault="005E6933" w:rsidP="005E6933">
      <w:pPr>
        <w:pStyle w:val="Heading1"/>
        <w:rPr>
          <w:rFonts w:asciiTheme="minorHAnsi" w:hAnsiTheme="minorHAnsi" w:cstheme="minorHAnsi"/>
        </w:rPr>
      </w:pPr>
      <w:bookmarkStart w:id="31" w:name="_Toc87629934"/>
      <w:bookmarkEnd w:id="29"/>
      <w:r w:rsidRPr="00563DEE">
        <w:rPr>
          <w:rFonts w:asciiTheme="minorHAnsi" w:hAnsiTheme="minorHAnsi" w:cstheme="minorHAnsi"/>
        </w:rPr>
        <w:lastRenderedPageBreak/>
        <w:t xml:space="preserve">A </w:t>
      </w:r>
      <w:r>
        <w:rPr>
          <w:rFonts w:asciiTheme="minorHAnsi" w:hAnsiTheme="minorHAnsi" w:cstheme="minorHAnsi"/>
        </w:rPr>
        <w:t>proposed</w:t>
      </w:r>
      <w:r w:rsidRPr="00563DEE">
        <w:rPr>
          <w:rFonts w:asciiTheme="minorHAnsi" w:hAnsiTheme="minorHAnsi" w:cstheme="minorHAnsi"/>
        </w:rPr>
        <w:t xml:space="preserve"> Australian model for open access</w:t>
      </w:r>
      <w:bookmarkEnd w:id="31"/>
    </w:p>
    <w:p w14:paraId="7EFC1810" w14:textId="77777777" w:rsidR="005E6933" w:rsidRDefault="005E6933" w:rsidP="005E6933">
      <w:pPr>
        <w:pStyle w:val="Heading2"/>
      </w:pPr>
      <w:bookmarkStart w:id="32" w:name="_Toc87629935"/>
      <w:r>
        <w:t>Objectives and principles</w:t>
      </w:r>
      <w:bookmarkEnd w:id="32"/>
    </w:p>
    <w:p w14:paraId="28342210" w14:textId="77777777" w:rsidR="005E6933" w:rsidRPr="00563DEE" w:rsidRDefault="005E6933" w:rsidP="00A47B69">
      <w:pPr>
        <w:pStyle w:val="BodyText"/>
      </w:pPr>
      <w:r w:rsidRPr="00563DEE">
        <w:t xml:space="preserve">To improve Australia’s access </w:t>
      </w:r>
      <w:r>
        <w:t>to research literature,</w:t>
      </w:r>
      <w:r w:rsidRPr="00563DEE">
        <w:t xml:space="preserve"> the OCS has proposed a model for a nationally coordinated approach to open access </w:t>
      </w:r>
      <w:r>
        <w:t>in Australia</w:t>
      </w:r>
      <w:r w:rsidRPr="00563DEE">
        <w:t xml:space="preserve">. The primary objectives of the model are to: </w:t>
      </w:r>
    </w:p>
    <w:p w14:paraId="730B8A37" w14:textId="77777777" w:rsidR="005E6933" w:rsidRPr="00563DEE" w:rsidRDefault="005E6933" w:rsidP="00A47B69">
      <w:pPr>
        <w:pStyle w:val="ListNumber"/>
      </w:pPr>
      <w:r w:rsidRPr="00563DEE">
        <w:t>Increase industry and government access to leverage research investment to support economic recovery and growth.</w:t>
      </w:r>
    </w:p>
    <w:p w14:paraId="1CC247FC" w14:textId="77777777" w:rsidR="005E6933" w:rsidRPr="00563DEE" w:rsidRDefault="005E6933" w:rsidP="00A47B69">
      <w:pPr>
        <w:pStyle w:val="ListNumber"/>
      </w:pPr>
      <w:r w:rsidRPr="00563DEE">
        <w:t>Improve Australia’s return on investment in the research sector.</w:t>
      </w:r>
    </w:p>
    <w:p w14:paraId="64504684" w14:textId="77777777" w:rsidR="005E6933" w:rsidRPr="004D1F39" w:rsidRDefault="005E6933" w:rsidP="00A47B69">
      <w:pPr>
        <w:pStyle w:val="ListNumber"/>
      </w:pPr>
      <w:r w:rsidRPr="00563DEE">
        <w:t>Maintain Australia’s global position in science, research, and innovation.</w:t>
      </w:r>
    </w:p>
    <w:p w14:paraId="063714B2" w14:textId="77777777" w:rsidR="00916A36" w:rsidRDefault="00916A36" w:rsidP="00A47B69">
      <w:pPr>
        <w:pStyle w:val="BodyText"/>
      </w:pPr>
    </w:p>
    <w:p w14:paraId="76AE2A17" w14:textId="6CE77316" w:rsidR="005E6933" w:rsidRPr="008A2ECE" w:rsidRDefault="005E6933" w:rsidP="00A47B69">
      <w:pPr>
        <w:pStyle w:val="BodyText"/>
      </w:pPr>
      <w:r>
        <w:t>It is proposed the Australian model is developed according to the principles that the model should:</w:t>
      </w:r>
      <w:r w:rsidRPr="008A2ECE">
        <w:t xml:space="preserve"> </w:t>
      </w:r>
    </w:p>
    <w:p w14:paraId="1291A307" w14:textId="77777777" w:rsidR="005E6933" w:rsidRPr="007D35E9" w:rsidRDefault="005E6933" w:rsidP="00F749F5">
      <w:pPr>
        <w:pStyle w:val="ListBullet"/>
      </w:pPr>
      <w:r w:rsidRPr="007D35E9">
        <w:t>Use</w:t>
      </w:r>
      <w:r>
        <w:t>, and increase</w:t>
      </w:r>
      <w:r w:rsidRPr="007D35E9">
        <w:t xml:space="preserve"> </w:t>
      </w:r>
      <w:r>
        <w:t>benefits from,</w:t>
      </w:r>
      <w:r w:rsidRPr="007D35E9">
        <w:t xml:space="preserve"> Australia’s existing expenditure on </w:t>
      </w:r>
      <w:r w:rsidRPr="00F8505E">
        <w:t>academic</w:t>
      </w:r>
      <w:r w:rsidRPr="007D35E9">
        <w:t xml:space="preserve"> subscriptions and publishing</w:t>
      </w:r>
      <w:r>
        <w:t>.</w:t>
      </w:r>
      <w:r w:rsidRPr="007D35E9">
        <w:t xml:space="preserve"> </w:t>
      </w:r>
    </w:p>
    <w:p w14:paraId="782801F5" w14:textId="0A38F017" w:rsidR="005E6933" w:rsidRDefault="005E6933" w:rsidP="00F749F5">
      <w:pPr>
        <w:pStyle w:val="ListBullet"/>
      </w:pPr>
      <w:r>
        <w:t>Allow people residing in Australia to freely access all peer reviewed journal articles from the date of publication.</w:t>
      </w:r>
      <w:r w:rsidRPr="00AF6E9B">
        <w:rPr>
          <w:rStyle w:val="FootnoteReference"/>
          <w:rFonts w:cstheme="minorHAnsi"/>
        </w:rPr>
        <w:t xml:space="preserve"> </w:t>
      </w:r>
      <w:r w:rsidRPr="009E4EE8">
        <w:rPr>
          <w:rStyle w:val="FootnoteReference"/>
          <w:rFonts w:cstheme="minorHAnsi"/>
        </w:rPr>
        <w:footnoteReference w:id="76"/>
      </w:r>
    </w:p>
    <w:p w14:paraId="31DFF99C" w14:textId="31A53ACA" w:rsidR="005E6933" w:rsidRPr="007D35E9" w:rsidRDefault="005E6933" w:rsidP="00F749F5">
      <w:pPr>
        <w:pStyle w:val="ListBullet"/>
      </w:pPr>
      <w:r w:rsidRPr="007D35E9">
        <w:t xml:space="preserve">Ensure Australian peer reviewed journal </w:t>
      </w:r>
      <w:r w:rsidRPr="00AB5777">
        <w:t>articles</w:t>
      </w:r>
      <w:r w:rsidRPr="009E4EE8">
        <w:rPr>
          <w:rStyle w:val="FootnoteReference"/>
          <w:rFonts w:cstheme="minorHAnsi"/>
        </w:rPr>
        <w:footnoteReference w:id="77"/>
      </w:r>
      <w:r w:rsidRPr="007D35E9">
        <w:t xml:space="preserve"> in all disciplines are openly accessible internationally from the date of publication.</w:t>
      </w:r>
    </w:p>
    <w:p w14:paraId="787794D5" w14:textId="77777777" w:rsidR="005E6933" w:rsidRPr="007D35E9" w:rsidRDefault="005E6933" w:rsidP="00F749F5">
      <w:pPr>
        <w:pStyle w:val="ListBullet"/>
      </w:pPr>
      <w:r w:rsidRPr="007D35E9">
        <w:t xml:space="preserve">Support research integrity by </w:t>
      </w:r>
      <w:r w:rsidRPr="00AB5777">
        <w:t>facilitating</w:t>
      </w:r>
      <w:r w:rsidRPr="007D35E9">
        <w:t xml:space="preserve"> the provision of quality metadata, keeping versions of record, and assisting in discoverability.</w:t>
      </w:r>
    </w:p>
    <w:p w14:paraId="1E95B44E" w14:textId="77777777" w:rsidR="005E6933" w:rsidRPr="007D35E9" w:rsidRDefault="005E6933" w:rsidP="00F749F5">
      <w:pPr>
        <w:pStyle w:val="ListBullet"/>
      </w:pPr>
      <w:r w:rsidRPr="007D35E9">
        <w:t xml:space="preserve">Preserve author autonomy </w:t>
      </w:r>
      <w:r w:rsidRPr="00AB5777">
        <w:t>regarding</w:t>
      </w:r>
      <w:r w:rsidRPr="007D35E9">
        <w:t xml:space="preserve"> where to publish. </w:t>
      </w:r>
    </w:p>
    <w:p w14:paraId="7032D0CD" w14:textId="77777777" w:rsidR="005E6933" w:rsidRPr="007D35E9" w:rsidRDefault="005E6933" w:rsidP="00F749F5">
      <w:pPr>
        <w:pStyle w:val="ListBullet"/>
      </w:pPr>
      <w:r w:rsidRPr="007D35E9">
        <w:t xml:space="preserve">Recognise the role of publishers in </w:t>
      </w:r>
      <w:r w:rsidRPr="00AB5777">
        <w:t>the</w:t>
      </w:r>
      <w:r w:rsidRPr="007D35E9">
        <w:t xml:space="preserve"> system and ensure the sustainability of their businesses.</w:t>
      </w:r>
    </w:p>
    <w:p w14:paraId="688138B7" w14:textId="77777777" w:rsidR="005E6933" w:rsidRPr="007D35E9" w:rsidRDefault="005E6933" w:rsidP="00F749F5">
      <w:pPr>
        <w:pStyle w:val="ListBullet"/>
      </w:pPr>
      <w:r w:rsidRPr="007D35E9">
        <w:t>Use infrastructure that is user-</w:t>
      </w:r>
      <w:r w:rsidRPr="00AB5777">
        <w:t>friendly</w:t>
      </w:r>
      <w:r w:rsidRPr="007D35E9">
        <w:t xml:space="preserve">, internationally interoperable and designed for future developments in publishing and open research. </w:t>
      </w:r>
    </w:p>
    <w:p w14:paraId="4069A237" w14:textId="77777777" w:rsidR="005E6933" w:rsidRPr="00571B4C" w:rsidRDefault="005E6933" w:rsidP="00F749F5">
      <w:pPr>
        <w:pStyle w:val="ListBullet"/>
      </w:pPr>
      <w:r w:rsidRPr="007D35E9">
        <w:t xml:space="preserve">Be equitable for all stakeholders. </w:t>
      </w:r>
    </w:p>
    <w:p w14:paraId="2F80FABD" w14:textId="77777777" w:rsidR="005E6933" w:rsidRPr="00563DEE" w:rsidRDefault="005E6933" w:rsidP="005E6933">
      <w:pPr>
        <w:pStyle w:val="Heading2"/>
        <w:rPr>
          <w:rFonts w:asciiTheme="minorHAnsi" w:hAnsiTheme="minorHAnsi" w:cstheme="minorHAnsi"/>
        </w:rPr>
      </w:pPr>
      <w:bookmarkStart w:id="33" w:name="_Toc87629936"/>
      <w:r w:rsidRPr="00563DEE">
        <w:rPr>
          <w:rFonts w:asciiTheme="minorHAnsi" w:hAnsiTheme="minorHAnsi" w:cstheme="minorHAnsi"/>
        </w:rPr>
        <w:t>Overview</w:t>
      </w:r>
      <w:bookmarkEnd w:id="33"/>
    </w:p>
    <w:p w14:paraId="021FE793" w14:textId="4D247EC9" w:rsidR="005E6933" w:rsidRPr="00563DEE" w:rsidRDefault="005E6933" w:rsidP="00A47B69">
      <w:pPr>
        <w:pStyle w:val="BodyText"/>
      </w:pPr>
      <w:r w:rsidRPr="00563DEE">
        <w:t>Under the model, one central implementing body would negotiate comprehensive national read</w:t>
      </w:r>
      <w:r w:rsidR="005A0CE4">
        <w:t>-</w:t>
      </w:r>
      <w:r w:rsidRPr="00563DEE">
        <w:t>and</w:t>
      </w:r>
      <w:r w:rsidR="005A0CE4">
        <w:t>-</w:t>
      </w:r>
      <w:r w:rsidRPr="00563DEE">
        <w:t xml:space="preserve">publish agreements with publishers on behalf of </w:t>
      </w:r>
      <w:r>
        <w:t>all</w:t>
      </w:r>
      <w:r w:rsidRPr="00563DEE">
        <w:t xml:space="preserve"> Australian</w:t>
      </w:r>
      <w:r>
        <w:t xml:space="preserve"> stakeholders</w:t>
      </w:r>
      <w:r w:rsidRPr="00563DEE">
        <w:t xml:space="preserve"> (see </w:t>
      </w:r>
      <w:r w:rsidRPr="00563DEE">
        <w:fldChar w:fldCharType="begin"/>
      </w:r>
      <w:r w:rsidRPr="00563DEE">
        <w:instrText xml:space="preserve"> REF _Ref84257568 \h </w:instrText>
      </w:r>
      <w:r>
        <w:instrText xml:space="preserve"> \* MERGEFORMAT </w:instrText>
      </w:r>
      <w:r w:rsidRPr="00563DEE">
        <w:fldChar w:fldCharType="separate"/>
      </w:r>
      <w:r w:rsidR="007E283B" w:rsidRPr="00563DEE">
        <w:t xml:space="preserve">Figure </w:t>
      </w:r>
      <w:r w:rsidR="007E283B">
        <w:rPr>
          <w:noProof/>
        </w:rPr>
        <w:t>10</w:t>
      </w:r>
      <w:r w:rsidRPr="00563DEE">
        <w:fldChar w:fldCharType="end"/>
      </w:r>
      <w:r w:rsidRPr="00563DEE">
        <w:t xml:space="preserve">). The agreements would </w:t>
      </w:r>
      <w:bookmarkStart w:id="34" w:name="_Hlk83117380"/>
      <w:r w:rsidRPr="00563DEE">
        <w:t>cover read access for Australian</w:t>
      </w:r>
      <w:r w:rsidR="007D7BCE">
        <w:t xml:space="preserve"> users</w:t>
      </w:r>
      <w:r w:rsidRPr="00563DEE">
        <w:t xml:space="preserve"> and costs associated with publishing Australian </w:t>
      </w:r>
      <w:r>
        <w:t>journal articles</w:t>
      </w:r>
      <w:r w:rsidRPr="00563DEE">
        <w:t xml:space="preserve"> as open access</w:t>
      </w:r>
      <w:bookmarkEnd w:id="34"/>
      <w:r w:rsidRPr="00563DEE">
        <w:t>.</w:t>
      </w:r>
      <w:r>
        <w:t xml:space="preserve"> </w:t>
      </w:r>
    </w:p>
    <w:p w14:paraId="1D03ADBF" w14:textId="6E713F23" w:rsidR="005E6933" w:rsidRPr="00563DEE" w:rsidRDefault="005E6933" w:rsidP="00A47B69">
      <w:pPr>
        <w:pStyle w:val="Caption"/>
      </w:pPr>
      <w:bookmarkStart w:id="35" w:name="_Ref84257568"/>
      <w:r w:rsidRPr="00563DEE">
        <w:lastRenderedPageBreak/>
        <w:t xml:space="preserve">Figure </w:t>
      </w:r>
      <w:r w:rsidR="003B28D9">
        <w:fldChar w:fldCharType="begin"/>
      </w:r>
      <w:r w:rsidR="003B28D9">
        <w:instrText xml:space="preserve"> SEQ Figure \* ARABIC </w:instrText>
      </w:r>
      <w:r w:rsidR="003B28D9">
        <w:fldChar w:fldCharType="separate"/>
      </w:r>
      <w:r w:rsidR="007E283B">
        <w:rPr>
          <w:noProof/>
        </w:rPr>
        <w:t>10</w:t>
      </w:r>
      <w:r w:rsidR="003B28D9">
        <w:rPr>
          <w:noProof/>
        </w:rPr>
        <w:fldChar w:fldCharType="end"/>
      </w:r>
      <w:bookmarkEnd w:id="35"/>
      <w:r w:rsidRPr="00563DEE">
        <w:t>: An overview of the proposed Australian model for open access</w:t>
      </w:r>
    </w:p>
    <w:p w14:paraId="312D4CD6" w14:textId="2F082C65" w:rsidR="005E6933" w:rsidRPr="00563DEE" w:rsidRDefault="000A5D49" w:rsidP="0049386A">
      <w:pPr>
        <w:pStyle w:val="BodyText"/>
        <w:jc w:val="center"/>
      </w:pPr>
      <w:r>
        <w:rPr>
          <w:noProof/>
        </w:rPr>
        <w:drawing>
          <wp:inline distT="0" distB="0" distL="0" distR="0" wp14:anchorId="4E165789" wp14:editId="776EB124">
            <wp:extent cx="4583662" cy="3712191"/>
            <wp:effectExtent l="0" t="0" r="7620" b="3175"/>
            <wp:docPr id="8" name="Picture 8" descr="Graphic of proposed open access model.&#10;Australian research community submits work to publishers who provide access to Australian peer reviewed articles to the world. Publishers provide access to an implementation body in return for money. The implementation body provides access to research to all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f proposed open access model.&#10;Australian research community submits work to publishers who provide access to Australian peer reviewed articles to the world. Publishers provide access to an implementation body in return for money. The implementation body provides access to research to all Australi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301" cy="3726476"/>
                    </a:xfrm>
                    <a:prstGeom prst="rect">
                      <a:avLst/>
                    </a:prstGeom>
                    <a:noFill/>
                  </pic:spPr>
                </pic:pic>
              </a:graphicData>
            </a:graphic>
          </wp:inline>
        </w:drawing>
      </w:r>
    </w:p>
    <w:p w14:paraId="77E922F0" w14:textId="676FEA70" w:rsidR="005E6933" w:rsidRPr="00563DEE" w:rsidRDefault="005E6933" w:rsidP="00A47B69">
      <w:pPr>
        <w:pStyle w:val="BodyText"/>
      </w:pPr>
      <w:r w:rsidRPr="00563DEE">
        <w:t xml:space="preserve">The intended benefits of this model to key stakeholder groups are described in </w:t>
      </w:r>
      <w:r w:rsidRPr="007D35E9">
        <w:fldChar w:fldCharType="begin"/>
      </w:r>
      <w:r w:rsidRPr="007D35E9">
        <w:instrText xml:space="preserve"> REF _Ref84259351 \h  \* MERGEFORMAT </w:instrText>
      </w:r>
      <w:r w:rsidRPr="007D35E9">
        <w:fldChar w:fldCharType="separate"/>
      </w:r>
      <w:r w:rsidR="007E283B" w:rsidRPr="00563DEE">
        <w:t xml:space="preserve">Table </w:t>
      </w:r>
      <w:r w:rsidR="007E283B">
        <w:rPr>
          <w:noProof/>
        </w:rPr>
        <w:t>3</w:t>
      </w:r>
      <w:r w:rsidRPr="007D35E9">
        <w:fldChar w:fldCharType="end"/>
      </w:r>
      <w:r w:rsidRPr="00563DEE">
        <w:t>.</w:t>
      </w:r>
    </w:p>
    <w:p w14:paraId="45EE45C7" w14:textId="578506D9" w:rsidR="00381B1E" w:rsidRPr="00563DEE" w:rsidRDefault="005E6933" w:rsidP="00381B1E">
      <w:pPr>
        <w:pStyle w:val="Caption"/>
      </w:pPr>
      <w:bookmarkStart w:id="36" w:name="_Ref84259351"/>
      <w:r w:rsidRPr="00563DEE">
        <w:t xml:space="preserve">Table </w:t>
      </w:r>
      <w:r w:rsidR="003B28D9">
        <w:fldChar w:fldCharType="begin"/>
      </w:r>
      <w:r w:rsidR="003B28D9">
        <w:instrText xml:space="preserve"> SEQ Table \* ARABIC </w:instrText>
      </w:r>
      <w:r w:rsidR="003B28D9">
        <w:fldChar w:fldCharType="separate"/>
      </w:r>
      <w:r w:rsidR="007E283B">
        <w:rPr>
          <w:noProof/>
        </w:rPr>
        <w:t>3</w:t>
      </w:r>
      <w:r w:rsidR="003B28D9">
        <w:rPr>
          <w:noProof/>
        </w:rPr>
        <w:fldChar w:fldCharType="end"/>
      </w:r>
      <w:bookmarkEnd w:id="36"/>
      <w:r w:rsidR="00381B1E" w:rsidRPr="00563DEE">
        <w:t>: Intended benefits of the proposed model</w:t>
      </w:r>
    </w:p>
    <w:tbl>
      <w:tblPr>
        <w:tblStyle w:val="ListTable3-Accent1"/>
        <w:tblW w:w="0" w:type="auto"/>
        <w:tblInd w:w="-5" w:type="dxa"/>
        <w:tblLook w:val="04A0" w:firstRow="1" w:lastRow="0" w:firstColumn="1" w:lastColumn="0" w:noHBand="0" w:noVBand="1"/>
      </w:tblPr>
      <w:tblGrid>
        <w:gridCol w:w="1701"/>
        <w:gridCol w:w="7738"/>
      </w:tblGrid>
      <w:tr w:rsidR="005E6933" w:rsidRPr="007D35E9" w14:paraId="70FD7811" w14:textId="77777777" w:rsidTr="004F1933">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1701" w:type="dxa"/>
          </w:tcPr>
          <w:p w14:paraId="6DF161BA" w14:textId="77777777" w:rsidR="005E6933" w:rsidRPr="000865C2" w:rsidRDefault="005E6933" w:rsidP="00C7094B">
            <w:pPr>
              <w:pStyle w:val="ColumnHeading"/>
              <w:rPr>
                <w:b/>
                <w:color w:val="auto"/>
              </w:rPr>
            </w:pPr>
            <w:r w:rsidRPr="000865C2">
              <w:rPr>
                <w:b/>
                <w:color w:val="auto"/>
              </w:rPr>
              <w:t>Stakeholder group</w:t>
            </w:r>
          </w:p>
        </w:tc>
        <w:tc>
          <w:tcPr>
            <w:tcW w:w="7738" w:type="dxa"/>
          </w:tcPr>
          <w:p w14:paraId="603F21B8" w14:textId="77777777" w:rsidR="005E6933" w:rsidRPr="000865C2"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0865C2">
              <w:rPr>
                <w:b/>
                <w:color w:val="auto"/>
              </w:rPr>
              <w:t>Intended benefits OF PROPOSED MODEL</w:t>
            </w:r>
          </w:p>
        </w:tc>
      </w:tr>
      <w:tr w:rsidR="005E6933" w:rsidRPr="007D35E9" w14:paraId="0D6510D0" w14:textId="77777777" w:rsidTr="004F193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1" w:type="dxa"/>
          </w:tcPr>
          <w:p w14:paraId="46F4176A" w14:textId="77777777" w:rsidR="005E6933" w:rsidRPr="007D35E9" w:rsidRDefault="005E6933" w:rsidP="00054830">
            <w:pPr>
              <w:pStyle w:val="RowHeading"/>
              <w:rPr>
                <w:b/>
              </w:rPr>
            </w:pPr>
            <w:r w:rsidRPr="007D35E9">
              <w:rPr>
                <w:b/>
              </w:rPr>
              <w:t>Universities and research institutions</w:t>
            </w:r>
          </w:p>
        </w:tc>
        <w:tc>
          <w:tcPr>
            <w:tcW w:w="7738" w:type="dxa"/>
          </w:tcPr>
          <w:p w14:paraId="1D332570" w14:textId="77777777" w:rsidR="00CD375A" w:rsidRPr="00CD375A" w:rsidRDefault="005E6933" w:rsidP="00CD375A">
            <w:pPr>
              <w:pStyle w:val="TableBullet"/>
              <w:cnfStyle w:val="000000100000" w:firstRow="0" w:lastRow="0" w:firstColumn="0" w:lastColumn="0" w:oddVBand="0" w:evenVBand="0" w:oddHBand="1" w:evenHBand="0" w:firstRowFirstColumn="0" w:firstRowLastColumn="0" w:lastRowFirstColumn="0" w:lastRowLastColumn="0"/>
            </w:pPr>
            <w:r w:rsidRPr="001C09C0">
              <w:t>Simplification of academic publishing and access costs.</w:t>
            </w:r>
          </w:p>
          <w:p w14:paraId="713E05D7" w14:textId="7522A261" w:rsidR="002E7A7B" w:rsidRPr="002E7A7B" w:rsidRDefault="002E7A7B" w:rsidP="002E7A7B">
            <w:pPr>
              <w:pStyle w:val="TableBullet"/>
              <w:cnfStyle w:val="000000100000" w:firstRow="0" w:lastRow="0" w:firstColumn="0" w:lastColumn="0" w:oddVBand="0" w:evenVBand="0" w:oddHBand="1" w:evenHBand="0" w:firstRowFirstColumn="0" w:firstRowLastColumn="0" w:lastRowFirstColumn="0" w:lastRowLastColumn="0"/>
            </w:pPr>
            <w:r w:rsidRPr="001C09C0">
              <w:t>Easier compliance with funder policies</w:t>
            </w:r>
            <w:r>
              <w:t>.</w:t>
            </w:r>
          </w:p>
          <w:p w14:paraId="4E2FEAB1" w14:textId="77777777" w:rsidR="005E6933" w:rsidRPr="001C09C0"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1C09C0">
              <w:t>Improved open access publication rates and elimination of individual APCs.</w:t>
            </w:r>
          </w:p>
          <w:p w14:paraId="1F4B5A33" w14:textId="77777777" w:rsidR="005E6933" w:rsidRPr="001C09C0"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1C09C0">
              <w:t>Potentially improved access to a broader range of research</w:t>
            </w:r>
            <w:r>
              <w:t>.</w:t>
            </w:r>
          </w:p>
          <w:p w14:paraId="28D01E76"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1C09C0">
              <w:t>A level playing-field for citations-based metrics</w:t>
            </w:r>
            <w:r>
              <w:t>.</w:t>
            </w:r>
          </w:p>
          <w:p w14:paraId="532D56BA" w14:textId="77777777" w:rsidR="005E6933" w:rsidRPr="002A7F9D"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1C09C0">
              <w:t>Improve</w:t>
            </w:r>
            <w:r>
              <w:t>d</w:t>
            </w:r>
            <w:r w:rsidRPr="001C09C0">
              <w:t xml:space="preserve"> research integrity as final versions of papers can easily be accessed</w:t>
            </w:r>
            <w:r>
              <w:t>.</w:t>
            </w:r>
          </w:p>
        </w:tc>
      </w:tr>
      <w:tr w:rsidR="005E6933" w:rsidRPr="007D35E9" w14:paraId="1B4EB67F" w14:textId="77777777" w:rsidTr="004F1933">
        <w:trPr>
          <w:trHeight w:val="95"/>
        </w:trPr>
        <w:tc>
          <w:tcPr>
            <w:cnfStyle w:val="001000000000" w:firstRow="0" w:lastRow="0" w:firstColumn="1" w:lastColumn="0" w:oddVBand="0" w:evenVBand="0" w:oddHBand="0" w:evenHBand="0" w:firstRowFirstColumn="0" w:firstRowLastColumn="0" w:lastRowFirstColumn="0" w:lastRowLastColumn="0"/>
            <w:tcW w:w="1701" w:type="dxa"/>
          </w:tcPr>
          <w:p w14:paraId="7942BCF9" w14:textId="77777777" w:rsidR="005E6933" w:rsidRPr="007D35E9" w:rsidRDefault="005E6933" w:rsidP="00054830">
            <w:pPr>
              <w:pStyle w:val="RowHeading"/>
              <w:rPr>
                <w:b/>
              </w:rPr>
            </w:pPr>
            <w:r w:rsidRPr="007D35E9">
              <w:rPr>
                <w:b/>
              </w:rPr>
              <w:t>Libraries</w:t>
            </w:r>
          </w:p>
        </w:tc>
        <w:tc>
          <w:tcPr>
            <w:tcW w:w="7738" w:type="dxa"/>
          </w:tcPr>
          <w:p w14:paraId="30094D64" w14:textId="77777777" w:rsidR="005E6933" w:rsidRPr="001C09C0"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1C09C0">
              <w:t>Reduced cost and workload associated with managing journal subscriptions</w:t>
            </w:r>
            <w:r>
              <w:t>.</w:t>
            </w:r>
          </w:p>
          <w:p w14:paraId="6FEABC82" w14:textId="77777777" w:rsidR="005E6933" w:rsidRPr="001C09C0"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1C09C0">
              <w:t>Potentially reduced cost and workload associated with managing institutional repositories.</w:t>
            </w:r>
          </w:p>
        </w:tc>
      </w:tr>
      <w:tr w:rsidR="005E6933" w:rsidRPr="007D35E9" w14:paraId="3BF09050" w14:textId="77777777" w:rsidTr="004F193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701" w:type="dxa"/>
          </w:tcPr>
          <w:p w14:paraId="35BBF5F0" w14:textId="77777777" w:rsidR="005E6933" w:rsidRPr="007D35E9" w:rsidRDefault="005E6933" w:rsidP="00054830">
            <w:pPr>
              <w:pStyle w:val="RowHeading"/>
              <w:rPr>
                <w:b/>
              </w:rPr>
            </w:pPr>
            <w:r w:rsidRPr="007D35E9">
              <w:rPr>
                <w:b/>
              </w:rPr>
              <w:t>Publishers</w:t>
            </w:r>
          </w:p>
        </w:tc>
        <w:tc>
          <w:tcPr>
            <w:tcW w:w="7738" w:type="dxa"/>
          </w:tcPr>
          <w:p w14:paraId="06D6BCD3" w14:textId="77777777" w:rsidR="005E6933" w:rsidRPr="001C09C0"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1C09C0">
              <w:t>Streamlined, sustainable revenue streams.</w:t>
            </w:r>
          </w:p>
          <w:p w14:paraId="7716ACD0" w14:textId="77777777" w:rsidR="005E6933" w:rsidRPr="001C09C0"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1C09C0">
              <w:t>Reduced transaction and negotiation costs due to fewer contracts to negotiate</w:t>
            </w:r>
            <w:r>
              <w:t>.</w:t>
            </w:r>
          </w:p>
        </w:tc>
      </w:tr>
      <w:tr w:rsidR="005E6933" w:rsidRPr="007D35E9" w14:paraId="4FBC66BE" w14:textId="77777777" w:rsidTr="004F1933">
        <w:trPr>
          <w:trHeight w:val="414"/>
        </w:trPr>
        <w:tc>
          <w:tcPr>
            <w:cnfStyle w:val="001000000000" w:firstRow="0" w:lastRow="0" w:firstColumn="1" w:lastColumn="0" w:oddVBand="0" w:evenVBand="0" w:oddHBand="0" w:evenHBand="0" w:firstRowFirstColumn="0" w:firstRowLastColumn="0" w:lastRowFirstColumn="0" w:lastRowLastColumn="0"/>
            <w:tcW w:w="1701" w:type="dxa"/>
          </w:tcPr>
          <w:p w14:paraId="16DD2482" w14:textId="77777777" w:rsidR="005E6933" w:rsidRPr="007D35E9" w:rsidRDefault="005E6933" w:rsidP="00054830">
            <w:pPr>
              <w:pStyle w:val="RowHeading"/>
              <w:rPr>
                <w:b/>
              </w:rPr>
            </w:pPr>
            <w:r w:rsidRPr="007D35E9">
              <w:rPr>
                <w:b/>
              </w:rPr>
              <w:t>Industry</w:t>
            </w:r>
          </w:p>
        </w:tc>
        <w:tc>
          <w:tcPr>
            <w:tcW w:w="7738" w:type="dxa"/>
          </w:tcPr>
          <w:p w14:paraId="3CCE41BB" w14:textId="77777777" w:rsidR="005E6933" w:rsidRPr="001C09C0"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1C09C0">
              <w:t>Improved access to the latest research.</w:t>
            </w:r>
          </w:p>
        </w:tc>
      </w:tr>
      <w:tr w:rsidR="005E6933" w:rsidRPr="007D35E9" w14:paraId="7E727FDC" w14:textId="77777777" w:rsidTr="004F193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701" w:type="dxa"/>
          </w:tcPr>
          <w:p w14:paraId="09BE6FA1" w14:textId="77777777" w:rsidR="005E6933" w:rsidRPr="007D35E9" w:rsidRDefault="005E6933" w:rsidP="00054830">
            <w:pPr>
              <w:pStyle w:val="RowHeading"/>
              <w:rPr>
                <w:b/>
              </w:rPr>
            </w:pPr>
            <w:r w:rsidRPr="007D35E9">
              <w:rPr>
                <w:b/>
              </w:rPr>
              <w:t>Government</w:t>
            </w:r>
          </w:p>
        </w:tc>
        <w:tc>
          <w:tcPr>
            <w:tcW w:w="7738" w:type="dxa"/>
          </w:tcPr>
          <w:p w14:paraId="69CD167A"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Increased return on public investment in research.</w:t>
            </w:r>
          </w:p>
          <w:p w14:paraId="7BE43FDA"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Improved access to </w:t>
            </w:r>
            <w:r>
              <w:t>the latest research</w:t>
            </w:r>
            <w:r w:rsidRPr="007D35E9">
              <w:t xml:space="preserve"> to inform evidence-based policy development.</w:t>
            </w:r>
          </w:p>
        </w:tc>
      </w:tr>
      <w:tr w:rsidR="005E6933" w:rsidRPr="007D35E9" w14:paraId="6E951E7A" w14:textId="77777777" w:rsidTr="004F1933">
        <w:trPr>
          <w:trHeight w:val="95"/>
        </w:trPr>
        <w:tc>
          <w:tcPr>
            <w:cnfStyle w:val="001000000000" w:firstRow="0" w:lastRow="0" w:firstColumn="1" w:lastColumn="0" w:oddVBand="0" w:evenVBand="0" w:oddHBand="0" w:evenHBand="0" w:firstRowFirstColumn="0" w:firstRowLastColumn="0" w:lastRowFirstColumn="0" w:lastRowLastColumn="0"/>
            <w:tcW w:w="1701" w:type="dxa"/>
          </w:tcPr>
          <w:p w14:paraId="09A009E5" w14:textId="77777777" w:rsidR="005E6933" w:rsidRPr="007D35E9" w:rsidRDefault="005E6933" w:rsidP="00054830">
            <w:pPr>
              <w:pStyle w:val="RowHeading"/>
              <w:rPr>
                <w:b/>
              </w:rPr>
            </w:pPr>
            <w:r w:rsidRPr="007D35E9">
              <w:rPr>
                <w:b/>
              </w:rPr>
              <w:t>Australian public</w:t>
            </w:r>
          </w:p>
        </w:tc>
        <w:tc>
          <w:tcPr>
            <w:tcW w:w="7738" w:type="dxa"/>
          </w:tcPr>
          <w:p w14:paraId="5BA84A1E" w14:textId="77777777"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Improved access to the latest research</w:t>
            </w:r>
            <w:r>
              <w:t>.</w:t>
            </w:r>
          </w:p>
          <w:p w14:paraId="62303604"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Better informed public debate.</w:t>
            </w:r>
          </w:p>
        </w:tc>
      </w:tr>
    </w:tbl>
    <w:p w14:paraId="65014CAA" w14:textId="1DCF1CD2" w:rsidR="005E6933" w:rsidRPr="00563DEE" w:rsidRDefault="005E6933" w:rsidP="00A47B69">
      <w:pPr>
        <w:pStyle w:val="BodyText"/>
      </w:pPr>
      <w:r w:rsidRPr="00563DEE">
        <w:t xml:space="preserve">The following sections provide additional details related to the proposed agreement structure and funding approach. Stakeholder feedback </w:t>
      </w:r>
      <w:r>
        <w:t xml:space="preserve">on </w:t>
      </w:r>
      <w:r w:rsidRPr="00563DEE">
        <w:t xml:space="preserve">the design and implementation of the model </w:t>
      </w:r>
      <w:r w:rsidR="007D7BCE">
        <w:t>is</w:t>
      </w:r>
      <w:r w:rsidR="007D7BCE" w:rsidRPr="00563DEE">
        <w:t xml:space="preserve"> </w:t>
      </w:r>
      <w:r w:rsidRPr="00563DEE">
        <w:t>discussed in Chapter</w:t>
      </w:r>
      <w:r>
        <w:t xml:space="preserve"> </w:t>
      </w:r>
      <w:r>
        <w:fldChar w:fldCharType="begin"/>
      </w:r>
      <w:r>
        <w:instrText xml:space="preserve"> REF _Ref86172419 \r \h </w:instrText>
      </w:r>
      <w:r>
        <w:fldChar w:fldCharType="separate"/>
      </w:r>
      <w:r w:rsidR="007E283B">
        <w:t>4</w:t>
      </w:r>
      <w:r>
        <w:fldChar w:fldCharType="end"/>
      </w:r>
      <w:r>
        <w:t xml:space="preserve">. </w:t>
      </w:r>
    </w:p>
    <w:p w14:paraId="7DE70D7D" w14:textId="361B40EB" w:rsidR="005E6933" w:rsidRPr="00563DEE" w:rsidRDefault="005E6933" w:rsidP="005E6933">
      <w:pPr>
        <w:pStyle w:val="Heading3notnumbered"/>
        <w:jc w:val="both"/>
        <w:rPr>
          <w:rFonts w:asciiTheme="minorHAnsi" w:hAnsiTheme="minorHAnsi" w:cstheme="minorHAnsi"/>
        </w:rPr>
      </w:pPr>
      <w:r w:rsidRPr="00563DEE">
        <w:rPr>
          <w:rFonts w:asciiTheme="minorHAnsi" w:hAnsiTheme="minorHAnsi" w:cstheme="minorHAnsi"/>
        </w:rPr>
        <w:lastRenderedPageBreak/>
        <w:t>Read</w:t>
      </w:r>
      <w:r w:rsidR="00761706">
        <w:rPr>
          <w:rFonts w:asciiTheme="minorHAnsi" w:hAnsiTheme="minorHAnsi" w:cstheme="minorHAnsi"/>
        </w:rPr>
        <w:t>-</w:t>
      </w:r>
      <w:r w:rsidRPr="00563DEE">
        <w:rPr>
          <w:rFonts w:asciiTheme="minorHAnsi" w:hAnsiTheme="minorHAnsi" w:cstheme="minorHAnsi"/>
        </w:rPr>
        <w:t>and</w:t>
      </w:r>
      <w:r w:rsidR="00761706">
        <w:rPr>
          <w:rFonts w:asciiTheme="minorHAnsi" w:hAnsiTheme="minorHAnsi" w:cstheme="minorHAnsi"/>
        </w:rPr>
        <w:t>-</w:t>
      </w:r>
      <w:r w:rsidRPr="00563DEE">
        <w:rPr>
          <w:rFonts w:asciiTheme="minorHAnsi" w:hAnsiTheme="minorHAnsi" w:cstheme="minorHAnsi"/>
        </w:rPr>
        <w:t>publish agreements</w:t>
      </w:r>
    </w:p>
    <w:p w14:paraId="23FD7EA8" w14:textId="1B122A77" w:rsidR="005E6933" w:rsidRDefault="005E6933" w:rsidP="00A47B69">
      <w:pPr>
        <w:pStyle w:val="BodyText"/>
      </w:pPr>
      <w:r w:rsidRPr="00563DEE">
        <w:t>The model proposes negotiating national read</w:t>
      </w:r>
      <w:r w:rsidR="00761706">
        <w:t>-</w:t>
      </w:r>
      <w:r w:rsidRPr="00563DEE">
        <w:t>and</w:t>
      </w:r>
      <w:r w:rsidR="00761706">
        <w:t>-</w:t>
      </w:r>
      <w:r w:rsidRPr="00563DEE">
        <w:t>publish agreements that cover both</w:t>
      </w:r>
      <w:r>
        <w:t xml:space="preserve"> n</w:t>
      </w:r>
      <w:r w:rsidRPr="00563DEE">
        <w:t>ational read access to publishers’ catalogues for Australian users</w:t>
      </w:r>
      <w:r w:rsidR="007D7BCE">
        <w:t>,</w:t>
      </w:r>
      <w:r>
        <w:t xml:space="preserve"> and u</w:t>
      </w:r>
      <w:r w:rsidRPr="00A52091">
        <w:t>nlimited</w:t>
      </w:r>
      <w:r w:rsidRPr="00563DEE">
        <w:t xml:space="preserve"> open access publishing of </w:t>
      </w:r>
      <w:r w:rsidRPr="00567B27">
        <w:t>Australian</w:t>
      </w:r>
      <w:r w:rsidRPr="00563DEE">
        <w:t xml:space="preserve"> journal articles</w:t>
      </w:r>
      <w:r>
        <w:t>:</w:t>
      </w:r>
    </w:p>
    <w:p w14:paraId="4EF0AB74" w14:textId="479DE138" w:rsidR="005E6933" w:rsidRDefault="005E6933" w:rsidP="00C829CB">
      <w:pPr>
        <w:pStyle w:val="ListBullet"/>
        <w:jc w:val="both"/>
      </w:pPr>
      <w:r w:rsidRPr="00F5684E">
        <w:t>The</w:t>
      </w:r>
      <w:r>
        <w:t xml:space="preserve"> model will provide</w:t>
      </w:r>
      <w:r w:rsidRPr="00A52091">
        <w:t xml:space="preserve"> access to journal </w:t>
      </w:r>
      <w:r>
        <w:t>articles</w:t>
      </w:r>
      <w:r w:rsidRPr="00A52091">
        <w:t xml:space="preserve"> to all Australian</w:t>
      </w:r>
      <w:r w:rsidR="007D7BCE">
        <w:t xml:space="preserve"> users</w:t>
      </w:r>
      <w:r w:rsidRPr="00A52091">
        <w:t>, including government, indus</w:t>
      </w:r>
      <w:r>
        <w:t xml:space="preserve">try, and members of the public. By contrast, most </w:t>
      </w:r>
      <w:r w:rsidR="00F22802">
        <w:t>other</w:t>
      </w:r>
      <w:r>
        <w:t xml:space="preserve"> </w:t>
      </w:r>
      <w:r w:rsidR="00F22802">
        <w:t xml:space="preserve">transformative </w:t>
      </w:r>
      <w:r>
        <w:t xml:space="preserve">agreements only </w:t>
      </w:r>
      <w:r w:rsidR="00BC4358">
        <w:t>include</w:t>
      </w:r>
      <w:r>
        <w:t xml:space="preserve"> read access for academic institutions.</w:t>
      </w:r>
    </w:p>
    <w:p w14:paraId="01EE525E" w14:textId="0C89271D" w:rsidR="005E6933" w:rsidRDefault="005E6933" w:rsidP="00C829CB">
      <w:pPr>
        <w:pStyle w:val="ListBullet"/>
        <w:jc w:val="both"/>
      </w:pPr>
      <w:r>
        <w:t>T</w:t>
      </w:r>
      <w:r w:rsidRPr="00F5684E">
        <w:t>he model will cover unlimited open access publication in participating journals. There are some precedents for read</w:t>
      </w:r>
      <w:r w:rsidR="00761706">
        <w:t>-</w:t>
      </w:r>
      <w:r w:rsidRPr="00F5684E">
        <w:t>and</w:t>
      </w:r>
      <w:r w:rsidR="00761706">
        <w:t>-</w:t>
      </w:r>
      <w:r w:rsidRPr="00F5684E">
        <w:t>publish agreements without capped publishing quotas</w:t>
      </w:r>
      <w:r>
        <w:t>,</w:t>
      </w:r>
      <w:r>
        <w:rPr>
          <w:rStyle w:val="FootnoteReference"/>
        </w:rPr>
        <w:footnoteReference w:id="78"/>
      </w:r>
      <w:r w:rsidRPr="00F5684E">
        <w:t xml:space="preserve"> however this is not a common model, and it may receive some resistance from some publishers</w:t>
      </w:r>
      <w:r>
        <w:t>.</w:t>
      </w:r>
      <w:r w:rsidRPr="00F5684E">
        <w:t xml:space="preserve"> </w:t>
      </w:r>
    </w:p>
    <w:p w14:paraId="2EDA8FBB" w14:textId="00EDC2AD" w:rsidR="005E6933" w:rsidRPr="0070344D" w:rsidRDefault="005E6933" w:rsidP="00A47B69">
      <w:pPr>
        <w:pStyle w:val="BodyText"/>
      </w:pPr>
      <w:r w:rsidRPr="00563DEE">
        <w:t>The international trend is for a transition away from paying to read (</w:t>
      </w:r>
      <w:r>
        <w:t xml:space="preserve">e.g., </w:t>
      </w:r>
      <w:r w:rsidRPr="00563DEE">
        <w:t>journal subscriptions) to paying to publish (</w:t>
      </w:r>
      <w:r>
        <w:t>e.g.,</w:t>
      </w:r>
      <w:r w:rsidRPr="00563DEE">
        <w:t xml:space="preserve"> APCs or </w:t>
      </w:r>
      <w:r>
        <w:t>p</w:t>
      </w:r>
      <w:r w:rsidRPr="00563DEE">
        <w:t>ublish</w:t>
      </w:r>
      <w:r>
        <w:t>-</w:t>
      </w:r>
      <w:r w:rsidRPr="00563DEE">
        <w:t>and</w:t>
      </w:r>
      <w:r>
        <w:t>-r</w:t>
      </w:r>
      <w:r w:rsidRPr="00563DEE">
        <w:t xml:space="preserve">ead </w:t>
      </w:r>
      <w:r w:rsidR="00F22802">
        <w:t>agreements</w:t>
      </w:r>
      <w:r w:rsidRPr="00563DEE">
        <w:t xml:space="preserve">). </w:t>
      </w:r>
      <w:r>
        <w:t>This fee-for-service approach can increase transparency and may</w:t>
      </w:r>
      <w:r w:rsidRPr="00563DEE">
        <w:t xml:space="preserve"> create a more competitive market</w:t>
      </w:r>
      <w:r>
        <w:t xml:space="preserve"> in which researchers consider the cost of open access publication when deciding which journal to publish </w:t>
      </w:r>
      <w:r w:rsidR="00F22802">
        <w:t>in</w:t>
      </w:r>
      <w:r w:rsidRPr="00563DEE">
        <w:t>.</w:t>
      </w:r>
      <w:r w:rsidRPr="00A52091">
        <w:t xml:space="preserve"> </w:t>
      </w:r>
      <w:r>
        <w:t>However, this does not necessarily improve open access publishing rates</w:t>
      </w:r>
      <w:r w:rsidR="00F22802">
        <w:t>,</w:t>
      </w:r>
      <w:r>
        <w:t xml:space="preserve"> and broad</w:t>
      </w:r>
      <w:r w:rsidRPr="00563DEE">
        <w:t xml:space="preserve"> access to </w:t>
      </w:r>
      <w:r w:rsidR="006F1247">
        <w:t>existing</w:t>
      </w:r>
      <w:r w:rsidRPr="00563DEE">
        <w:t xml:space="preserve"> </w:t>
      </w:r>
      <w:r>
        <w:t>journal articles</w:t>
      </w:r>
      <w:r w:rsidRPr="00563DEE">
        <w:t xml:space="preserve"> is not guaranteed by this approach</w:t>
      </w:r>
      <w:r>
        <w:t>.</w:t>
      </w:r>
      <w:r>
        <w:rPr>
          <w:rStyle w:val="FootnoteReference"/>
        </w:rPr>
        <w:footnoteReference w:id="79"/>
      </w:r>
      <w:r>
        <w:t xml:space="preserve"> </w:t>
      </w:r>
    </w:p>
    <w:p w14:paraId="11C8B987" w14:textId="40E891F0" w:rsidR="005E6933" w:rsidRDefault="005E6933" w:rsidP="00A47B69">
      <w:pPr>
        <w:pStyle w:val="BodyText"/>
      </w:pPr>
      <w:r w:rsidRPr="00563DEE">
        <w:t>By focusing on read</w:t>
      </w:r>
      <w:r w:rsidR="00761706">
        <w:t>-</w:t>
      </w:r>
      <w:r w:rsidRPr="00563DEE">
        <w:t>and</w:t>
      </w:r>
      <w:r w:rsidR="00761706">
        <w:t>-</w:t>
      </w:r>
      <w:r w:rsidRPr="00563DEE">
        <w:t xml:space="preserve">publish </w:t>
      </w:r>
      <w:r>
        <w:t xml:space="preserve">subscription </w:t>
      </w:r>
      <w:r w:rsidRPr="00563DEE">
        <w:t xml:space="preserve">agreements, the </w:t>
      </w:r>
      <w:r w:rsidR="00E77533">
        <w:t>proposed</w:t>
      </w:r>
      <w:r w:rsidRPr="00563DEE">
        <w:t xml:space="preserve"> model seeks to strike a balance between paying for access and </w:t>
      </w:r>
      <w:r w:rsidR="00F22802">
        <w:t xml:space="preserve">paying for </w:t>
      </w:r>
      <w:r w:rsidRPr="00563DEE">
        <w:t>publication</w:t>
      </w:r>
      <w:r>
        <w:t xml:space="preserve">. This is designed to prevent </w:t>
      </w:r>
      <w:r w:rsidRPr="00563DEE">
        <w:t>research intensive universities</w:t>
      </w:r>
      <w:r>
        <w:t xml:space="preserve"> from</w:t>
      </w:r>
      <w:r w:rsidRPr="00563DEE">
        <w:t xml:space="preserve"> bearing most of the cost burden, and </w:t>
      </w:r>
      <w:r>
        <w:t xml:space="preserve">to </w:t>
      </w:r>
      <w:r w:rsidRPr="00563DEE">
        <w:t>cap Australia’s expenditure on academic journal subscriptions and publishing. However, as read</w:t>
      </w:r>
      <w:r w:rsidR="004D16A8">
        <w:t>-</w:t>
      </w:r>
      <w:r w:rsidRPr="00563DEE">
        <w:t>and</w:t>
      </w:r>
      <w:r w:rsidR="004D16A8">
        <w:t>-</w:t>
      </w:r>
      <w:r w:rsidRPr="00563DEE">
        <w:t xml:space="preserve">publish agreements are most compatible with traditional and hybrid journals, </w:t>
      </w:r>
      <w:r>
        <w:t xml:space="preserve">which already feature subscriptions in their </w:t>
      </w:r>
      <w:r w:rsidRPr="00563DEE">
        <w:t>business model</w:t>
      </w:r>
      <w:r w:rsidR="00F22802">
        <w:t>s</w:t>
      </w:r>
      <w:r w:rsidRPr="00563DEE">
        <w:t>, this may create unintended consequences for some journals and publishers (see Chapter</w:t>
      </w:r>
      <w:r>
        <w:t xml:space="preserve"> </w:t>
      </w:r>
      <w:r>
        <w:fldChar w:fldCharType="begin"/>
      </w:r>
      <w:r>
        <w:instrText xml:space="preserve"> REF _Ref84600938 \r \h  \* MERGEFORMAT </w:instrText>
      </w:r>
      <w:r>
        <w:fldChar w:fldCharType="separate"/>
      </w:r>
      <w:r w:rsidR="007E283B">
        <w:t>4.1</w:t>
      </w:r>
      <w:r>
        <w:fldChar w:fldCharType="end"/>
      </w:r>
      <w:r w:rsidRPr="00563DEE">
        <w:t xml:space="preserve">).  </w:t>
      </w:r>
    </w:p>
    <w:p w14:paraId="5C822A30" w14:textId="77777777" w:rsidR="005E6933" w:rsidRPr="00563DEE" w:rsidRDefault="005E6933" w:rsidP="005E6933">
      <w:pPr>
        <w:pStyle w:val="Heading3notnumbered"/>
        <w:jc w:val="both"/>
        <w:rPr>
          <w:rFonts w:asciiTheme="minorHAnsi" w:hAnsiTheme="minorHAnsi" w:cstheme="minorHAnsi"/>
        </w:rPr>
      </w:pPr>
      <w:r w:rsidRPr="00563DEE">
        <w:rPr>
          <w:rFonts w:asciiTheme="minorHAnsi" w:hAnsiTheme="minorHAnsi" w:cstheme="minorHAnsi"/>
        </w:rPr>
        <w:t>Centralised funding</w:t>
      </w:r>
    </w:p>
    <w:p w14:paraId="789EB73E" w14:textId="4435D193" w:rsidR="005E6933" w:rsidRPr="007D35E9" w:rsidRDefault="005E6933" w:rsidP="008C488F">
      <w:pPr>
        <w:pStyle w:val="BodyText"/>
        <w:rPr>
          <w:rFonts w:eastAsiaTheme="majorEastAsia"/>
          <w:color w:val="757579" w:themeColor="accent3"/>
          <w:sz w:val="44"/>
          <w:szCs w:val="28"/>
        </w:rPr>
      </w:pPr>
      <w:r w:rsidRPr="00563DEE">
        <w:t xml:space="preserve">Instead of institutions and individuals paying </w:t>
      </w:r>
      <w:r>
        <w:t>for</w:t>
      </w:r>
      <w:r w:rsidRPr="00563DEE">
        <w:t xml:space="preserve"> subscription</w:t>
      </w:r>
      <w:r>
        <w:t>s</w:t>
      </w:r>
      <w:r w:rsidRPr="00563DEE">
        <w:t xml:space="preserve"> and APCs, </w:t>
      </w:r>
      <w:r w:rsidR="00F22802">
        <w:t>or for their own read</w:t>
      </w:r>
      <w:r w:rsidR="004D16A8">
        <w:t>-</w:t>
      </w:r>
      <w:r w:rsidR="00F22802">
        <w:t>and</w:t>
      </w:r>
      <w:r w:rsidR="004D16A8">
        <w:t>-</w:t>
      </w:r>
      <w:r w:rsidR="00F22802">
        <w:t>publish agreements</w:t>
      </w:r>
      <w:r w:rsidRPr="00563DEE">
        <w:t xml:space="preserve">, </w:t>
      </w:r>
      <w:r w:rsidR="00C47E02">
        <w:t xml:space="preserve">the model proposes that </w:t>
      </w:r>
      <w:r w:rsidRPr="00563DEE">
        <w:t xml:space="preserve">all payments </w:t>
      </w:r>
      <w:r w:rsidR="00E509B2">
        <w:t>would</w:t>
      </w:r>
      <w:r w:rsidRPr="00563DEE">
        <w:t xml:space="preserve"> be managed by </w:t>
      </w:r>
      <w:r w:rsidR="00E509B2">
        <w:t>a national</w:t>
      </w:r>
      <w:r w:rsidRPr="00563DEE">
        <w:t xml:space="preserve"> </w:t>
      </w:r>
      <w:r>
        <w:t>implementation</w:t>
      </w:r>
      <w:r w:rsidRPr="00563DEE">
        <w:t xml:space="preserve"> body.</w:t>
      </w:r>
      <w:r w:rsidR="00E509B2">
        <w:rPr>
          <w:rStyle w:val="FootnoteReference"/>
        </w:rPr>
        <w:footnoteReference w:id="80"/>
      </w:r>
      <w:r w:rsidRPr="00563DEE">
        <w:t xml:space="preserve"> This approach is designed to improve visibility over journal subscriptions and open access costs, </w:t>
      </w:r>
      <w:r>
        <w:t>improve efficiencies</w:t>
      </w:r>
      <w:r w:rsidRPr="00563DEE">
        <w:t xml:space="preserve">, and increase Australia’s </w:t>
      </w:r>
      <w:r w:rsidR="00E33AFC" w:rsidRPr="00E33AFC">
        <w:t>ability to negotiate standard, open access terms</w:t>
      </w:r>
      <w:r w:rsidRPr="00563DEE">
        <w:t xml:space="preserve"> </w:t>
      </w:r>
      <w:r>
        <w:t>with publishers – all acting</w:t>
      </w:r>
      <w:r w:rsidRPr="00563DEE">
        <w:t xml:space="preserve"> to increase the return on Australia’s </w:t>
      </w:r>
      <w:r>
        <w:t>expenditure on research and academic publishing</w:t>
      </w:r>
      <w:r w:rsidRPr="00563DEE">
        <w:t>.</w:t>
      </w:r>
      <w:bookmarkStart w:id="37" w:name="_Ref84254472"/>
      <w:bookmarkStart w:id="38" w:name="_Ref84254480"/>
      <w:r w:rsidRPr="007D35E9">
        <w:br w:type="page"/>
      </w:r>
    </w:p>
    <w:p w14:paraId="7BE8B131" w14:textId="77777777" w:rsidR="005E6933" w:rsidRPr="00563DEE" w:rsidRDefault="005E6933" w:rsidP="005E6933">
      <w:pPr>
        <w:pStyle w:val="Heading1"/>
        <w:jc w:val="both"/>
        <w:rPr>
          <w:rFonts w:asciiTheme="minorHAnsi" w:hAnsiTheme="minorHAnsi" w:cstheme="minorHAnsi"/>
        </w:rPr>
      </w:pPr>
      <w:bookmarkStart w:id="39" w:name="_Ref84407896"/>
      <w:bookmarkStart w:id="40" w:name="_Ref86134488"/>
      <w:bookmarkStart w:id="41" w:name="_Ref86172419"/>
      <w:bookmarkStart w:id="42" w:name="_Toc87629937"/>
      <w:r>
        <w:rPr>
          <w:rFonts w:asciiTheme="minorHAnsi" w:hAnsiTheme="minorHAnsi" w:cstheme="minorHAnsi"/>
        </w:rPr>
        <w:lastRenderedPageBreak/>
        <w:t>Design</w:t>
      </w:r>
      <w:r w:rsidRPr="00563DEE">
        <w:rPr>
          <w:rFonts w:asciiTheme="minorHAnsi" w:hAnsiTheme="minorHAnsi" w:cstheme="minorHAnsi"/>
        </w:rPr>
        <w:t xml:space="preserve"> considerations</w:t>
      </w:r>
      <w:bookmarkEnd w:id="37"/>
      <w:bookmarkEnd w:id="38"/>
      <w:bookmarkEnd w:id="39"/>
      <w:bookmarkEnd w:id="40"/>
      <w:bookmarkEnd w:id="41"/>
      <w:bookmarkEnd w:id="42"/>
    </w:p>
    <w:p w14:paraId="0043A16C" w14:textId="12AD6D45" w:rsidR="005E6933" w:rsidRDefault="000C4BDF" w:rsidP="00A47B69">
      <w:pPr>
        <w:pStyle w:val="BodyText"/>
      </w:pPr>
      <w:r w:rsidRPr="00563DEE">
        <w:t xml:space="preserve">A broad range of </w:t>
      </w:r>
      <w:r>
        <w:t xml:space="preserve">considerations and </w:t>
      </w:r>
      <w:r w:rsidRPr="00563DEE">
        <w:t xml:space="preserve">challenges </w:t>
      </w:r>
      <w:r>
        <w:t xml:space="preserve">related to the proposed model </w:t>
      </w:r>
      <w:r w:rsidRPr="00563DEE">
        <w:t xml:space="preserve">were raised by stakeholders during consultations. These have been grouped into three themes: </w:t>
      </w:r>
      <w:r>
        <w:t>m</w:t>
      </w:r>
      <w:r w:rsidRPr="00563DEE">
        <w:t xml:space="preserve">arket dynamics and competition, affordability and funding, and access and impact. </w:t>
      </w:r>
      <w:r>
        <w:t xml:space="preserve">For each theme, fundamental design questions and potential next steps have been identified to inform the development of a </w:t>
      </w:r>
      <w:r w:rsidRPr="00821DA9">
        <w:t>national open access strategy</w:t>
      </w:r>
      <w:r>
        <w:t>.</w:t>
      </w:r>
      <w:r w:rsidRPr="00821DA9">
        <w:t xml:space="preserve"> </w:t>
      </w:r>
      <w:r>
        <w:t xml:space="preserve">Potential next steps have been </w:t>
      </w:r>
      <w:r w:rsidR="00B17188">
        <w:t xml:space="preserve">identified for each question. Key issues that require further analysis, </w:t>
      </w:r>
      <w:r w:rsidR="00B17188" w:rsidRPr="006155EB">
        <w:t>consultation or planning</w:t>
      </w:r>
      <w:r w:rsidR="00B17188">
        <w:t xml:space="preserve"> </w:t>
      </w:r>
      <w:r w:rsidRPr="006155EB">
        <w:t>are summarised in Chapter</w:t>
      </w:r>
      <w:r w:rsidR="000973A3">
        <w:t xml:space="preserve"> </w:t>
      </w:r>
      <w:r w:rsidR="000973A3">
        <w:fldChar w:fldCharType="begin"/>
      </w:r>
      <w:r w:rsidR="000973A3">
        <w:instrText xml:space="preserve"> REF _Ref86409999 \r \h </w:instrText>
      </w:r>
      <w:r w:rsidR="000973A3">
        <w:fldChar w:fldCharType="separate"/>
      </w:r>
      <w:r w:rsidR="007E283B">
        <w:t>5.1</w:t>
      </w:r>
      <w:r w:rsidR="000973A3">
        <w:fldChar w:fldCharType="end"/>
      </w:r>
      <w:r w:rsidR="005E6933" w:rsidRPr="007D35E9">
        <w:t>.</w:t>
      </w:r>
    </w:p>
    <w:p w14:paraId="0BEE4422" w14:textId="678B3B8B" w:rsidR="009D23E5" w:rsidRPr="00563DEE" w:rsidRDefault="005E6933" w:rsidP="009D23E5">
      <w:pPr>
        <w:pStyle w:val="BodyText"/>
      </w:pPr>
      <w:r w:rsidRPr="00894ED6">
        <w:rPr>
          <w:noProof/>
        </w:rPr>
        <w:drawing>
          <wp:inline distT="0" distB="0" distL="0" distR="0" wp14:anchorId="6AFEFE45" wp14:editId="15A7B8F3">
            <wp:extent cx="6120130" cy="3268345"/>
            <wp:effectExtent l="0" t="0" r="13970" b="0"/>
            <wp:docPr id="31" name="Diagram 31" descr="Boxes outlining the three themes of design considerations for the proposed model and the chapter structure.&#10;&#10;The heading of Box 1 is &quot;4.1 Market dynamics and competition&quot;. It contains one design consideration: &quot;4.1.1 Would the proposed model have unintended consequences on market dynamics?&quot;&#10;&#10;The heading of Box 2 is &quot;4.2 Funding and affordability&quot;.&#10;&#10;It contains three design considerations: &#10;4.2.1 How much would the proposed model cost?&#10;4.2.2 Could Australia successfully negotiate satisfactory agreements with publishers?&quot; and&#10;4.2.3 How could the proposed model be equitably funded?&#10;&#10;The heading of Box 3 is &quot;4.3 Access and impact&quot;.&#10;It contains four design considerations: &#10;4.3.1 What role and value would repositories have under the proposed model?&#10;4.3.2 How would the implementation body provide end-user access for all Australians?&#10;4.3.3 Should specific licensing arrangements be mandated for the model? and&#10;4.3.4 How could the model support industry uptake?">
              <a:extLst xmlns:a="http://schemas.openxmlformats.org/drawingml/2006/main">
                <a:ext uri="{FF2B5EF4-FFF2-40B4-BE49-F238E27FC236}">
                  <a16:creationId xmlns:a16="http://schemas.microsoft.com/office/drawing/2014/main" id="{C2338ECF-9D14-43B5-A98F-D393342496E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9D23E5" w:rsidRPr="00563DEE">
        <w:t>In addition to these themes, stakeholders mentioned broader issues that are out of scope of this analysis, including the role of researcher incentives, the importance of open science</w:t>
      </w:r>
      <w:r w:rsidR="008A6066">
        <w:t xml:space="preserve"> and</w:t>
      </w:r>
      <w:r w:rsidR="009D23E5" w:rsidRPr="00563DEE">
        <w:t xml:space="preserve"> </w:t>
      </w:r>
      <w:r w:rsidR="009D23E5">
        <w:t>i</w:t>
      </w:r>
      <w:r w:rsidR="009D23E5" w:rsidRPr="000C493E">
        <w:t>ndependent bibliometrics</w:t>
      </w:r>
      <w:r w:rsidR="008A6066">
        <w:t>,</w:t>
      </w:r>
      <w:r w:rsidR="009D23E5" w:rsidRPr="000C493E">
        <w:t xml:space="preserve"> </w:t>
      </w:r>
      <w:r w:rsidR="009D23E5" w:rsidRPr="00563DEE">
        <w:t xml:space="preserve">and the consideration of monographs and non-traditional research outputs. These broader considerations are briefly summarised in Chapter </w:t>
      </w:r>
      <w:r w:rsidR="008D1BE0">
        <w:fldChar w:fldCharType="begin"/>
      </w:r>
      <w:r w:rsidR="008D1BE0">
        <w:instrText xml:space="preserve"> REF _Ref86400252 \n \h </w:instrText>
      </w:r>
      <w:r w:rsidR="008D1BE0">
        <w:fldChar w:fldCharType="separate"/>
      </w:r>
      <w:r w:rsidR="007E283B">
        <w:t>5.3</w:t>
      </w:r>
      <w:r w:rsidR="008D1BE0">
        <w:fldChar w:fldCharType="end"/>
      </w:r>
      <w:r w:rsidR="009D23E5" w:rsidRPr="007D35E9">
        <w:t xml:space="preserve">. </w:t>
      </w:r>
    </w:p>
    <w:p w14:paraId="4E97C88A" w14:textId="77777777" w:rsidR="005E6933" w:rsidRPr="007D35E9" w:rsidRDefault="005E6933" w:rsidP="005E6933"/>
    <w:p w14:paraId="2FF52569" w14:textId="77777777" w:rsidR="005E6933" w:rsidRPr="007D35E9" w:rsidRDefault="005E6933" w:rsidP="005E6933">
      <w:pPr>
        <w:rPr>
          <w:color w:val="001D34" w:themeColor="accent2"/>
          <w:sz w:val="32"/>
          <w:szCs w:val="26"/>
        </w:rPr>
      </w:pPr>
      <w:bookmarkStart w:id="43" w:name="_Ref84254891"/>
      <w:r w:rsidRPr="007D35E9">
        <w:br w:type="page"/>
      </w:r>
    </w:p>
    <w:p w14:paraId="6AA8E75D" w14:textId="77777777" w:rsidR="005E6933" w:rsidRPr="00563DEE" w:rsidRDefault="005E6933" w:rsidP="005E6933">
      <w:pPr>
        <w:pStyle w:val="Heading2"/>
        <w:rPr>
          <w:rFonts w:asciiTheme="minorHAnsi" w:eastAsia="Courier New" w:hAnsiTheme="minorHAnsi" w:cstheme="minorHAnsi"/>
        </w:rPr>
      </w:pPr>
      <w:bookmarkStart w:id="44" w:name="_Ref84600938"/>
      <w:bookmarkStart w:id="45" w:name="_Ref84600942"/>
      <w:bookmarkStart w:id="46" w:name="_Toc87629938"/>
      <w:r w:rsidRPr="00563DEE">
        <w:rPr>
          <w:rFonts w:asciiTheme="minorHAnsi" w:eastAsia="Courier New" w:hAnsiTheme="minorHAnsi" w:cstheme="minorHAnsi"/>
        </w:rPr>
        <w:lastRenderedPageBreak/>
        <w:t>Market dynamics and competition</w:t>
      </w:r>
      <w:bookmarkEnd w:id="43"/>
      <w:bookmarkEnd w:id="44"/>
      <w:bookmarkEnd w:id="45"/>
      <w:bookmarkEnd w:id="46"/>
    </w:p>
    <w:p w14:paraId="6CC0B9CB" w14:textId="77777777" w:rsidR="005E6933" w:rsidRPr="00563DEE" w:rsidRDefault="005E6933" w:rsidP="005E6933">
      <w:pPr>
        <w:pStyle w:val="Heading3"/>
        <w:jc w:val="both"/>
        <w:rPr>
          <w:rFonts w:asciiTheme="minorHAnsi" w:eastAsia="Courier New" w:hAnsiTheme="minorHAnsi" w:cstheme="minorHAnsi"/>
        </w:rPr>
      </w:pPr>
      <w:bookmarkStart w:id="47" w:name="_Ref84583405"/>
      <w:r>
        <w:rPr>
          <w:rFonts w:asciiTheme="minorHAnsi" w:eastAsia="Courier New" w:hAnsiTheme="minorHAnsi" w:cstheme="minorHAnsi"/>
        </w:rPr>
        <w:t>Would</w:t>
      </w:r>
      <w:r w:rsidRPr="00563DEE">
        <w:rPr>
          <w:rFonts w:asciiTheme="minorHAnsi" w:eastAsia="Courier New" w:hAnsiTheme="minorHAnsi" w:cstheme="minorHAnsi"/>
        </w:rPr>
        <w:t xml:space="preserve"> the proposed model have unintended consequences on market dynamics?</w:t>
      </w:r>
      <w:bookmarkEnd w:id="47"/>
    </w:p>
    <w:p w14:paraId="20E2E78B" w14:textId="3F760A17" w:rsidR="00C65EAF" w:rsidRPr="00563DEE" w:rsidRDefault="00C65EAF" w:rsidP="00C65EAF">
      <w:pPr>
        <w:pStyle w:val="BodyText"/>
      </w:pPr>
      <w:r w:rsidRPr="00563DEE">
        <w:t xml:space="preserve">Stakeholder consultations highlighted that the </w:t>
      </w:r>
      <w:r>
        <w:t xml:space="preserve">proposed </w:t>
      </w:r>
      <w:r w:rsidRPr="00563DEE">
        <w:t xml:space="preserve">model may risk further </w:t>
      </w:r>
      <w:r>
        <w:t xml:space="preserve">consolidation of </w:t>
      </w:r>
      <w:r w:rsidRPr="00563DEE">
        <w:t>the</w:t>
      </w:r>
      <w:r>
        <w:t xml:space="preserve"> academic publishing </w:t>
      </w:r>
      <w:r w:rsidRPr="00563DEE">
        <w:t>market in favour of major publishers with traditional business models. The model may also potentially be deemed as anti-competitive.</w:t>
      </w:r>
      <w:r>
        <w:t xml:space="preserve"> Further analysis and consultation will be required to understand these market dynamics. </w:t>
      </w:r>
    </w:p>
    <w:p w14:paraId="1AD70908" w14:textId="01C7B051" w:rsidR="005E6933" w:rsidRDefault="005E6933" w:rsidP="005E6933">
      <w:pPr>
        <w:pStyle w:val="Heading4"/>
      </w:pPr>
      <w:r>
        <w:t>Market concentration</w:t>
      </w:r>
    </w:p>
    <w:p w14:paraId="46824096" w14:textId="32294DC3" w:rsidR="005E6933" w:rsidRPr="0007180F" w:rsidRDefault="005E6933" w:rsidP="00A47B69">
      <w:pPr>
        <w:pStyle w:val="BodyText"/>
      </w:pPr>
      <w:r w:rsidRPr="00EB1A38">
        <w:t>Nationally coordinated read</w:t>
      </w:r>
      <w:r w:rsidR="004D16A8">
        <w:t>-</w:t>
      </w:r>
      <w:r w:rsidRPr="00EB1A38">
        <w:t>and</w:t>
      </w:r>
      <w:r w:rsidR="004D16A8">
        <w:t>-</w:t>
      </w:r>
      <w:r w:rsidRPr="00EB1A38">
        <w:t>publish agreements may disadvantage publishers</w:t>
      </w:r>
      <w:r w:rsidR="00402335">
        <w:t xml:space="preserve"> that account for a small share of the Australian publishing market</w:t>
      </w:r>
      <w:r w:rsidRPr="00EB1A38">
        <w:t>.</w:t>
      </w:r>
      <w:r w:rsidRPr="00563DEE">
        <w:rPr>
          <w:b/>
        </w:rPr>
        <w:t xml:space="preserve"> </w:t>
      </w:r>
      <w:r w:rsidRPr="00563DEE">
        <w:t>The biggest weakness of read</w:t>
      </w:r>
      <w:r w:rsidR="004D16A8">
        <w:t>-</w:t>
      </w:r>
      <w:r w:rsidRPr="00563DEE">
        <w:t>and</w:t>
      </w:r>
      <w:r w:rsidR="004D16A8">
        <w:t>-</w:t>
      </w:r>
      <w:r w:rsidRPr="00563DEE">
        <w:t>publish agreements recorded by a Technopolis Group survey is their potential to further consolidate the market</w:t>
      </w:r>
      <w:r w:rsidRPr="00F04276">
        <w:t>.</w:t>
      </w:r>
      <w:r w:rsidRPr="00563DEE">
        <w:rPr>
          <w:rStyle w:val="FootnoteReference"/>
          <w:rFonts w:cstheme="minorHAnsi"/>
        </w:rPr>
        <w:footnoteReference w:id="81"/>
      </w:r>
      <w:r w:rsidRPr="00563DEE">
        <w:t xml:space="preserve"> </w:t>
      </w:r>
      <w:r>
        <w:t>The</w:t>
      </w:r>
      <w:r w:rsidRPr="00563DEE" w:rsidDel="00313F01">
        <w:t xml:space="preserve"> </w:t>
      </w:r>
      <w:r>
        <w:t>publishing</w:t>
      </w:r>
      <w:r w:rsidRPr="00563DEE">
        <w:t xml:space="preserve"> market</w:t>
      </w:r>
      <w:r>
        <w:t xml:space="preserve"> for Australian research is already highly concentrated (</w:t>
      </w:r>
      <w:r w:rsidRPr="009B7C49" w:rsidDel="00B65FEE">
        <w:t>see</w:t>
      </w:r>
      <w:r>
        <w:t xml:space="preserve"> </w:t>
      </w:r>
      <w:r>
        <w:fldChar w:fldCharType="begin"/>
      </w:r>
      <w:r>
        <w:instrText xml:space="preserve"> REF _Ref86243910 \h </w:instrText>
      </w:r>
      <w:r>
        <w:fldChar w:fldCharType="separate"/>
      </w:r>
      <w:r w:rsidR="007E283B">
        <w:t xml:space="preserve">Figure </w:t>
      </w:r>
      <w:r w:rsidR="007E283B">
        <w:rPr>
          <w:noProof/>
        </w:rPr>
        <w:t>11</w:t>
      </w:r>
      <w:r>
        <w:fldChar w:fldCharType="end"/>
      </w:r>
      <w:r w:rsidRPr="009B7C49" w:rsidDel="00B65FEE">
        <w:t>)</w:t>
      </w:r>
      <w:r>
        <w:t>. Only f</w:t>
      </w:r>
      <w:r w:rsidRPr="009B7C49">
        <w:t>our</w:t>
      </w:r>
      <w:r w:rsidRPr="009B7C49" w:rsidDel="00697107">
        <w:t xml:space="preserve"> </w:t>
      </w:r>
      <w:r w:rsidR="00697107">
        <w:t>publishers</w:t>
      </w:r>
      <w:r w:rsidRPr="009B7C49">
        <w:t xml:space="preserve"> account for over half of the publishing market for Australian research, and the top 16 publishers </w:t>
      </w:r>
      <w:r w:rsidR="00697107">
        <w:t>publish</w:t>
      </w:r>
      <w:r w:rsidRPr="009B7C49">
        <w:t xml:space="preserve"> over three quarters of Australian journal articles</w:t>
      </w:r>
      <w:r>
        <w:t>.</w:t>
      </w:r>
      <w:r w:rsidRPr="009B7C49" w:rsidDel="00E81423">
        <w:t xml:space="preserve"> </w:t>
      </w:r>
      <w:r>
        <w:t xml:space="preserve">However, a long tail of publishers </w:t>
      </w:r>
      <w:r w:rsidR="008553CC">
        <w:t>publishes</w:t>
      </w:r>
      <w:r>
        <w:t xml:space="preserve"> the remaining 24% of articles</w:t>
      </w:r>
      <w:r w:rsidRPr="0007180F">
        <w:t>.</w:t>
      </w:r>
      <w:r>
        <w:rPr>
          <w:rStyle w:val="FootnoteReference"/>
        </w:rPr>
        <w:footnoteReference w:id="82"/>
      </w:r>
      <w:r w:rsidRPr="0007180F">
        <w:t xml:space="preserve"> </w:t>
      </w:r>
      <w:r>
        <w:t xml:space="preserve">Further analysis is required to determine the practicality and potential cost of </w:t>
      </w:r>
      <w:r w:rsidR="00107D33">
        <w:t xml:space="preserve">reaching </w:t>
      </w:r>
      <w:r w:rsidRPr="00563DEE">
        <w:t>national read</w:t>
      </w:r>
      <w:r w:rsidR="004D16A8">
        <w:t>-</w:t>
      </w:r>
      <w:r w:rsidRPr="00563DEE">
        <w:t>and</w:t>
      </w:r>
      <w:r w:rsidR="004D16A8">
        <w:t>-</w:t>
      </w:r>
      <w:r w:rsidRPr="00563DEE">
        <w:t xml:space="preserve">publish </w:t>
      </w:r>
      <w:r>
        <w:t>agreements</w:t>
      </w:r>
      <w:r w:rsidRPr="00563DEE">
        <w:t xml:space="preserve"> </w:t>
      </w:r>
      <w:r>
        <w:t xml:space="preserve">with all of these publishers. </w:t>
      </w:r>
      <w:r w:rsidR="000A7943">
        <w:t>T</w:t>
      </w:r>
      <w:r>
        <w:t xml:space="preserve">he </w:t>
      </w:r>
      <w:r w:rsidR="000A7943">
        <w:t>proposed model would risk further concentrati</w:t>
      </w:r>
      <w:r w:rsidR="00697107">
        <w:t>ng</w:t>
      </w:r>
      <w:r w:rsidR="000A7943">
        <w:t xml:space="preserve"> the market if the </w:t>
      </w:r>
      <w:r>
        <w:t>implementation body is</w:t>
      </w:r>
      <w:r w:rsidRPr="00563DEE">
        <w:t xml:space="preserve"> unable to </w:t>
      </w:r>
      <w:r>
        <w:t>enter into</w:t>
      </w:r>
      <w:r w:rsidRPr="00563DEE">
        <w:t xml:space="preserve"> agreements with </w:t>
      </w:r>
      <w:r w:rsidR="00B07296">
        <w:t>that</w:t>
      </w:r>
      <w:r w:rsidR="00697107">
        <w:t xml:space="preserve"> publish less Australian research</w:t>
      </w:r>
      <w:r w:rsidR="00147313" w:rsidRPr="00147313">
        <w:t xml:space="preserve"> </w:t>
      </w:r>
      <w:r w:rsidR="00147313" w:rsidRPr="00563DEE">
        <w:t>publishers</w:t>
      </w:r>
      <w:r w:rsidR="00147313">
        <w:t xml:space="preserve"> (including new entrants and publishers of niche journals)</w:t>
      </w:r>
      <w:r>
        <w:t>.</w:t>
      </w:r>
      <w:r w:rsidRPr="00563DEE">
        <w:rPr>
          <w:b/>
        </w:rPr>
        <w:t xml:space="preserve"> </w:t>
      </w:r>
      <w:r w:rsidR="0077752E">
        <w:t>The</w:t>
      </w:r>
      <w:r w:rsidR="0073099C" w:rsidRPr="00DC6B15">
        <w:t xml:space="preserve"> implementation body </w:t>
      </w:r>
      <w:r w:rsidR="007E56D8">
        <w:t>may</w:t>
      </w:r>
      <w:r w:rsidR="0073099C" w:rsidRPr="00DC6B15">
        <w:t xml:space="preserve"> also need to co</w:t>
      </w:r>
      <w:r w:rsidR="0073099C" w:rsidRPr="00B847BA">
        <w:t>n</w:t>
      </w:r>
      <w:r w:rsidR="0073099C" w:rsidRPr="007106AC">
        <w:t xml:space="preserve">sider </w:t>
      </w:r>
      <w:r w:rsidR="00C82760" w:rsidRPr="007B5ED9">
        <w:t xml:space="preserve">a suitable </w:t>
      </w:r>
      <w:r w:rsidR="0062233B" w:rsidRPr="007B5ED9">
        <w:t xml:space="preserve">governance </w:t>
      </w:r>
      <w:r w:rsidR="00C82760" w:rsidRPr="007B5ED9">
        <w:t>model</w:t>
      </w:r>
      <w:r w:rsidR="00DC6B15" w:rsidRPr="007B5ED9" w:rsidDel="00C82760">
        <w:t xml:space="preserve"> </w:t>
      </w:r>
      <w:r w:rsidR="007E0256">
        <w:t>and how</w:t>
      </w:r>
      <w:r w:rsidR="00DC6B15" w:rsidRPr="00DC6B15">
        <w:rPr>
          <w:bCs/>
        </w:rPr>
        <w:t xml:space="preserve"> </w:t>
      </w:r>
      <w:r w:rsidR="0073099C" w:rsidRPr="00DC6B15">
        <w:t xml:space="preserve">changes </w:t>
      </w:r>
      <w:r w:rsidR="00DC6B15" w:rsidRPr="00B847BA">
        <w:t>t</w:t>
      </w:r>
      <w:r w:rsidR="00DC6B15" w:rsidRPr="007106AC">
        <w:t>o</w:t>
      </w:r>
      <w:r w:rsidR="0073099C" w:rsidRPr="007106AC">
        <w:t xml:space="preserve"> the academic publishing sector</w:t>
      </w:r>
      <w:r w:rsidR="00C82760" w:rsidRPr="007106AC">
        <w:t xml:space="preserve"> </w:t>
      </w:r>
      <w:r w:rsidR="007E0256" w:rsidRPr="007106AC">
        <w:t>could</w:t>
      </w:r>
      <w:r w:rsidR="00C82760" w:rsidRPr="007106AC">
        <w:t xml:space="preserve"> be </w:t>
      </w:r>
      <w:r w:rsidR="007E0256" w:rsidRPr="007106AC">
        <w:t>managed</w:t>
      </w:r>
      <w:r w:rsidR="007B5ED9" w:rsidRPr="007106AC">
        <w:t xml:space="preserve"> to avoid market concentration</w:t>
      </w:r>
      <w:r w:rsidR="00DC6B15" w:rsidRPr="007106AC">
        <w:t>.</w:t>
      </w:r>
    </w:p>
    <w:p w14:paraId="0DF49BAD" w14:textId="3744645D" w:rsidR="005E6933" w:rsidRDefault="005E6933" w:rsidP="00A47B69">
      <w:pPr>
        <w:pStyle w:val="Caption"/>
      </w:pPr>
      <w:bookmarkStart w:id="48" w:name="_Ref86328926"/>
      <w:bookmarkStart w:id="49" w:name="_Ref86243910"/>
      <w:r>
        <w:t xml:space="preserve">Figure </w:t>
      </w:r>
      <w:r w:rsidR="003B28D9">
        <w:fldChar w:fldCharType="begin"/>
      </w:r>
      <w:r w:rsidR="003B28D9">
        <w:instrText xml:space="preserve"> SEQ Figure \* ARABIC </w:instrText>
      </w:r>
      <w:r w:rsidR="003B28D9">
        <w:fldChar w:fldCharType="separate"/>
      </w:r>
      <w:r w:rsidR="007E283B">
        <w:rPr>
          <w:noProof/>
        </w:rPr>
        <w:t>11</w:t>
      </w:r>
      <w:r w:rsidR="003B28D9">
        <w:rPr>
          <w:noProof/>
        </w:rPr>
        <w:fldChar w:fldCharType="end"/>
      </w:r>
      <w:bookmarkEnd w:id="48"/>
      <w:bookmarkEnd w:id="49"/>
      <w:r>
        <w:t>:</w:t>
      </w:r>
      <w:r w:rsidRPr="007E1052">
        <w:t xml:space="preserve"> </w:t>
      </w:r>
      <w:r w:rsidR="00D474BF">
        <w:t>Market share</w:t>
      </w:r>
      <w:r w:rsidR="003A575D" w:rsidRPr="003A575D">
        <w:t xml:space="preserve"> of Australian journal articles published by each </w:t>
      </w:r>
      <w:r w:rsidRPr="002E7B59">
        <w:t>publisher (2011-2020)</w:t>
      </w:r>
      <w:r w:rsidRPr="006D3D44">
        <w:rPr>
          <w:rStyle w:val="FootnoteReference"/>
        </w:rPr>
        <w:footnoteReference w:id="83"/>
      </w:r>
    </w:p>
    <w:p w14:paraId="2AF12D25" w14:textId="22DEBE32" w:rsidR="008553CC" w:rsidRPr="008553CC" w:rsidRDefault="008553CC" w:rsidP="008553CC">
      <w:pPr>
        <w:pStyle w:val="BodyText"/>
        <w:jc w:val="center"/>
      </w:pPr>
      <w:r>
        <w:rPr>
          <w:noProof/>
        </w:rPr>
        <w:drawing>
          <wp:inline distT="0" distB="0" distL="0" distR="0" wp14:anchorId="3F8A1D9D" wp14:editId="00C87731">
            <wp:extent cx="3413760" cy="1945005"/>
            <wp:effectExtent l="0" t="0" r="0" b="0"/>
            <wp:docPr id="87869874" name="Picture 10" descr="Pie chart of market share of Australian journal articles by each publisher from 2011 to 2020. The four largest publishers account for over 50% of the market. This includers Elsevier with 22%, Springer Nature with13%, Wiley with 12%, and Taylor and Francis with 7%. The next 12 biggest publishers by market share account for 22% of Australia's publications. All remaining publishers account for the final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9874" name="Picture 10" descr="Pie chart of market share of Australian journal articles by each publisher from 2011 to 2020. The four largest publishers account for over 50% of the market. This includers Elsevier with 22%, Springer Nature with13%, Wiley with 12%, and Taylor and Francis with 7%. The next 12 biggest publishers by market share account for 22% of Australia's publications. All remaining publishers account for the final 24%.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13760" cy="1945005"/>
                    </a:xfrm>
                    <a:prstGeom prst="rect">
                      <a:avLst/>
                    </a:prstGeom>
                    <a:noFill/>
                  </pic:spPr>
                </pic:pic>
              </a:graphicData>
            </a:graphic>
          </wp:inline>
        </w:drawing>
      </w:r>
    </w:p>
    <w:p w14:paraId="67BF4DE5" w14:textId="54C8C2CD" w:rsidR="005E6933" w:rsidRDefault="005E6933" w:rsidP="005E6933">
      <w:pPr>
        <w:pStyle w:val="Heading4"/>
      </w:pPr>
      <w:r>
        <w:lastRenderedPageBreak/>
        <w:t>Gold open access journals</w:t>
      </w:r>
    </w:p>
    <w:p w14:paraId="55FF3DCA" w14:textId="77777777" w:rsidR="00900521" w:rsidRDefault="005E6933" w:rsidP="00851050">
      <w:pPr>
        <w:pStyle w:val="BodyText"/>
      </w:pPr>
      <w:r w:rsidRPr="007E1052">
        <w:t xml:space="preserve">Publishers of gold open access journals may face a disadvantage. </w:t>
      </w:r>
      <w:r w:rsidRPr="004574C1">
        <w:rPr>
          <w:bCs/>
        </w:rPr>
        <w:t>Gold</w:t>
      </w:r>
      <w:r w:rsidRPr="00563DEE">
        <w:rPr>
          <w:bCs/>
        </w:rPr>
        <w:t xml:space="preserve"> </w:t>
      </w:r>
      <w:r>
        <w:rPr>
          <w:bCs/>
        </w:rPr>
        <w:t>journals</w:t>
      </w:r>
      <w:r w:rsidRPr="00563DEE">
        <w:t xml:space="preserve"> </w:t>
      </w:r>
      <w:r>
        <w:t>have already established pay-to publish open access business models</w:t>
      </w:r>
      <w:r w:rsidR="00900521">
        <w:t>,</w:t>
      </w:r>
      <w:r w:rsidRPr="00563DEE">
        <w:t xml:space="preserve"> typically based on charging APCs</w:t>
      </w:r>
      <w:r>
        <w:t xml:space="preserve"> per paper. There are some precedents for transformative agreements with publishers</w:t>
      </w:r>
      <w:r w:rsidDel="000D3B57">
        <w:t xml:space="preserve"> </w:t>
      </w:r>
      <w:r>
        <w:t>of gold journals, however most of them do not offer unlimited publishing.</w:t>
      </w:r>
      <w:r>
        <w:rPr>
          <w:rStyle w:val="FootnoteReference"/>
        </w:rPr>
        <w:footnoteReference w:id="84"/>
      </w:r>
      <w:r>
        <w:t xml:space="preserve"> </w:t>
      </w:r>
      <w:r w:rsidR="00900521">
        <w:t xml:space="preserve">Publishers of gold journals </w:t>
      </w:r>
      <w:r w:rsidR="00900521" w:rsidRPr="000C4194">
        <w:t xml:space="preserve">may </w:t>
      </w:r>
      <w:r w:rsidR="00900521">
        <w:t>face</w:t>
      </w:r>
      <w:r w:rsidR="00900521" w:rsidRPr="000C4194">
        <w:t xml:space="preserve"> higher costs</w:t>
      </w:r>
      <w:r w:rsidR="00900521">
        <w:t xml:space="preserve"> in adapting their business models and systems to new agreements under the proposed model.</w:t>
      </w:r>
      <w:r>
        <w:t xml:space="preserve"> </w:t>
      </w:r>
    </w:p>
    <w:p w14:paraId="6235BC35" w14:textId="7085EA67" w:rsidR="00851050" w:rsidRDefault="005E6933" w:rsidP="00851050">
      <w:pPr>
        <w:pStyle w:val="BodyText"/>
      </w:pPr>
      <w:r>
        <w:t xml:space="preserve">If gold journals are not willing or able to offer an uncapped </w:t>
      </w:r>
      <w:r w:rsidR="00900521">
        <w:t>publish</w:t>
      </w:r>
      <w:r w:rsidR="006C79EB">
        <w:t>ing</w:t>
      </w:r>
      <w:r w:rsidR="00900521">
        <w:t xml:space="preserve"> agreement,</w:t>
      </w:r>
      <w:r>
        <w:t xml:space="preserve"> they might be excluded from the proposed model.</w:t>
      </w:r>
      <w:r w:rsidRPr="00563DEE">
        <w:t xml:space="preserve"> </w:t>
      </w:r>
      <w:r>
        <w:t xml:space="preserve">If this is the case, </w:t>
      </w:r>
      <w:r w:rsidRPr="00563DEE">
        <w:t xml:space="preserve">researchers </w:t>
      </w:r>
      <w:r>
        <w:t xml:space="preserve">would be incentivised to </w:t>
      </w:r>
      <w:r w:rsidRPr="00563DEE">
        <w:t xml:space="preserve">favour publishers that are </w:t>
      </w:r>
      <w:r>
        <w:t>covered by</w:t>
      </w:r>
      <w:r w:rsidRPr="00563DEE">
        <w:t xml:space="preserve"> the model’s agreements</w:t>
      </w:r>
      <w:r w:rsidRPr="00E62246">
        <w:t xml:space="preserve"> </w:t>
      </w:r>
      <w:r>
        <w:t>t</w:t>
      </w:r>
      <w:r w:rsidRPr="00563DEE">
        <w:t>o avoid paying APCs</w:t>
      </w:r>
      <w:r>
        <w:t>.</w:t>
      </w:r>
      <w:r w:rsidRPr="00563DEE">
        <w:rPr>
          <w:rStyle w:val="FootnoteReference"/>
          <w:rFonts w:cstheme="minorHAnsi"/>
        </w:rPr>
        <w:footnoteReference w:id="85"/>
      </w:r>
      <w:r>
        <w:t xml:space="preserve"> </w:t>
      </w:r>
    </w:p>
    <w:p w14:paraId="2364ED20" w14:textId="4B60AD43" w:rsidR="005E6933" w:rsidRDefault="005E6933" w:rsidP="00A47B69">
      <w:pPr>
        <w:pStyle w:val="BodyText"/>
      </w:pPr>
      <w:r>
        <w:t>Depending on the nature of the agreements, it is also possible that paywalled</w:t>
      </w:r>
      <w:r w:rsidRPr="00610F45">
        <w:t xml:space="preserve"> </w:t>
      </w:r>
      <w:r>
        <w:t>journals</w:t>
      </w:r>
      <w:r w:rsidRPr="00610F45">
        <w:t xml:space="preserve"> would have two sources of revenue (read and publish</w:t>
      </w:r>
      <w:r w:rsidR="004C089D" w:rsidRPr="00610F45">
        <w:t>),</w:t>
      </w:r>
      <w:r w:rsidRPr="00610F45">
        <w:t xml:space="preserve"> but gold open access would only have one (publish)</w:t>
      </w:r>
      <w:r>
        <w:t xml:space="preserve"> u</w:t>
      </w:r>
      <w:r w:rsidRPr="00610F45">
        <w:t xml:space="preserve">nder the </w:t>
      </w:r>
      <w:r>
        <w:t xml:space="preserve">proposed </w:t>
      </w:r>
      <w:r w:rsidRPr="00610F45">
        <w:t xml:space="preserve">model. </w:t>
      </w:r>
      <w:r>
        <w:t xml:space="preserve">While this is already the case, the </w:t>
      </w:r>
      <w:r w:rsidRPr="00A458E8">
        <w:t>model</w:t>
      </w:r>
      <w:r>
        <w:t xml:space="preserve"> could seek to take</w:t>
      </w:r>
      <w:r w:rsidRPr="00610F45">
        <w:t xml:space="preserve"> this into account and potentially rectify this </w:t>
      </w:r>
      <w:r>
        <w:t xml:space="preserve">potential </w:t>
      </w:r>
      <w:r w:rsidRPr="00610F45">
        <w:t xml:space="preserve">imbalance. Similarly, the model may wish to consider how it could support </w:t>
      </w:r>
      <w:r>
        <w:t>diamond/</w:t>
      </w:r>
      <w:r w:rsidRPr="00610F45">
        <w:t>platinum journals</w:t>
      </w:r>
      <w:r>
        <w:t xml:space="preserve"> which do not charge fees</w:t>
      </w:r>
      <w:r w:rsidRPr="00610F45">
        <w:t>.</w:t>
      </w:r>
    </w:p>
    <w:p w14:paraId="1CA72BD0" w14:textId="06045772" w:rsidR="00C21EEE" w:rsidRDefault="00C21EEE" w:rsidP="00C21EEE">
      <w:pPr>
        <w:pStyle w:val="BodyText"/>
        <w:rPr>
          <w:color w:val="FF0000"/>
        </w:rPr>
      </w:pPr>
      <w:r>
        <w:t xml:space="preserve">Further consultation and analysis will be required to determine the extent to which </w:t>
      </w:r>
      <w:r w:rsidR="00900521">
        <w:t xml:space="preserve">gold </w:t>
      </w:r>
      <w:r>
        <w:t>journals and publishers could be disadvantaged</w:t>
      </w:r>
      <w:r w:rsidR="00900521">
        <w:t>,</w:t>
      </w:r>
      <w:r>
        <w:t xml:space="preserve"> and </w:t>
      </w:r>
      <w:r w:rsidR="00900521">
        <w:t xml:space="preserve">how this could be </w:t>
      </w:r>
      <w:r w:rsidR="007062B7">
        <w:t>addressed through</w:t>
      </w:r>
      <w:r>
        <w:t xml:space="preserve"> agreement terms</w:t>
      </w:r>
      <w:r w:rsidRPr="0032256F">
        <w:t xml:space="preserve">. </w:t>
      </w:r>
    </w:p>
    <w:p w14:paraId="2EA173E3" w14:textId="77777777" w:rsidR="005E6933" w:rsidRPr="00DC0176" w:rsidRDefault="005E6933" w:rsidP="005E6933">
      <w:pPr>
        <w:pStyle w:val="Heading4"/>
      </w:pPr>
      <w:r>
        <w:t>Learned societies</w:t>
      </w:r>
    </w:p>
    <w:p w14:paraId="2CF335B7" w14:textId="0B9A9B89" w:rsidR="00900521" w:rsidRDefault="005E6933" w:rsidP="00A47B69">
      <w:pPr>
        <w:pStyle w:val="BodyText"/>
      </w:pPr>
      <w:r>
        <w:t xml:space="preserve">Stakeholders in both the university and publishing sectors </w:t>
      </w:r>
      <w:r w:rsidRPr="00563DEE">
        <w:t>expressed concern about the</w:t>
      </w:r>
      <w:r>
        <w:t xml:space="preserve"> potential</w:t>
      </w:r>
      <w:r w:rsidRPr="00563DEE">
        <w:t xml:space="preserve"> impact of open access </w:t>
      </w:r>
      <w:r>
        <w:t>on</w:t>
      </w:r>
      <w:r w:rsidRPr="00563DEE">
        <w:t xml:space="preserve"> </w:t>
      </w:r>
      <w:r>
        <w:t>learned societies,</w:t>
      </w:r>
      <w:r w:rsidRPr="00563DEE">
        <w:t xml:space="preserve"> </w:t>
      </w:r>
      <w:r>
        <w:t xml:space="preserve">which often publish journals </w:t>
      </w:r>
      <w:r w:rsidR="00900521">
        <w:t>under a traditional publishing model</w:t>
      </w:r>
      <w:r>
        <w:t xml:space="preserve"> for their </w:t>
      </w:r>
      <w:r w:rsidRPr="00563DEE">
        <w:t xml:space="preserve">diverse learned and professional communities. </w:t>
      </w:r>
    </w:p>
    <w:p w14:paraId="02E79D37" w14:textId="6CC68E30" w:rsidR="005E6933" w:rsidRDefault="005E6933" w:rsidP="00A47B69">
      <w:pPr>
        <w:pStyle w:val="BodyText"/>
      </w:pPr>
      <w:r w:rsidRPr="00563DEE">
        <w:t xml:space="preserve">Consultations highlighted that some </w:t>
      </w:r>
      <w:r>
        <w:t>society</w:t>
      </w:r>
      <w:r w:rsidRPr="00563DEE">
        <w:t xml:space="preserve"> publishers are less prepared for </w:t>
      </w:r>
      <w:r w:rsidR="00ED6BDA">
        <w:t>tra</w:t>
      </w:r>
      <w:r w:rsidR="00242433">
        <w:t>nsf</w:t>
      </w:r>
      <w:r w:rsidR="00ED6BDA">
        <w:t xml:space="preserve">ormative </w:t>
      </w:r>
      <w:r w:rsidRPr="00563DEE">
        <w:t xml:space="preserve">open access agreements </w:t>
      </w:r>
      <w:r>
        <w:t>and</w:t>
      </w:r>
      <w:r w:rsidRPr="00563DEE">
        <w:t xml:space="preserve"> many rely on </w:t>
      </w:r>
      <w:r>
        <w:t>journal subscriptions as a key membership benefit.</w:t>
      </w:r>
      <w:r w:rsidRPr="003D671B">
        <w:t xml:space="preserve"> </w:t>
      </w:r>
      <w:r>
        <w:t>A</w:t>
      </w:r>
      <w:r w:rsidR="00062450">
        <w:t xml:space="preserve">dditionally, </w:t>
      </w:r>
      <w:r w:rsidRPr="00563DEE">
        <w:t xml:space="preserve">consultations suggested that some </w:t>
      </w:r>
      <w:r>
        <w:t xml:space="preserve">learned societies </w:t>
      </w:r>
      <w:r w:rsidRPr="00563DEE">
        <w:t>receive up to 80% of their revenue from subscription services</w:t>
      </w:r>
      <w:r>
        <w:t>.</w:t>
      </w:r>
      <w:r w:rsidRPr="003D671B">
        <w:t xml:space="preserve"> </w:t>
      </w:r>
      <w:r w:rsidRPr="00563DEE">
        <w:t xml:space="preserve">While many </w:t>
      </w:r>
      <w:r>
        <w:t>learned societies</w:t>
      </w:r>
      <w:r w:rsidRPr="00563DEE">
        <w:t xml:space="preserve"> see value in open access, a large proportion have not converted to open access as it poses a threat to the value </w:t>
      </w:r>
      <w:r>
        <w:t>proposition of their memberships,</w:t>
      </w:r>
      <w:r w:rsidRPr="00563DEE">
        <w:t xml:space="preserve"> and revenue as a result.</w:t>
      </w:r>
      <w:r>
        <w:t xml:space="preserve"> Further consultation with learned society publishers would </w:t>
      </w:r>
      <w:r w:rsidR="00DD347B">
        <w:t xml:space="preserve">be useful to </w:t>
      </w:r>
      <w:r>
        <w:t xml:space="preserve">understand the </w:t>
      </w:r>
      <w:r w:rsidR="009A6AE4">
        <w:t xml:space="preserve">potential </w:t>
      </w:r>
      <w:r>
        <w:t xml:space="preserve">impact </w:t>
      </w:r>
      <w:r w:rsidR="00DD347B">
        <w:t>on</w:t>
      </w:r>
      <w:r>
        <w:t xml:space="preserve"> </w:t>
      </w:r>
      <w:r w:rsidR="00DD347B">
        <w:t xml:space="preserve">them </w:t>
      </w:r>
      <w:r>
        <w:t>in full.</w:t>
      </w:r>
    </w:p>
    <w:p w14:paraId="0A8700FB" w14:textId="77777777" w:rsidR="005E6933" w:rsidRPr="00563DEE" w:rsidRDefault="005E6933" w:rsidP="005E6933">
      <w:pPr>
        <w:pStyle w:val="Heading4"/>
      </w:pPr>
      <w:r>
        <w:t>C</w:t>
      </w:r>
      <w:r w:rsidRPr="00DC0176">
        <w:t xml:space="preserve">ompetition and </w:t>
      </w:r>
      <w:r>
        <w:t>c</w:t>
      </w:r>
      <w:r w:rsidRPr="00DC0176">
        <w:t xml:space="preserve">onsumer </w:t>
      </w:r>
      <w:r>
        <w:t>l</w:t>
      </w:r>
      <w:r w:rsidRPr="00DC0176">
        <w:t>aw</w:t>
      </w:r>
    </w:p>
    <w:p w14:paraId="783D40EC" w14:textId="2825C211" w:rsidR="005E6933" w:rsidRPr="00563DEE" w:rsidRDefault="005E6933" w:rsidP="00A47B69">
      <w:pPr>
        <w:pStyle w:val="BodyText"/>
      </w:pPr>
      <w:r w:rsidRPr="008F0AD3">
        <w:t xml:space="preserve">The proposed model </w:t>
      </w:r>
      <w:r>
        <w:t xml:space="preserve">needs to consider if it would have the </w:t>
      </w:r>
      <w:r w:rsidRPr="008F0AD3">
        <w:t>potential to breach elements of the Australian Competition and Consumer Law Act</w:t>
      </w:r>
      <w:r>
        <w:t>.</w:t>
      </w:r>
      <w:r w:rsidRPr="00563DEE">
        <w:t xml:space="preserve"> </w:t>
      </w:r>
      <w:r>
        <w:t xml:space="preserve">This requires further consideration as consultations suggested </w:t>
      </w:r>
      <w:r w:rsidR="00DD347B">
        <w:t>it was possible</w:t>
      </w:r>
      <w:r>
        <w:t xml:space="preserve"> the proposed model could be classified as anti-competitive behaviour.</w:t>
      </w:r>
      <w:r w:rsidRPr="00563DEE">
        <w:rPr>
          <w:rStyle w:val="FootnoteReference"/>
          <w:rFonts w:cstheme="minorHAnsi"/>
        </w:rPr>
        <w:footnoteReference w:id="86"/>
      </w:r>
      <w:r>
        <w:t xml:space="preserve"> </w:t>
      </w:r>
      <w:r w:rsidRPr="00563DEE">
        <w:t xml:space="preserve">However, it was suggested that </w:t>
      </w:r>
      <w:r w:rsidR="00DD347B">
        <w:t xml:space="preserve">it would be possible that </w:t>
      </w:r>
      <w:r w:rsidRPr="00563DEE">
        <w:t xml:space="preserve">a public interest exemption may be </w:t>
      </w:r>
      <w:r w:rsidRPr="00563DEE">
        <w:lastRenderedPageBreak/>
        <w:t>obtained</w:t>
      </w:r>
      <w:r>
        <w:t xml:space="preserve">. </w:t>
      </w:r>
      <w:r w:rsidRPr="00563DEE">
        <w:t xml:space="preserve">Following an application for exemption, the Australian Competition and Consumer Commission (ACCC) would undertake further analysis and a public consultation to fully assess the market impacts and the net public benefit. </w:t>
      </w:r>
    </w:p>
    <w:tbl>
      <w:tblPr>
        <w:tblStyle w:val="TableGrid"/>
        <w:tblW w:w="9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5E6933" w14:paraId="0B4BE5E4" w14:textId="77777777" w:rsidTr="00E56EE6">
        <w:tc>
          <w:tcPr>
            <w:tcW w:w="9746" w:type="dxa"/>
            <w:shd w:val="clear" w:color="auto" w:fill="D0EAFF" w:themeFill="accent2" w:themeFillTint="1A"/>
          </w:tcPr>
          <w:p w14:paraId="60F0A737" w14:textId="543B98FA" w:rsidR="005E6933" w:rsidRDefault="005E6933" w:rsidP="00076358">
            <w:pPr>
              <w:pStyle w:val="Heading3notnumbered"/>
            </w:pPr>
            <w:r>
              <w:t>Potential next steps</w:t>
            </w:r>
            <w:r w:rsidRPr="00563DEE">
              <w:t xml:space="preserve"> </w:t>
            </w:r>
          </w:p>
        </w:tc>
      </w:tr>
      <w:tr w:rsidR="005E6933" w14:paraId="7B864385" w14:textId="77777777" w:rsidTr="00E56EE6">
        <w:tc>
          <w:tcPr>
            <w:tcW w:w="9746" w:type="dxa"/>
            <w:shd w:val="clear" w:color="auto" w:fill="D0EAFF" w:themeFill="accent2" w:themeFillTint="1A"/>
          </w:tcPr>
          <w:p w14:paraId="79BF076F" w14:textId="77777777" w:rsidR="005E6933" w:rsidRPr="008249C4" w:rsidRDefault="005E6933" w:rsidP="00E56EE6">
            <w:pPr>
              <w:pStyle w:val="BodyText"/>
              <w:rPr>
                <w:b/>
                <w:bCs/>
              </w:rPr>
            </w:pPr>
            <w:r w:rsidRPr="008249C4">
              <w:rPr>
                <w:b/>
                <w:bCs/>
              </w:rPr>
              <w:t>Analysis</w:t>
            </w:r>
          </w:p>
          <w:p w14:paraId="308D2297" w14:textId="1AB15978" w:rsidR="005E6933" w:rsidRDefault="00C92EEC" w:rsidP="00E56EE6">
            <w:pPr>
              <w:pStyle w:val="ListBullet"/>
              <w:jc w:val="both"/>
            </w:pPr>
            <w:r>
              <w:t>Undertake</w:t>
            </w:r>
            <w:r w:rsidR="005E6933" w:rsidRPr="007358C5">
              <w:t xml:space="preserve"> </w:t>
            </w:r>
            <w:r w:rsidR="005E6933">
              <w:t xml:space="preserve">further analysis to understand potential issues and </w:t>
            </w:r>
            <w:r w:rsidR="005E6933" w:rsidRPr="007358C5">
              <w:t xml:space="preserve">how the model can </w:t>
            </w:r>
            <w:r w:rsidR="00F37642">
              <w:t xml:space="preserve">include </w:t>
            </w:r>
            <w:r w:rsidR="005E6933" w:rsidRPr="00672121">
              <w:t>publishers</w:t>
            </w:r>
            <w:r w:rsidR="00F643B2">
              <w:t xml:space="preserve"> with small</w:t>
            </w:r>
            <w:r w:rsidR="00F37642">
              <w:t>er</w:t>
            </w:r>
            <w:r w:rsidR="00F643B2">
              <w:t xml:space="preserve"> market share</w:t>
            </w:r>
            <w:r w:rsidR="00F37642">
              <w:t>s</w:t>
            </w:r>
            <w:r w:rsidR="005E6933" w:rsidRPr="00672121">
              <w:t xml:space="preserve"> to avoid further market consolidation</w:t>
            </w:r>
            <w:r w:rsidR="005E6933">
              <w:t>. This could include:</w:t>
            </w:r>
          </w:p>
          <w:p w14:paraId="3174B8AC" w14:textId="77777777" w:rsidR="005E6933" w:rsidRDefault="005E6933" w:rsidP="00E56EE6">
            <w:pPr>
              <w:pStyle w:val="ListBullet2"/>
            </w:pPr>
            <w:r w:rsidRPr="00C92EEC">
              <w:t>Collecting</w:t>
            </w:r>
            <w:r w:rsidRPr="007D35E9">
              <w:t xml:space="preserve"> and analys</w:t>
            </w:r>
            <w:r>
              <w:t>ing</w:t>
            </w:r>
            <w:r w:rsidRPr="007D35E9">
              <w:t xml:space="preserve"> more detailed data on journal subscriptions and usage to provide a better understanding of </w:t>
            </w:r>
            <w:r w:rsidRPr="00AB5777">
              <w:t>Australia’s</w:t>
            </w:r>
            <w:r w:rsidRPr="007D35E9">
              <w:t xml:space="preserve"> journal access needs </w:t>
            </w:r>
            <w:r>
              <w:t>to</w:t>
            </w:r>
            <w:r w:rsidRPr="007D35E9">
              <w:t xml:space="preserve"> inform the design and implementation of the model.</w:t>
            </w:r>
          </w:p>
          <w:p w14:paraId="65DD72B4" w14:textId="77777777" w:rsidR="005E6933" w:rsidRPr="00735FE8" w:rsidRDefault="005E6933" w:rsidP="00E56EE6">
            <w:pPr>
              <w:pStyle w:val="ListBullet2"/>
            </w:pPr>
            <w:r w:rsidRPr="00DB54E5">
              <w:t>A</w:t>
            </w:r>
            <w:r w:rsidRPr="00F55946">
              <w:t>nalysing the long tail of publishers that account for a small individual share of Australia’s journal articles to understand the</w:t>
            </w:r>
            <w:r>
              <w:t xml:space="preserve"> number and</w:t>
            </w:r>
            <w:r w:rsidRPr="00F55946">
              <w:t xml:space="preserve"> characteristics of these publishers</w:t>
            </w:r>
            <w:r>
              <w:t>,</w:t>
            </w:r>
            <w:r w:rsidRPr="00F55946">
              <w:t xml:space="preserve"> as well as the potential impact </w:t>
            </w:r>
            <w:r>
              <w:t>on their operations</w:t>
            </w:r>
            <w:r w:rsidRPr="00F55946">
              <w:t>.</w:t>
            </w:r>
            <w:r w:rsidRPr="00B473F7">
              <w:t xml:space="preserve"> </w:t>
            </w:r>
          </w:p>
        </w:tc>
      </w:tr>
      <w:tr w:rsidR="005E6933" w14:paraId="70539686" w14:textId="77777777" w:rsidTr="00E56EE6">
        <w:tc>
          <w:tcPr>
            <w:tcW w:w="9746" w:type="dxa"/>
            <w:shd w:val="clear" w:color="auto" w:fill="D0EAFF" w:themeFill="accent2" w:themeFillTint="1A"/>
          </w:tcPr>
          <w:p w14:paraId="68D9473D" w14:textId="77777777" w:rsidR="005E6933" w:rsidRPr="008249C4" w:rsidRDefault="005E6933" w:rsidP="00E56EE6">
            <w:pPr>
              <w:pStyle w:val="BodyText"/>
              <w:rPr>
                <w:b/>
                <w:bCs/>
              </w:rPr>
            </w:pPr>
            <w:r w:rsidRPr="008249C4">
              <w:rPr>
                <w:b/>
                <w:bCs/>
              </w:rPr>
              <w:t>Consultation</w:t>
            </w:r>
          </w:p>
          <w:p w14:paraId="728EEE29" w14:textId="77777777" w:rsidR="005E6933" w:rsidRDefault="005E6933" w:rsidP="00E56EE6">
            <w:pPr>
              <w:pStyle w:val="ListBullet"/>
              <w:jc w:val="both"/>
            </w:pPr>
            <w:r w:rsidRPr="007D35E9">
              <w:t xml:space="preserve">Conduct additional </w:t>
            </w:r>
            <w:r w:rsidRPr="00AB5777">
              <w:t>roundtable</w:t>
            </w:r>
            <w:r w:rsidRPr="007D35E9">
              <w:t xml:space="preserve"> and public consultations to better understand and address how the model may impact competition in the publishing market.</w:t>
            </w:r>
          </w:p>
        </w:tc>
      </w:tr>
      <w:tr w:rsidR="005E6933" w:rsidRPr="00F37642" w14:paraId="35429641" w14:textId="77777777" w:rsidTr="00E56EE6">
        <w:tc>
          <w:tcPr>
            <w:tcW w:w="9746" w:type="dxa"/>
            <w:shd w:val="clear" w:color="auto" w:fill="D0EAFF" w:themeFill="accent2" w:themeFillTint="1A"/>
          </w:tcPr>
          <w:p w14:paraId="51C287CB" w14:textId="62D0C9CE" w:rsidR="005E6933" w:rsidRPr="00F37642" w:rsidRDefault="005E6933" w:rsidP="00E56EE6">
            <w:pPr>
              <w:pStyle w:val="BodyText"/>
              <w:rPr>
                <w:b/>
                <w:bCs/>
              </w:rPr>
            </w:pPr>
            <w:r w:rsidRPr="00F37642">
              <w:rPr>
                <w:b/>
                <w:bCs/>
              </w:rPr>
              <w:t>Planning</w:t>
            </w:r>
          </w:p>
          <w:p w14:paraId="2EE04CFD" w14:textId="145D491F" w:rsidR="005E6933" w:rsidRPr="00F37642" w:rsidRDefault="005E6933" w:rsidP="00E56EE6">
            <w:pPr>
              <w:pStyle w:val="ListBullet"/>
              <w:jc w:val="both"/>
            </w:pPr>
            <w:r w:rsidRPr="00F37642">
              <w:t xml:space="preserve">Consider how the model can incorporate a degree of flexibility to ensure </w:t>
            </w:r>
            <w:r w:rsidR="00DD347B" w:rsidRPr="00F37642">
              <w:t>it</w:t>
            </w:r>
            <w:r w:rsidRPr="00F37642">
              <w:t xml:space="preserve"> is responsive to the needs of stakeholders and changes in the academic publishing sector. </w:t>
            </w:r>
          </w:p>
          <w:p w14:paraId="6DF6625F" w14:textId="48B41197" w:rsidR="005E6933" w:rsidRPr="00F37642" w:rsidRDefault="005E6933" w:rsidP="00E56EE6">
            <w:pPr>
              <w:pStyle w:val="ListBullet"/>
              <w:jc w:val="both"/>
            </w:pPr>
            <w:r w:rsidRPr="00F37642">
              <w:t xml:space="preserve">Consider a suitable governance model for the proposed implementation body. It may be valuable to have representation from </w:t>
            </w:r>
            <w:r w:rsidR="006201B2" w:rsidRPr="00F37642">
              <w:t xml:space="preserve">different </w:t>
            </w:r>
            <w:r w:rsidRPr="00F37642">
              <w:t xml:space="preserve">sectors to ensure it meets the needs of </w:t>
            </w:r>
            <w:r w:rsidR="006201B2" w:rsidRPr="00F37642">
              <w:t xml:space="preserve">diverse </w:t>
            </w:r>
            <w:r w:rsidRPr="00F37642">
              <w:t>users. A clear scope for the role of any representative body would need to be defined.</w:t>
            </w:r>
          </w:p>
          <w:p w14:paraId="2028B5E6" w14:textId="00F89667" w:rsidR="005E6933" w:rsidRPr="00F37642" w:rsidRDefault="005E6933" w:rsidP="00E56EE6">
            <w:pPr>
              <w:pStyle w:val="ListBullet"/>
              <w:jc w:val="both"/>
            </w:pPr>
            <w:r w:rsidRPr="00F37642">
              <w:t xml:space="preserve">Consider how the model can include gold and diamond open access journals, such as by negotiating publish-only subscription agreements with gold open access publishers. There is some precedent for such a </w:t>
            </w:r>
            <w:r w:rsidR="004C089D" w:rsidRPr="00F37642">
              <w:t>model,</w:t>
            </w:r>
            <w:r w:rsidRPr="00F37642">
              <w:t xml:space="preserve"> but this approach has not been attempted on a national scale.  Alternatively, consider whether a portion of funding should be reserved to pay APCs on a per article basis for Australian research in gold (not hybrid) open access journals. </w:t>
            </w:r>
          </w:p>
          <w:p w14:paraId="557CF151" w14:textId="2EE3DB98" w:rsidR="005E6933" w:rsidRPr="00F37642" w:rsidRDefault="005E6933" w:rsidP="00E56EE6">
            <w:pPr>
              <w:pStyle w:val="ListBullet"/>
              <w:jc w:val="both"/>
            </w:pPr>
            <w:r w:rsidRPr="00F37642">
              <w:t xml:space="preserve">Consider whether the model will need different strategies or agreements to accommodate learned society journals. Continue to engage with the ACCC regarding the application of Australian Competition and Consumer Law Act to the model and apply for a public interest exemption if it is deemed appropriate. </w:t>
            </w:r>
          </w:p>
        </w:tc>
      </w:tr>
    </w:tbl>
    <w:p w14:paraId="568B0FAF" w14:textId="77777777" w:rsidR="005E6933" w:rsidRDefault="005E6933" w:rsidP="005E6933"/>
    <w:p w14:paraId="2FE57EC6" w14:textId="77777777" w:rsidR="005E6933" w:rsidRPr="007D35E9" w:rsidRDefault="005E6933" w:rsidP="005E6933"/>
    <w:p w14:paraId="123D2F60" w14:textId="77777777" w:rsidR="005E6933" w:rsidRDefault="005E6933" w:rsidP="005E6933">
      <w:pPr>
        <w:rPr>
          <w:color w:val="001D34" w:themeColor="accent2"/>
          <w:sz w:val="32"/>
          <w:szCs w:val="26"/>
        </w:rPr>
      </w:pPr>
      <w:bookmarkStart w:id="50" w:name="_Ref84254835"/>
      <w:r>
        <w:br w:type="page"/>
      </w:r>
    </w:p>
    <w:p w14:paraId="504F2741" w14:textId="77777777" w:rsidR="005E6933" w:rsidRPr="00563DEE" w:rsidRDefault="005E6933" w:rsidP="005E6933">
      <w:pPr>
        <w:pStyle w:val="Heading2"/>
        <w:rPr>
          <w:rFonts w:asciiTheme="minorHAnsi" w:eastAsia="Courier New" w:hAnsiTheme="minorHAnsi" w:cstheme="minorHAnsi"/>
        </w:rPr>
      </w:pPr>
      <w:bookmarkStart w:id="51" w:name="_Toc87629939"/>
      <w:r w:rsidRPr="00563DEE">
        <w:rPr>
          <w:rFonts w:asciiTheme="minorHAnsi" w:eastAsia="Courier New" w:hAnsiTheme="minorHAnsi" w:cstheme="minorHAnsi"/>
        </w:rPr>
        <w:lastRenderedPageBreak/>
        <w:t>Funding and affordability</w:t>
      </w:r>
      <w:bookmarkEnd w:id="50"/>
      <w:bookmarkEnd w:id="51"/>
    </w:p>
    <w:p w14:paraId="07A1B6FE" w14:textId="6B56E516" w:rsidR="005E6933" w:rsidRPr="00563DEE" w:rsidRDefault="00940AB4" w:rsidP="00A47B69">
      <w:pPr>
        <w:pStyle w:val="BodyText"/>
      </w:pPr>
      <w:r>
        <w:t>C</w:t>
      </w:r>
      <w:r w:rsidR="005E6933" w:rsidRPr="00563DEE">
        <w:t>ritical concern</w:t>
      </w:r>
      <w:r>
        <w:t>s</w:t>
      </w:r>
      <w:r w:rsidR="005E6933" w:rsidRPr="00563DEE">
        <w:t xml:space="preserve"> for many stakeholders </w:t>
      </w:r>
      <w:r>
        <w:t>include</w:t>
      </w:r>
      <w:r w:rsidR="00033E0C">
        <w:t>d</w:t>
      </w:r>
      <w:r w:rsidR="005E6933" w:rsidRPr="00563DEE">
        <w:t xml:space="preserve"> exactly how the model will be funded, how the transition to </w:t>
      </w:r>
      <w:r w:rsidR="00026635">
        <w:t>the</w:t>
      </w:r>
      <w:r w:rsidR="005E6933" w:rsidRPr="00563DEE">
        <w:t xml:space="preserve"> model would be negotiated, and how it might impact the affordability of reading and publishing in academic journals. </w:t>
      </w:r>
      <w:r w:rsidR="00026635">
        <w:t>However, t</w:t>
      </w:r>
      <w:r w:rsidR="005E6933">
        <w:t xml:space="preserve">here is quite poor visibility of Australia’s total expenditure on journal article subscriptions and open access publishing (see Chapter </w:t>
      </w:r>
      <w:r w:rsidR="00A6619B">
        <w:fldChar w:fldCharType="begin"/>
      </w:r>
      <w:r w:rsidR="00A6619B">
        <w:instrText xml:space="preserve"> REF _Ref86412128 \n \h </w:instrText>
      </w:r>
      <w:r w:rsidR="00A6619B">
        <w:fldChar w:fldCharType="separate"/>
      </w:r>
      <w:r w:rsidR="007E283B">
        <w:t>2</w:t>
      </w:r>
      <w:r w:rsidR="00A6619B">
        <w:fldChar w:fldCharType="end"/>
      </w:r>
      <w:r w:rsidR="005E6933">
        <w:t xml:space="preserve"> and Appendix B). As such, further analysis and engagement will be required.</w:t>
      </w:r>
    </w:p>
    <w:p w14:paraId="61F5E199" w14:textId="77777777" w:rsidR="005E6933" w:rsidRPr="00563DEE" w:rsidRDefault="005E6933" w:rsidP="005E6933">
      <w:pPr>
        <w:pStyle w:val="Heading3"/>
        <w:jc w:val="both"/>
        <w:rPr>
          <w:rFonts w:asciiTheme="minorHAnsi" w:hAnsiTheme="minorHAnsi" w:cstheme="minorHAnsi"/>
        </w:rPr>
      </w:pPr>
      <w:r>
        <w:rPr>
          <w:rFonts w:asciiTheme="minorHAnsi" w:eastAsia="Courier New" w:hAnsiTheme="minorHAnsi" w:cstheme="minorHAnsi"/>
        </w:rPr>
        <w:t>How much would the proposed model cost</w:t>
      </w:r>
      <w:r w:rsidRPr="00563DEE">
        <w:rPr>
          <w:rFonts w:asciiTheme="minorHAnsi" w:hAnsiTheme="minorHAnsi" w:cstheme="minorHAnsi"/>
        </w:rPr>
        <w:t>?</w:t>
      </w:r>
    </w:p>
    <w:p w14:paraId="30DC94AF" w14:textId="0638CAB6" w:rsidR="005E6933" w:rsidRDefault="005E6933" w:rsidP="00A47B69">
      <w:pPr>
        <w:pStyle w:val="BodyText"/>
      </w:pPr>
      <w:r>
        <w:t>C</w:t>
      </w:r>
      <w:r w:rsidRPr="00235C36">
        <w:t>onsultations</w:t>
      </w:r>
      <w:r>
        <w:t xml:space="preserve"> identified a variety of opinions on the overall cost of the proposed model and if Australia would have sufficient funds. A few stakeholders</w:t>
      </w:r>
      <w:r w:rsidR="00026635">
        <w:t>,</w:t>
      </w:r>
      <w:r>
        <w:t xml:space="preserve"> </w:t>
      </w:r>
      <w:r w:rsidRPr="00235C36">
        <w:t xml:space="preserve">including </w:t>
      </w:r>
      <w:r>
        <w:t>a</w:t>
      </w:r>
      <w:r w:rsidRPr="00235C36">
        <w:t xml:space="preserve"> publisher</w:t>
      </w:r>
      <w:r w:rsidR="00026635">
        <w:t>,</w:t>
      </w:r>
      <w:r w:rsidRPr="00235C36">
        <w:t xml:space="preserve"> </w:t>
      </w:r>
      <w:r>
        <w:t>suggested</w:t>
      </w:r>
      <w:r w:rsidRPr="00235C36">
        <w:t xml:space="preserve"> that Australia’s current expenditure on journal article subscriptions and open access publishing should theoretically be sufficient to pay for the model</w:t>
      </w:r>
      <w:r w:rsidR="00033E0C">
        <w:t>.</w:t>
      </w:r>
      <w:r w:rsidRPr="005C607A">
        <w:t xml:space="preserve"> </w:t>
      </w:r>
      <w:r w:rsidR="00033E0C">
        <w:t>However,</w:t>
      </w:r>
      <w:r w:rsidRPr="005C607A">
        <w:t xml:space="preserve"> a greater number of</w:t>
      </w:r>
      <w:r>
        <w:rPr>
          <w:b/>
        </w:rPr>
        <w:t xml:space="preserve"> </w:t>
      </w:r>
      <w:r w:rsidRPr="0062491C">
        <w:rPr>
          <w:bCs/>
        </w:rPr>
        <w:t>stake</w:t>
      </w:r>
      <w:r w:rsidRPr="00EC1314">
        <w:rPr>
          <w:bCs/>
        </w:rPr>
        <w:t>holders</w:t>
      </w:r>
      <w:r w:rsidRPr="0037475E">
        <w:t xml:space="preserve"> </w:t>
      </w:r>
      <w:r>
        <w:t xml:space="preserve">expressed concern that </w:t>
      </w:r>
      <w:r w:rsidRPr="00563DEE">
        <w:t xml:space="preserve">the actual cost of the proposed model may be greater than current expenditure due to the </w:t>
      </w:r>
      <w:r>
        <w:t xml:space="preserve">proposed </w:t>
      </w:r>
      <w:r w:rsidRPr="00563DEE">
        <w:t>model’s aim</w:t>
      </w:r>
      <w:r w:rsidR="00173FF0">
        <w:t>s</w:t>
      </w:r>
      <w:r w:rsidRPr="00563DEE">
        <w:t xml:space="preserve"> to expand read access to all Australian</w:t>
      </w:r>
      <w:r w:rsidR="00026635">
        <w:t xml:space="preserve"> users</w:t>
      </w:r>
      <w:r w:rsidRPr="00563DEE">
        <w:t xml:space="preserve"> and </w:t>
      </w:r>
      <w:r w:rsidR="00173FF0">
        <w:t xml:space="preserve">to </w:t>
      </w:r>
      <w:r w:rsidRPr="00563DEE">
        <w:t xml:space="preserve">significantly increase Australia’s </w:t>
      </w:r>
      <w:r>
        <w:t>open access</w:t>
      </w:r>
      <w:r w:rsidRPr="00563DEE">
        <w:t xml:space="preserve"> </w:t>
      </w:r>
      <w:r w:rsidR="00695870">
        <w:t>rates</w:t>
      </w:r>
      <w:r>
        <w:t xml:space="preserve">. </w:t>
      </w:r>
    </w:p>
    <w:p w14:paraId="3D8AF408" w14:textId="3E2B5B9C" w:rsidR="00141A77" w:rsidRDefault="00490D37" w:rsidP="00141A77">
      <w:pPr>
        <w:pStyle w:val="Heading4"/>
      </w:pPr>
      <w:r>
        <w:t>High-level cost estimates</w:t>
      </w:r>
    </w:p>
    <w:p w14:paraId="1940B8D8" w14:textId="22A72EF4" w:rsidR="005E6933" w:rsidRDefault="005E6933" w:rsidP="00A47B69">
      <w:pPr>
        <w:pStyle w:val="BodyText"/>
      </w:pPr>
      <w:r>
        <w:t>I</w:t>
      </w:r>
      <w:r w:rsidRPr="009B7D1B">
        <w:t xml:space="preserve">nternational </w:t>
      </w:r>
      <w:r w:rsidRPr="00954E8E">
        <w:t>case</w:t>
      </w:r>
      <w:r w:rsidRPr="009B7D1B">
        <w:t xml:space="preserve"> studies</w:t>
      </w:r>
      <w:r>
        <w:rPr>
          <w:rStyle w:val="FootnoteReference"/>
        </w:rPr>
        <w:footnoteReference w:id="87"/>
      </w:r>
      <w:r>
        <w:t xml:space="preserve"> and consultations </w:t>
      </w:r>
      <w:r w:rsidRPr="009B7D1B">
        <w:t xml:space="preserve">suggest that publishers </w:t>
      </w:r>
      <w:r w:rsidRPr="00954E8E">
        <w:t>often</w:t>
      </w:r>
      <w:r w:rsidRPr="009B7D1B">
        <w:t xml:space="preserve"> negotiat</w:t>
      </w:r>
      <w:r>
        <w:t>e</w:t>
      </w:r>
      <w:r w:rsidRPr="009B7D1B">
        <w:t xml:space="preserve"> transformative agreements with consortia on a cost-neutral basis.</w:t>
      </w:r>
      <w:r w:rsidRPr="00563DEE">
        <w:t xml:space="preserve"> This means that the initial overall </w:t>
      </w:r>
      <w:r>
        <w:t>price</w:t>
      </w:r>
      <w:r w:rsidRPr="00563DEE">
        <w:t xml:space="preserve"> of </w:t>
      </w:r>
      <w:r>
        <w:t xml:space="preserve">consolidated </w:t>
      </w:r>
      <w:r w:rsidRPr="00563DEE">
        <w:t xml:space="preserve">agreements </w:t>
      </w:r>
      <w:r w:rsidR="005A726E">
        <w:t>is</w:t>
      </w:r>
      <w:r w:rsidR="005A726E" w:rsidRPr="00563DEE">
        <w:t xml:space="preserve"> </w:t>
      </w:r>
      <w:r w:rsidRPr="00563DEE">
        <w:t xml:space="preserve">based on </w:t>
      </w:r>
      <w:r>
        <w:t xml:space="preserve">the sum of </w:t>
      </w:r>
      <w:r w:rsidR="00231C04">
        <w:t>agreements</w:t>
      </w:r>
      <w:r w:rsidR="005809EB">
        <w:t xml:space="preserve"> with </w:t>
      </w:r>
      <w:r w:rsidR="00256081">
        <w:t xml:space="preserve">existing </w:t>
      </w:r>
      <w:r w:rsidR="005809EB">
        <w:t>users</w:t>
      </w:r>
      <w:r w:rsidR="00231C04">
        <w:t>,</w:t>
      </w:r>
      <w:r w:rsidRPr="00563DEE">
        <w:t xml:space="preserve"> so publishers do not lose revenue. As such, the cost of new agreements </w:t>
      </w:r>
      <w:r>
        <w:t xml:space="preserve">– at least, initially – may </w:t>
      </w:r>
      <w:r w:rsidRPr="00563DEE">
        <w:t xml:space="preserve">be comparable to </w:t>
      </w:r>
      <w:r w:rsidR="005A726E">
        <w:t xml:space="preserve">the sum of </w:t>
      </w:r>
      <w:r w:rsidRPr="00563DEE">
        <w:t>Australia’s current expenditure on subscriptions</w:t>
      </w:r>
      <w:r>
        <w:t xml:space="preserve"> (</w:t>
      </w:r>
      <w:r w:rsidR="00E37FF5">
        <w:t xml:space="preserve">at least </w:t>
      </w:r>
      <w:r>
        <w:t>$302.9</w:t>
      </w:r>
      <w:r w:rsidR="00E37FF5">
        <w:t xml:space="preserve"> million</w:t>
      </w:r>
      <w:r>
        <w:t>), transformative agreements (</w:t>
      </w:r>
      <w:r w:rsidR="00E37FF5">
        <w:t xml:space="preserve">at least </w:t>
      </w:r>
      <w:r>
        <w:t>$4.1</w:t>
      </w:r>
      <w:r w:rsidR="00E37FF5">
        <w:t xml:space="preserve"> million</w:t>
      </w:r>
      <w:r>
        <w:t xml:space="preserve">) and </w:t>
      </w:r>
      <w:r w:rsidRPr="00563DEE">
        <w:t xml:space="preserve">APCs </w:t>
      </w:r>
      <w:r>
        <w:t>(</w:t>
      </w:r>
      <w:r w:rsidR="00E37FF5">
        <w:t xml:space="preserve">at least </w:t>
      </w:r>
      <w:r>
        <w:t>$14.5M</w:t>
      </w:r>
      <w:r w:rsidR="00E37FF5">
        <w:t xml:space="preserve"> million</w:t>
      </w:r>
      <w:r>
        <w:t>). This suggests that the cost of the model’s agreements under a cost-neutral transition would be at least</w:t>
      </w:r>
      <w:r w:rsidRPr="00563DEE">
        <w:t xml:space="preserve"> $3</w:t>
      </w:r>
      <w:r>
        <w:t>21</w:t>
      </w:r>
      <w:r w:rsidRPr="00563DEE">
        <w:t xml:space="preserve"> million</w:t>
      </w:r>
      <w:r>
        <w:t xml:space="preserve"> per year (see Chapter</w:t>
      </w:r>
      <w:r w:rsidR="00C57BCD">
        <w:t xml:space="preserve"> </w:t>
      </w:r>
      <w:r w:rsidR="00C57BCD">
        <w:fldChar w:fldCharType="begin"/>
      </w:r>
      <w:r w:rsidR="00C57BCD">
        <w:instrText xml:space="preserve"> REF _Ref86412228 \n \h </w:instrText>
      </w:r>
      <w:r w:rsidR="00C57BCD">
        <w:fldChar w:fldCharType="separate"/>
      </w:r>
      <w:r w:rsidR="007E283B">
        <w:t>2</w:t>
      </w:r>
      <w:r w:rsidR="00C57BCD">
        <w:fldChar w:fldCharType="end"/>
      </w:r>
      <w:r>
        <w:t>)</w:t>
      </w:r>
      <w:r w:rsidRPr="00563DEE">
        <w:t xml:space="preserve">. </w:t>
      </w:r>
      <w:r w:rsidR="005E30C1" w:rsidRPr="005E30C1">
        <w:t xml:space="preserve"> </w:t>
      </w:r>
      <w:r w:rsidR="005E30C1">
        <w:t>However, is important to note that there is no precedent for providing national read access as per the proposed model.</w:t>
      </w:r>
    </w:p>
    <w:p w14:paraId="78100E47" w14:textId="4B7473AB" w:rsidR="00317815" w:rsidRDefault="005E6933" w:rsidP="00317815">
      <w:pPr>
        <w:pStyle w:val="BodyText"/>
      </w:pPr>
      <w:r>
        <w:t>To provide a benchmark for the potential cost of the proposed model’s agreements, the publish-and-read fee approach adopted by</w:t>
      </w:r>
      <w:r w:rsidRPr="00563DEE">
        <w:t xml:space="preserve"> Germany’s Projekt DEAL </w:t>
      </w:r>
      <w:r>
        <w:t>was scaled to Australia’s research publication output.</w:t>
      </w:r>
      <w:r>
        <w:rPr>
          <w:rStyle w:val="FootnoteReference"/>
        </w:rPr>
        <w:footnoteReference w:id="88"/>
      </w:r>
      <w:r>
        <w:t xml:space="preserve"> This </w:t>
      </w:r>
      <w:r w:rsidRPr="00563DEE">
        <w:t xml:space="preserve">provides a cost estimate of </w:t>
      </w:r>
      <w:r>
        <w:t xml:space="preserve">between </w:t>
      </w:r>
      <w:r w:rsidRPr="00A33476">
        <w:rPr>
          <w:bCs/>
        </w:rPr>
        <w:t>$250-437.5 million</w:t>
      </w:r>
      <w:r>
        <w:rPr>
          <w:bCs/>
        </w:rPr>
        <w:t xml:space="preserve"> per year</w:t>
      </w:r>
      <w:r>
        <w:t xml:space="preserve"> (see </w:t>
      </w:r>
      <w:r w:rsidR="009D3620">
        <w:fldChar w:fldCharType="begin"/>
      </w:r>
      <w:r w:rsidR="009D3620">
        <w:instrText xml:space="preserve"> REF _Ref86409721 \h </w:instrText>
      </w:r>
      <w:r w:rsidR="009D3620">
        <w:fldChar w:fldCharType="separate"/>
      </w:r>
      <w:r w:rsidR="007E283B">
        <w:t xml:space="preserve">Table </w:t>
      </w:r>
      <w:r w:rsidR="007E283B">
        <w:rPr>
          <w:noProof/>
        </w:rPr>
        <w:t>4</w:t>
      </w:r>
      <w:r w:rsidR="009D3620">
        <w:fldChar w:fldCharType="end"/>
      </w:r>
      <w:r w:rsidR="009D3620">
        <w:t xml:space="preserve">, and </w:t>
      </w:r>
      <w:r>
        <w:t>Appendix C for approach and limitations).</w:t>
      </w:r>
      <w:r w:rsidRPr="00563DEE">
        <w:t xml:space="preserve"> </w:t>
      </w:r>
      <w:r w:rsidR="003B3014">
        <w:t xml:space="preserve">While this </w:t>
      </w:r>
      <w:r w:rsidR="00217101">
        <w:t xml:space="preserve">figure </w:t>
      </w:r>
      <w:r w:rsidR="003B3014">
        <w:t>could</w:t>
      </w:r>
      <w:r w:rsidR="001E2039">
        <w:t xml:space="preserve"> </w:t>
      </w:r>
      <w:r w:rsidR="003B3014">
        <w:t xml:space="preserve">be used to </w:t>
      </w:r>
      <w:r w:rsidR="00CA7E92">
        <w:t xml:space="preserve">provide </w:t>
      </w:r>
      <w:r w:rsidR="001E2039">
        <w:t xml:space="preserve">a </w:t>
      </w:r>
      <w:r w:rsidR="003B3014">
        <w:t xml:space="preserve">rough </w:t>
      </w:r>
      <w:r w:rsidR="001E2039">
        <w:t>benchmark</w:t>
      </w:r>
      <w:r w:rsidR="0055446F">
        <w:t xml:space="preserve"> </w:t>
      </w:r>
      <w:r w:rsidR="003B3014">
        <w:t xml:space="preserve">or comparison </w:t>
      </w:r>
      <w:r w:rsidR="0055446F">
        <w:t xml:space="preserve">cost </w:t>
      </w:r>
      <w:r w:rsidR="00FF02F1">
        <w:t xml:space="preserve">for </w:t>
      </w:r>
      <w:r w:rsidR="003B3014">
        <w:t xml:space="preserve">future </w:t>
      </w:r>
      <w:r w:rsidR="00FF02F1">
        <w:t>Australian agreements</w:t>
      </w:r>
      <w:r w:rsidR="0055446F">
        <w:t xml:space="preserve">, it should be noted that </w:t>
      </w:r>
      <w:r w:rsidR="00DB405A">
        <w:t xml:space="preserve">the Projekt DEAL model is </w:t>
      </w:r>
      <w:r w:rsidR="0087036A">
        <w:t>structured differently</w:t>
      </w:r>
      <w:r w:rsidR="00217101">
        <w:t xml:space="preserve"> to the proposed model </w:t>
      </w:r>
      <w:r w:rsidR="0055446F">
        <w:t>and only in</w:t>
      </w:r>
      <w:r w:rsidR="00317815" w:rsidRPr="00563DEE">
        <w:t>cludes read access for Germany’s research institutions.</w:t>
      </w:r>
    </w:p>
    <w:p w14:paraId="12A42DB7" w14:textId="1BE4048C" w:rsidR="005E6933" w:rsidRDefault="005E6933" w:rsidP="00A47B69">
      <w:pPr>
        <w:pStyle w:val="BodyText"/>
      </w:pPr>
      <w:r w:rsidRPr="00563DEE">
        <w:lastRenderedPageBreak/>
        <w:t xml:space="preserve">These figures should be interpreted as </w:t>
      </w:r>
      <w:r>
        <w:t xml:space="preserve">indicative and </w:t>
      </w:r>
      <w:r w:rsidRPr="00563DEE">
        <w:t xml:space="preserve">very high-level benchmark costs for open access publishing of </w:t>
      </w:r>
      <w:r w:rsidR="00611321">
        <w:t xml:space="preserve">all </w:t>
      </w:r>
      <w:r w:rsidRPr="00563DEE">
        <w:t>Australia</w:t>
      </w:r>
      <w:r>
        <w:t>n journal articles</w:t>
      </w:r>
      <w:r w:rsidRPr="00563DEE">
        <w:t xml:space="preserve">. </w:t>
      </w:r>
      <w:r>
        <w:t>Further analysis will be required to increase confidence in the estimate and understand the implications on</w:t>
      </w:r>
      <w:r w:rsidR="00E4718E">
        <w:t xml:space="preserve"> </w:t>
      </w:r>
      <w:r w:rsidR="007E5591">
        <w:t>potential funding sources.</w:t>
      </w:r>
      <w:r w:rsidRPr="00576147">
        <w:t xml:space="preserve"> </w:t>
      </w:r>
    </w:p>
    <w:p w14:paraId="56D893B0" w14:textId="14ED4A80" w:rsidR="005E6933" w:rsidRDefault="005E6933" w:rsidP="00A47B69">
      <w:pPr>
        <w:pStyle w:val="Caption"/>
      </w:pPr>
      <w:bookmarkStart w:id="52" w:name="_Ref86409721"/>
      <w:r>
        <w:t xml:space="preserve">Table </w:t>
      </w:r>
      <w:r w:rsidR="003B28D9">
        <w:fldChar w:fldCharType="begin"/>
      </w:r>
      <w:r w:rsidR="003B28D9">
        <w:instrText xml:space="preserve"> SEQ Table \* ARABIC </w:instrText>
      </w:r>
      <w:r w:rsidR="003B28D9">
        <w:fldChar w:fldCharType="separate"/>
      </w:r>
      <w:r w:rsidR="007E283B">
        <w:rPr>
          <w:noProof/>
        </w:rPr>
        <w:t>4</w:t>
      </w:r>
      <w:r w:rsidR="003B28D9">
        <w:rPr>
          <w:noProof/>
        </w:rPr>
        <w:fldChar w:fldCharType="end"/>
      </w:r>
      <w:bookmarkEnd w:id="52"/>
      <w:r w:rsidRPr="00563DEE">
        <w:t xml:space="preserve">: Potential </w:t>
      </w:r>
      <w:r>
        <w:t>cost estimates</w:t>
      </w:r>
      <w:r w:rsidRPr="00563DEE">
        <w:t xml:space="preserve"> of the </w:t>
      </w:r>
      <w:r>
        <w:t>proposed model</w:t>
      </w:r>
    </w:p>
    <w:tbl>
      <w:tblPr>
        <w:tblStyle w:val="ListTable3-Accent1"/>
        <w:tblW w:w="0" w:type="auto"/>
        <w:jc w:val="center"/>
        <w:tblLook w:val="04A0" w:firstRow="1" w:lastRow="0" w:firstColumn="1" w:lastColumn="0" w:noHBand="0" w:noVBand="1"/>
      </w:tblPr>
      <w:tblGrid>
        <w:gridCol w:w="2689"/>
        <w:gridCol w:w="1086"/>
      </w:tblGrid>
      <w:tr w:rsidR="005E6933" w:rsidRPr="007D35E9" w14:paraId="7CBFF679" w14:textId="77777777" w:rsidTr="001A2404">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100" w:firstRow="0" w:lastRow="0" w:firstColumn="1" w:lastColumn="0" w:oddVBand="0" w:evenVBand="0" w:oddHBand="0" w:evenHBand="0" w:firstRowFirstColumn="1" w:firstRowLastColumn="0" w:lastRowFirstColumn="0" w:lastRowLastColumn="0"/>
            <w:tcW w:w="2689" w:type="dxa"/>
            <w:noWrap/>
            <w:hideMark/>
          </w:tcPr>
          <w:p w14:paraId="4DA6984F" w14:textId="77777777" w:rsidR="005E6933" w:rsidRPr="007D35E9" w:rsidRDefault="005E6933" w:rsidP="001A2404">
            <w:pPr>
              <w:pStyle w:val="ColumnHeading"/>
              <w:rPr>
                <w:b/>
              </w:rPr>
            </w:pPr>
            <w:r>
              <w:rPr>
                <w:b/>
              </w:rPr>
              <w:t>Estimate</w:t>
            </w:r>
          </w:p>
        </w:tc>
        <w:tc>
          <w:tcPr>
            <w:tcW w:w="1086" w:type="dxa"/>
            <w:noWrap/>
            <w:vAlign w:val="center"/>
            <w:hideMark/>
          </w:tcPr>
          <w:p w14:paraId="0B2DF295" w14:textId="77777777" w:rsidR="005E6933" w:rsidRPr="007D35E9" w:rsidRDefault="005E6933" w:rsidP="001A2404">
            <w:pPr>
              <w:pStyle w:val="ColumnHeading"/>
              <w:jc w:val="right"/>
              <w:cnfStyle w:val="100000000000" w:firstRow="1" w:lastRow="0" w:firstColumn="0" w:lastColumn="0" w:oddVBand="0" w:evenVBand="0" w:oddHBand="0" w:evenHBand="0" w:firstRowFirstColumn="0" w:firstRowLastColumn="0" w:lastRowFirstColumn="0" w:lastRowLastColumn="0"/>
              <w:rPr>
                <w:b/>
              </w:rPr>
            </w:pPr>
            <w:r>
              <w:rPr>
                <w:b/>
              </w:rPr>
              <w:t>COST</w:t>
            </w:r>
          </w:p>
        </w:tc>
      </w:tr>
      <w:tr w:rsidR="005E6933" w:rsidRPr="007D35E9" w14:paraId="77D248C0" w14:textId="77777777" w:rsidTr="001A2404">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B5F7092" w14:textId="77777777" w:rsidR="005E6933" w:rsidRPr="0044094E" w:rsidRDefault="005E6933" w:rsidP="00054830">
            <w:pPr>
              <w:pStyle w:val="RowHeading"/>
            </w:pPr>
            <w:r w:rsidRPr="007D35E9">
              <w:t xml:space="preserve">Upper bound </w:t>
            </w:r>
            <w:r>
              <w:t>benchmark</w:t>
            </w:r>
            <w:r w:rsidRPr="007D35E9">
              <w:t xml:space="preserve">  </w:t>
            </w:r>
          </w:p>
        </w:tc>
        <w:tc>
          <w:tcPr>
            <w:tcW w:w="1086" w:type="dxa"/>
            <w:noWrap/>
            <w:vAlign w:val="center"/>
            <w:hideMark/>
          </w:tcPr>
          <w:p w14:paraId="476E918A" w14:textId="77777777" w:rsidR="005E6933" w:rsidRPr="007D35E9" w:rsidRDefault="005E6933" w:rsidP="008823DE">
            <w:pPr>
              <w:pStyle w:val="TableText"/>
              <w:jc w:val="right"/>
              <w:cnfStyle w:val="000000100000" w:firstRow="0" w:lastRow="0" w:firstColumn="0" w:lastColumn="0" w:oddVBand="0" w:evenVBand="0" w:oddHBand="1" w:evenHBand="0" w:firstRowFirstColumn="0" w:firstRowLastColumn="0" w:lastRowFirstColumn="0" w:lastRowLastColumn="0"/>
            </w:pPr>
            <w:r w:rsidRPr="007D35E9">
              <w:t>$437</w:t>
            </w:r>
            <w:r>
              <w:t>.</w:t>
            </w:r>
            <w:r w:rsidRPr="007D35E9">
              <w:t>5</w:t>
            </w:r>
            <w:r>
              <w:t>M</w:t>
            </w:r>
          </w:p>
        </w:tc>
      </w:tr>
      <w:tr w:rsidR="005E6933" w:rsidRPr="007D35E9" w14:paraId="229E41BD" w14:textId="77777777" w:rsidTr="001A2404">
        <w:trPr>
          <w:trHeight w:val="177"/>
          <w:jc w:val="center"/>
        </w:trPr>
        <w:tc>
          <w:tcPr>
            <w:cnfStyle w:val="001000000000" w:firstRow="0" w:lastRow="0" w:firstColumn="1" w:lastColumn="0" w:oddVBand="0" w:evenVBand="0" w:oddHBand="0" w:evenHBand="0" w:firstRowFirstColumn="0" w:firstRowLastColumn="0" w:lastRowFirstColumn="0" w:lastRowLastColumn="0"/>
            <w:tcW w:w="2689" w:type="dxa"/>
            <w:noWrap/>
          </w:tcPr>
          <w:p w14:paraId="593DE3FC" w14:textId="77777777" w:rsidR="005E6933" w:rsidRPr="007D35E9" w:rsidRDefault="005E6933" w:rsidP="00054830">
            <w:pPr>
              <w:pStyle w:val="RowHeading"/>
              <w:rPr>
                <w:b/>
              </w:rPr>
            </w:pPr>
            <w:r>
              <w:rPr>
                <w:b/>
              </w:rPr>
              <w:t>Cost neutral</w:t>
            </w:r>
            <w:r w:rsidRPr="00CE609B">
              <w:t xml:space="preserve"> </w:t>
            </w:r>
          </w:p>
        </w:tc>
        <w:tc>
          <w:tcPr>
            <w:tcW w:w="1086" w:type="dxa"/>
            <w:noWrap/>
          </w:tcPr>
          <w:p w14:paraId="36602CAA" w14:textId="7CCE8191" w:rsidR="005E6933" w:rsidRPr="00231C04" w:rsidRDefault="00FD700E" w:rsidP="008823DE">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b/>
                <w:bCs/>
              </w:rPr>
            </w:pPr>
            <w:r>
              <w:rPr>
                <w:b/>
                <w:bCs/>
              </w:rPr>
              <w:t>&gt;</w:t>
            </w:r>
            <w:r w:rsidR="005E6933" w:rsidRPr="00231C04">
              <w:rPr>
                <w:b/>
                <w:bCs/>
              </w:rPr>
              <w:t>$321M</w:t>
            </w:r>
          </w:p>
        </w:tc>
      </w:tr>
      <w:tr w:rsidR="005E6933" w:rsidRPr="007D35E9" w14:paraId="16695C14" w14:textId="77777777" w:rsidTr="001A2404">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C4CAA2E" w14:textId="77777777" w:rsidR="005E6933" w:rsidRPr="0044094E" w:rsidRDefault="005E6933" w:rsidP="00054830">
            <w:pPr>
              <w:pStyle w:val="RowHeading"/>
            </w:pPr>
            <w:r w:rsidRPr="007D35E9">
              <w:t xml:space="preserve">Lower bound </w:t>
            </w:r>
            <w:r>
              <w:t>benchmark</w:t>
            </w:r>
          </w:p>
        </w:tc>
        <w:tc>
          <w:tcPr>
            <w:tcW w:w="1086" w:type="dxa"/>
            <w:noWrap/>
            <w:vAlign w:val="center"/>
            <w:hideMark/>
          </w:tcPr>
          <w:p w14:paraId="14297B3C" w14:textId="77777777" w:rsidR="005E6933" w:rsidRPr="007D35E9" w:rsidRDefault="005E6933" w:rsidP="008823DE">
            <w:pPr>
              <w:pStyle w:val="TableText"/>
              <w:jc w:val="right"/>
              <w:cnfStyle w:val="000000100000" w:firstRow="0" w:lastRow="0" w:firstColumn="0" w:lastColumn="0" w:oddVBand="0" w:evenVBand="0" w:oddHBand="1" w:evenHBand="0" w:firstRowFirstColumn="0" w:firstRowLastColumn="0" w:lastRowFirstColumn="0" w:lastRowLastColumn="0"/>
            </w:pPr>
            <w:r w:rsidRPr="007D35E9">
              <w:t>$250</w:t>
            </w:r>
            <w:r>
              <w:t>M</w:t>
            </w:r>
          </w:p>
        </w:tc>
      </w:tr>
    </w:tbl>
    <w:p w14:paraId="62FE3658" w14:textId="77777777" w:rsidR="005E6933" w:rsidRPr="00563DEE" w:rsidRDefault="005E6933" w:rsidP="005E6933">
      <w:pPr>
        <w:pStyle w:val="Heading4"/>
      </w:pPr>
      <w:r>
        <w:t>Cost drivers</w:t>
      </w:r>
    </w:p>
    <w:p w14:paraId="4D77A7F5" w14:textId="5E469443" w:rsidR="005E6933" w:rsidRDefault="005E6933" w:rsidP="00A47B69">
      <w:pPr>
        <w:pStyle w:val="BodyText"/>
      </w:pPr>
      <w:r>
        <w:t>A</w:t>
      </w:r>
      <w:r w:rsidRPr="008A1537">
        <w:t xml:space="preserve"> </w:t>
      </w:r>
      <w:r>
        <w:t xml:space="preserve">cost-neutral transition and the potential cost estimates provided </w:t>
      </w:r>
      <w:r w:rsidRPr="008A1537">
        <w:t xml:space="preserve">assumes that publishers agree to provide </w:t>
      </w:r>
      <w:r w:rsidR="00A52452">
        <w:t>increased</w:t>
      </w:r>
      <w:r w:rsidR="00A52452" w:rsidRPr="008A1537">
        <w:t xml:space="preserve"> </w:t>
      </w:r>
      <w:r w:rsidRPr="008A1537">
        <w:t>read</w:t>
      </w:r>
      <w:r w:rsidR="00A52452">
        <w:t xml:space="preserve"> access and open access publishing</w:t>
      </w:r>
      <w:r w:rsidR="00C10CAD">
        <w:t xml:space="preserve"> </w:t>
      </w:r>
      <w:r w:rsidRPr="008A1537">
        <w:t xml:space="preserve">without significantly increasing their prices. </w:t>
      </w:r>
      <w:r>
        <w:t>No comparable transformative agreements that provide read access to an entire nation of potential users were identified</w:t>
      </w:r>
      <w:r w:rsidR="00A52452">
        <w:t xml:space="preserve"> </w:t>
      </w:r>
      <w:r w:rsidR="007C397F">
        <w:t>by this</w:t>
      </w:r>
      <w:r w:rsidR="00A52452">
        <w:t xml:space="preserve"> research</w:t>
      </w:r>
      <w:r>
        <w:t>.</w:t>
      </w:r>
    </w:p>
    <w:p w14:paraId="3298D8F9" w14:textId="77777777" w:rsidR="00114B83" w:rsidRDefault="005B7995" w:rsidP="00A47B69">
      <w:pPr>
        <w:pStyle w:val="BodyText"/>
      </w:pPr>
      <w:r w:rsidRPr="00563DEE">
        <w:t>The proposed model aims to expand read access to all Australian</w:t>
      </w:r>
      <w:r>
        <w:t xml:space="preserve"> users, which </w:t>
      </w:r>
      <w:r w:rsidRPr="00563DEE" w:rsidDel="00A168B4">
        <w:t xml:space="preserve">may </w:t>
      </w:r>
      <w:r>
        <w:t xml:space="preserve">impact </w:t>
      </w:r>
      <w:r w:rsidRPr="00563DEE">
        <w:t>publishers</w:t>
      </w:r>
      <w:r>
        <w:t xml:space="preserve">’ revenue streams from on demand access or subscriptions by companies or individuals. </w:t>
      </w:r>
      <w:r w:rsidR="005E6933">
        <w:t>P</w:t>
      </w:r>
      <w:r w:rsidR="005E6933" w:rsidRPr="00576147">
        <w:t>ublishers may</w:t>
      </w:r>
      <w:r w:rsidR="005E6933">
        <w:t xml:space="preserve"> </w:t>
      </w:r>
      <w:r w:rsidR="005E6933" w:rsidRPr="00576147">
        <w:t xml:space="preserve">attempt to charge additional fees for the </w:t>
      </w:r>
      <w:r w:rsidR="00A52452">
        <w:t>increased read access</w:t>
      </w:r>
      <w:r w:rsidR="005E6933">
        <w:t xml:space="preserve">, which would </w:t>
      </w:r>
      <w:r w:rsidR="00A52452">
        <w:t xml:space="preserve">not align with </w:t>
      </w:r>
      <w:r w:rsidR="005E6933">
        <w:t>the principles of the model</w:t>
      </w:r>
      <w:r w:rsidR="005E6933" w:rsidRPr="00563DEE">
        <w:t>.</w:t>
      </w:r>
      <w:r w:rsidR="001367A6">
        <w:t xml:space="preserve"> </w:t>
      </w:r>
      <w:r w:rsidR="005E6933" w:rsidRPr="00563DEE">
        <w:t xml:space="preserve">Publishers may </w:t>
      </w:r>
      <w:r w:rsidR="005E6933">
        <w:t xml:space="preserve">also </w:t>
      </w:r>
      <w:r w:rsidR="005E6933" w:rsidRPr="00563DEE">
        <w:t xml:space="preserve">seek additional payment for the increased </w:t>
      </w:r>
      <w:r w:rsidR="005E6933">
        <w:t>percentage</w:t>
      </w:r>
      <w:r w:rsidR="005E6933" w:rsidRPr="00563DEE">
        <w:t xml:space="preserve"> of Australian </w:t>
      </w:r>
      <w:r w:rsidR="005E6933">
        <w:t>journal articles</w:t>
      </w:r>
      <w:r w:rsidR="005E6933" w:rsidRPr="00563DEE">
        <w:t xml:space="preserve"> that would be</w:t>
      </w:r>
      <w:r w:rsidR="00114B83">
        <w:t xml:space="preserve"> openly accessible,</w:t>
      </w:r>
      <w:r w:rsidR="005E6933">
        <w:t xml:space="preserve"> </w:t>
      </w:r>
      <w:r>
        <w:t>which would also not align with the</w:t>
      </w:r>
      <w:r w:rsidR="005E6933" w:rsidRPr="00AE07D9">
        <w:t xml:space="preserve"> principles of the model.</w:t>
      </w:r>
      <w:r w:rsidR="005E6933" w:rsidRPr="00AE07D9">
        <w:rPr>
          <w:rStyle w:val="FootnoteReference"/>
          <w:rFonts w:cstheme="minorHAnsi"/>
        </w:rPr>
        <w:footnoteReference w:id="89"/>
      </w:r>
      <w:r w:rsidR="005E6933" w:rsidRPr="00AE07D9">
        <w:t xml:space="preserve"> Some publishers also expressed concern that third party payments</w:t>
      </w:r>
      <w:r w:rsidR="00DD45C0">
        <w:t>,</w:t>
      </w:r>
      <w:r w:rsidR="005E6933" w:rsidRPr="00AE07D9">
        <w:t xml:space="preserve"> including royalties paid by the Copyright Agency for the reuse of copyrighted material by third parties</w:t>
      </w:r>
      <w:r w:rsidR="00DD45C0">
        <w:t>,</w:t>
      </w:r>
      <w:r w:rsidR="005E6933" w:rsidRPr="00AE07D9">
        <w:t xml:space="preserve"> may also be impacted.</w:t>
      </w:r>
    </w:p>
    <w:p w14:paraId="5ED2DB0D" w14:textId="422E82B2" w:rsidR="005E6933" w:rsidRDefault="005B7995" w:rsidP="00A47B69">
      <w:pPr>
        <w:pStyle w:val="BodyText"/>
      </w:pPr>
      <w:r>
        <w:t>However, s</w:t>
      </w:r>
      <w:r w:rsidR="005E6933" w:rsidRPr="00563DEE">
        <w:t>ome stakeholders and analysis</w:t>
      </w:r>
      <w:r w:rsidR="005E6933">
        <w:t xml:space="preserve"> of international models</w:t>
      </w:r>
      <w:r w:rsidR="005E6933" w:rsidRPr="00563DEE">
        <w:t xml:space="preserve"> identified several reasons why </w:t>
      </w:r>
      <w:r w:rsidR="005E6933">
        <w:t>a cost neutral transition may be achievable</w:t>
      </w:r>
      <w:r w:rsidR="005E6933" w:rsidRPr="00563DEE">
        <w:t>. Some stakeholders noted low marginal costs associated with expanding digital access to additional users (if publishers do not need to develop new systems and infrastructure), and the already high profit margins of many publish</w:t>
      </w:r>
      <w:r w:rsidR="005E6933">
        <w:t>ers</w:t>
      </w:r>
      <w:r w:rsidR="005E6933" w:rsidRPr="00563DEE">
        <w:t xml:space="preserve"> as arguments against publishers seeking reimbursement for </w:t>
      </w:r>
      <w:r>
        <w:t>increased</w:t>
      </w:r>
      <w:r w:rsidRPr="00563DEE">
        <w:t xml:space="preserve"> </w:t>
      </w:r>
      <w:r w:rsidR="005E6933" w:rsidRPr="00563DEE">
        <w:t xml:space="preserve">access. Publishers may also benefit from </w:t>
      </w:r>
      <w:r w:rsidR="005E6933">
        <w:t xml:space="preserve">the efficiency and </w:t>
      </w:r>
      <w:r w:rsidR="005E6933" w:rsidRPr="00563DEE">
        <w:t xml:space="preserve">reduced transaction costs of </w:t>
      </w:r>
      <w:r w:rsidR="005E6933">
        <w:t>having to manage only one Australian agreement.</w:t>
      </w:r>
      <w:r w:rsidR="001350FB">
        <w:t xml:space="preserve"> </w:t>
      </w:r>
      <w:r w:rsidR="005E6933">
        <w:t xml:space="preserve">These reasons presented </w:t>
      </w:r>
      <w:r w:rsidR="005E6933" w:rsidRPr="007E5B9A">
        <w:rPr>
          <w:color w:val="auto"/>
        </w:rPr>
        <w:t xml:space="preserve">for </w:t>
      </w:r>
      <w:r w:rsidR="005E6933">
        <w:t xml:space="preserve">and against cost-neutrality for the proposed national agreements have been summarised in </w:t>
      </w:r>
      <w:r w:rsidR="001350FB">
        <w:fldChar w:fldCharType="begin"/>
      </w:r>
      <w:r w:rsidR="001350FB">
        <w:instrText xml:space="preserve"> REF _Ref86340604 \h </w:instrText>
      </w:r>
      <w:r w:rsidR="001350FB">
        <w:fldChar w:fldCharType="separate"/>
      </w:r>
      <w:r w:rsidR="007E283B">
        <w:t xml:space="preserve">Figure </w:t>
      </w:r>
      <w:r w:rsidR="007E283B">
        <w:rPr>
          <w:noProof/>
        </w:rPr>
        <w:t>12</w:t>
      </w:r>
      <w:r w:rsidR="001350FB">
        <w:fldChar w:fldCharType="end"/>
      </w:r>
      <w:r w:rsidR="001350FB">
        <w:t xml:space="preserve"> </w:t>
      </w:r>
      <w:r w:rsidR="005E6933">
        <w:t>below:</w:t>
      </w:r>
    </w:p>
    <w:p w14:paraId="230CDF85" w14:textId="1FDB36F8" w:rsidR="0019086B" w:rsidRPr="00C4344D" w:rsidRDefault="0019086B" w:rsidP="0019086B">
      <w:pPr>
        <w:pStyle w:val="Caption"/>
      </w:pPr>
      <w:bookmarkStart w:id="53" w:name="_Ref86340604"/>
      <w:r>
        <w:lastRenderedPageBreak/>
        <w:t xml:space="preserve">Figure </w:t>
      </w:r>
      <w:r w:rsidR="003B28D9">
        <w:fldChar w:fldCharType="begin"/>
      </w:r>
      <w:r w:rsidR="003B28D9">
        <w:instrText xml:space="preserve"> SEQ Figure \* ARABIC </w:instrText>
      </w:r>
      <w:r w:rsidR="003B28D9">
        <w:fldChar w:fldCharType="separate"/>
      </w:r>
      <w:r w:rsidR="007E283B">
        <w:rPr>
          <w:noProof/>
        </w:rPr>
        <w:t>12</w:t>
      </w:r>
      <w:r w:rsidR="003B28D9">
        <w:rPr>
          <w:noProof/>
        </w:rPr>
        <w:fldChar w:fldCharType="end"/>
      </w:r>
      <w:bookmarkEnd w:id="53"/>
      <w:r>
        <w:t>: Cost drivers for proposed national agreement compared to existing agreements</w:t>
      </w:r>
    </w:p>
    <w:p w14:paraId="226FF019" w14:textId="42C2E345" w:rsidR="005E6933" w:rsidRDefault="0019086B" w:rsidP="0049386A">
      <w:pPr>
        <w:pStyle w:val="BodyText"/>
        <w:jc w:val="center"/>
      </w:pPr>
      <w:r>
        <w:rPr>
          <w:noProof/>
        </w:rPr>
        <w:drawing>
          <wp:inline distT="0" distB="0" distL="0" distR="0" wp14:anchorId="29E45E64" wp14:editId="3070ABAD">
            <wp:extent cx="4397496" cy="2385500"/>
            <wp:effectExtent l="0" t="0" r="3175" b="0"/>
            <wp:docPr id="45" name="Picture 45" descr="Drivers of cost increases include:&#10;1. Expanding agreements to include unlimited open access publishing.&#10;2. Expanding agreements to include read access to all Australians, and&#10;3. Potential impacts on third party payments.&#10;&#10;Drivers of cost reductions include:&#10;1. Low and marginal costs to expand digital access to publishing services.&#10;2. Increased efficiency and reduced transaction costs for publishers and&#10;3. High profit margins of many 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rivers of cost increases include:&#10;1. Expanding agreements to include unlimited open access publishing.&#10;2. Expanding agreements to include read access to all Australians, and&#10;3. Potential impacts on third party payments.&#10;&#10;Drivers of cost reductions include:&#10;1. Low and marginal costs to expand digital access to publishing services.&#10;2. Increased efficiency and reduced transaction costs for publishers and&#10;3. High profit margins of many publishe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4628" cy="2394794"/>
                    </a:xfrm>
                    <a:prstGeom prst="rect">
                      <a:avLst/>
                    </a:prstGeom>
                    <a:noFill/>
                  </pic:spPr>
                </pic:pic>
              </a:graphicData>
            </a:graphic>
          </wp:inline>
        </w:drawing>
      </w:r>
    </w:p>
    <w:p w14:paraId="530C647C" w14:textId="77777777" w:rsidR="00B1317F" w:rsidRPr="009733B1" w:rsidRDefault="00B1317F" w:rsidP="00647958">
      <w:pPr>
        <w:pStyle w:val="BodyText"/>
      </w:pPr>
    </w:p>
    <w:tbl>
      <w:tblPr>
        <w:tblStyle w:val="TableGrid"/>
        <w:tblW w:w="97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854079" w14:paraId="20C7665B" w14:textId="77777777" w:rsidTr="00076358">
        <w:tc>
          <w:tcPr>
            <w:tcW w:w="9746" w:type="dxa"/>
            <w:shd w:val="clear" w:color="auto" w:fill="D0EAFF" w:themeFill="accent2" w:themeFillTint="1A"/>
          </w:tcPr>
          <w:p w14:paraId="3B5AADB9" w14:textId="77777777" w:rsidR="005E6933" w:rsidRDefault="005E6933" w:rsidP="00076358">
            <w:pPr>
              <w:pStyle w:val="Heading3notnumbered"/>
            </w:pPr>
            <w:r>
              <w:t>Potential next steps</w:t>
            </w:r>
            <w:r w:rsidRPr="00563DEE">
              <w:t xml:space="preserve"> </w:t>
            </w:r>
          </w:p>
        </w:tc>
      </w:tr>
      <w:tr w:rsidR="00854079" w14:paraId="3DFC683C" w14:textId="77777777" w:rsidTr="00076358">
        <w:tc>
          <w:tcPr>
            <w:tcW w:w="9746" w:type="dxa"/>
            <w:shd w:val="clear" w:color="auto" w:fill="D0EAFF" w:themeFill="accent2" w:themeFillTint="1A"/>
          </w:tcPr>
          <w:p w14:paraId="1CAE63DD" w14:textId="77777777" w:rsidR="005E6933" w:rsidRPr="007B2CEF" w:rsidRDefault="005E6933" w:rsidP="00A47B69">
            <w:pPr>
              <w:pStyle w:val="BodyText"/>
              <w:rPr>
                <w:b/>
                <w:bCs/>
              </w:rPr>
            </w:pPr>
            <w:r w:rsidRPr="007B2CEF">
              <w:rPr>
                <w:b/>
                <w:bCs/>
              </w:rPr>
              <w:t>Analysis</w:t>
            </w:r>
          </w:p>
          <w:p w14:paraId="6939CE9A" w14:textId="48F6CE2A" w:rsidR="005E6933" w:rsidRDefault="009B32EA" w:rsidP="00E56EE6">
            <w:pPr>
              <w:pStyle w:val="ListBullet"/>
              <w:jc w:val="both"/>
            </w:pPr>
            <w:r>
              <w:t>C</w:t>
            </w:r>
            <w:r w:rsidR="005E6933">
              <w:t xml:space="preserve">onduct </w:t>
            </w:r>
            <w:r w:rsidR="005E6933" w:rsidRPr="00C26545">
              <w:t>further analysis to increase confidence in Australia’s current expenditure and the potential costs associated with the proposed model.</w:t>
            </w:r>
            <w:r w:rsidR="005E6933" w:rsidRPr="0052058B">
              <w:t xml:space="preserve"> </w:t>
            </w:r>
            <w:r w:rsidR="005E6933">
              <w:t>This analysis could include, but is not limited to:</w:t>
            </w:r>
          </w:p>
          <w:p w14:paraId="69B7E86C" w14:textId="77777777" w:rsidR="005E6933" w:rsidRPr="00D168C7" w:rsidRDefault="005E6933" w:rsidP="00E56EE6">
            <w:pPr>
              <w:pStyle w:val="ListBullet2"/>
            </w:pPr>
            <w:r w:rsidRPr="00D168C7">
              <w:t>Detailed data collection and analysis of current expenditure from Australian stakeholders.</w:t>
            </w:r>
          </w:p>
          <w:p w14:paraId="4F5C6873" w14:textId="57C8741F" w:rsidR="005E6933" w:rsidRPr="00E52E13" w:rsidRDefault="005E6933" w:rsidP="00E56EE6">
            <w:pPr>
              <w:pStyle w:val="ListBullet2"/>
            </w:pPr>
            <w:r w:rsidRPr="00F8751B">
              <w:t>Consideration of how indirect benefits (across industry, society</w:t>
            </w:r>
            <w:r w:rsidR="00506290" w:rsidRPr="00F8751B">
              <w:t>,</w:t>
            </w:r>
            <w:r w:rsidRPr="00F8751B">
              <w:t xml:space="preserve"> and government) from </w:t>
            </w:r>
            <w:r w:rsidR="00F8751B" w:rsidRPr="00F8751B">
              <w:t>op</w:t>
            </w:r>
            <w:r w:rsidR="00F8751B" w:rsidRPr="00E52E13">
              <w:t xml:space="preserve">en </w:t>
            </w:r>
            <w:r w:rsidR="00506290" w:rsidRPr="00F8751B">
              <w:t xml:space="preserve">access </w:t>
            </w:r>
            <w:r w:rsidRPr="00F8751B">
              <w:t>could be measured, recognised</w:t>
            </w:r>
            <w:r w:rsidR="00D133B2">
              <w:t>,</w:t>
            </w:r>
            <w:r w:rsidRPr="00F8751B">
              <w:t xml:space="preserve"> and used to strengthen the case for funding of the proposed model</w:t>
            </w:r>
            <w:r w:rsidRPr="00E52E13">
              <w:t>.</w:t>
            </w:r>
          </w:p>
          <w:p w14:paraId="259FDE2F" w14:textId="6E6E7BDC" w:rsidR="007A1630" w:rsidRPr="00FC1563" w:rsidRDefault="005E6933" w:rsidP="00E56EE6">
            <w:pPr>
              <w:pStyle w:val="ListBullet2"/>
            </w:pPr>
            <w:r w:rsidRPr="007857F7">
              <w:t>Analysis of transformative agreements from international jurisdictions,</w:t>
            </w:r>
            <w:r w:rsidRPr="00CA756A">
              <w:t xml:space="preserve"> </w:t>
            </w:r>
            <w:r w:rsidR="00637C27" w:rsidRPr="00CA756A">
              <w:t>of</w:t>
            </w:r>
            <w:r w:rsidRPr="006B4A8C">
              <w:t xml:space="preserve"> opportunities to lower costs </w:t>
            </w:r>
            <w:r w:rsidR="007A1630" w:rsidRPr="002C7F75">
              <w:t xml:space="preserve">and </w:t>
            </w:r>
            <w:r w:rsidR="00637C27" w:rsidRPr="00C15189">
              <w:t xml:space="preserve">of </w:t>
            </w:r>
            <w:r w:rsidR="007A1630" w:rsidRPr="00C15189">
              <w:t>any subscription and pricing data provided by publishers.</w:t>
            </w:r>
          </w:p>
          <w:p w14:paraId="3B2C3278" w14:textId="6C16AAFC" w:rsidR="00E61A01" w:rsidRPr="00175AEC" w:rsidRDefault="00F8751B" w:rsidP="00E52E13">
            <w:pPr>
              <w:pStyle w:val="ListBullet2"/>
              <w:rPr>
                <w:b/>
              </w:rPr>
            </w:pPr>
            <w:r>
              <w:t>Estimation of other</w:t>
            </w:r>
            <w:r w:rsidRPr="00F8751B">
              <w:t xml:space="preserve"> </w:t>
            </w:r>
            <w:r w:rsidR="000A12E8" w:rsidRPr="00F8751B">
              <w:t>costs</w:t>
            </w:r>
            <w:r>
              <w:t xml:space="preserve"> associated with the model</w:t>
            </w:r>
            <w:r w:rsidR="00F017CC">
              <w:t>,</w:t>
            </w:r>
            <w:r w:rsidR="00317EDF" w:rsidRPr="00F8751B">
              <w:t xml:space="preserve"> </w:t>
            </w:r>
            <w:r>
              <w:t xml:space="preserve">including the cost of </w:t>
            </w:r>
            <w:r w:rsidR="00460C2B" w:rsidRPr="00F8751B">
              <w:t>negotiat</w:t>
            </w:r>
            <w:r>
              <w:t>ing</w:t>
            </w:r>
            <w:r w:rsidR="00460C2B" w:rsidRPr="00F8751B">
              <w:t xml:space="preserve"> national</w:t>
            </w:r>
            <w:r w:rsidR="009F36F0" w:rsidRPr="00F8751B">
              <w:t xml:space="preserve"> read</w:t>
            </w:r>
            <w:r w:rsidR="004D16A8">
              <w:t>-</w:t>
            </w:r>
            <w:r w:rsidR="009F36F0" w:rsidRPr="00F8751B">
              <w:t>and</w:t>
            </w:r>
            <w:r w:rsidR="004D16A8">
              <w:t>-</w:t>
            </w:r>
            <w:r w:rsidR="009F36F0" w:rsidRPr="00F8751B">
              <w:t>publish</w:t>
            </w:r>
            <w:r w:rsidR="00460C2B" w:rsidRPr="00F8751B">
              <w:t xml:space="preserve"> agreements</w:t>
            </w:r>
            <w:r>
              <w:t xml:space="preserve"> and the costs associated with related infrastructure</w:t>
            </w:r>
            <w:r w:rsidR="00460C2B" w:rsidRPr="00F8751B">
              <w:t>.</w:t>
            </w:r>
          </w:p>
          <w:p w14:paraId="0F2949AF" w14:textId="1F2FFA1F" w:rsidR="005E6933" w:rsidRPr="00E52E13" w:rsidRDefault="005E6933" w:rsidP="00E52E13">
            <w:pPr>
              <w:pStyle w:val="ListBullet2"/>
              <w:rPr>
                <w:b/>
              </w:rPr>
            </w:pPr>
            <w:r w:rsidRPr="00F8751B" w:rsidDel="006A52CC">
              <w:t xml:space="preserve">Modelling </w:t>
            </w:r>
            <w:r w:rsidR="00AF526B">
              <w:t xml:space="preserve">of different cost drivers to understand the proposed </w:t>
            </w:r>
            <w:r w:rsidR="00AF526B" w:rsidRPr="00D168C7">
              <w:t>model</w:t>
            </w:r>
            <w:r w:rsidR="00AF526B">
              <w:t>’</w:t>
            </w:r>
            <w:r w:rsidR="00AF526B" w:rsidRPr="00D168C7">
              <w:t>s</w:t>
            </w:r>
            <w:r w:rsidR="00AF630F">
              <w:t xml:space="preserve"> potential</w:t>
            </w:r>
            <w:r w:rsidR="00AF526B" w:rsidRPr="00D168C7">
              <w:t xml:space="preserve"> long</w:t>
            </w:r>
            <w:r w:rsidR="00AF526B">
              <w:t>-</w:t>
            </w:r>
            <w:r w:rsidR="00AF526B" w:rsidRPr="00D168C7">
              <w:t>term cost</w:t>
            </w:r>
            <w:r w:rsidR="00AF526B">
              <w:t>s. For example, modelling</w:t>
            </w:r>
            <w:r w:rsidR="00AF526B" w:rsidRPr="00F8751B">
              <w:t xml:space="preserve"> </w:t>
            </w:r>
            <w:r w:rsidRPr="00F8751B" w:rsidDel="006A52CC">
              <w:t xml:space="preserve">the implications of changes to </w:t>
            </w:r>
            <w:r w:rsidR="00481377" w:rsidRPr="00F8751B" w:rsidDel="00BF59DA">
              <w:t xml:space="preserve">reading and </w:t>
            </w:r>
            <w:r w:rsidR="004A04B6" w:rsidRPr="00F8751B" w:rsidDel="00BF59DA">
              <w:t xml:space="preserve">publishing </w:t>
            </w:r>
            <w:r w:rsidRPr="00F8751B" w:rsidDel="006A52CC">
              <w:t>pricing and</w:t>
            </w:r>
            <w:r w:rsidRPr="00D168C7" w:rsidDel="006A52CC">
              <w:t xml:space="preserve"> </w:t>
            </w:r>
            <w:r w:rsidR="00AF526B">
              <w:t xml:space="preserve">the </w:t>
            </w:r>
            <w:r w:rsidR="00637C27" w:rsidDel="00BF59DA">
              <w:t>number of</w:t>
            </w:r>
            <w:r w:rsidRPr="00D168C7" w:rsidDel="00BF59DA">
              <w:t xml:space="preserve"> </w:t>
            </w:r>
            <w:r w:rsidRPr="00D168C7" w:rsidDel="006A52CC">
              <w:t>Australia</w:t>
            </w:r>
            <w:r w:rsidRPr="00D168C7" w:rsidDel="00BF59DA">
              <w:t>n</w:t>
            </w:r>
            <w:r w:rsidRPr="00D168C7" w:rsidDel="006A52CC">
              <w:t xml:space="preserve"> journal article</w:t>
            </w:r>
            <w:r w:rsidR="00415853" w:rsidDel="006A52CC">
              <w:t>s</w:t>
            </w:r>
            <w:r w:rsidRPr="00D168C7" w:rsidDel="006A52CC">
              <w:t xml:space="preserve"> </w:t>
            </w:r>
            <w:r w:rsidRPr="00D168C7">
              <w:t>author</w:t>
            </w:r>
            <w:r w:rsidR="00637C27">
              <w:t>ed</w:t>
            </w:r>
            <w:r w:rsidR="00AF526B">
              <w:t>.</w:t>
            </w:r>
            <w:r w:rsidR="00AF526B" w:rsidRPr="00D168C7" w:rsidDel="00AF526B">
              <w:t xml:space="preserve"> </w:t>
            </w:r>
          </w:p>
        </w:tc>
      </w:tr>
    </w:tbl>
    <w:p w14:paraId="17379F57" w14:textId="77777777" w:rsidR="005E6933" w:rsidRPr="003F22A1" w:rsidRDefault="005E6933" w:rsidP="00A47B69">
      <w:pPr>
        <w:pStyle w:val="BodyText"/>
      </w:pPr>
    </w:p>
    <w:p w14:paraId="4BE88267" w14:textId="77777777" w:rsidR="005E6933" w:rsidRPr="00563DEE" w:rsidRDefault="005E6933" w:rsidP="005E6933">
      <w:pPr>
        <w:pStyle w:val="Heading3"/>
        <w:rPr>
          <w:rFonts w:asciiTheme="minorHAnsi" w:eastAsia="Courier New" w:hAnsiTheme="minorHAnsi" w:cstheme="minorHAnsi"/>
        </w:rPr>
      </w:pPr>
      <w:r>
        <w:rPr>
          <w:rFonts w:asciiTheme="minorHAnsi" w:eastAsia="Courier New" w:hAnsiTheme="minorHAnsi" w:cstheme="minorHAnsi"/>
        </w:rPr>
        <w:t xml:space="preserve">Could Australia </w:t>
      </w:r>
      <w:r w:rsidRPr="00563DEE">
        <w:rPr>
          <w:rFonts w:asciiTheme="minorHAnsi" w:eastAsia="Courier New" w:hAnsiTheme="minorHAnsi" w:cstheme="minorHAnsi"/>
        </w:rPr>
        <w:t>successfully negotiate satisfactory agreements with publishers?</w:t>
      </w:r>
    </w:p>
    <w:p w14:paraId="692270F8" w14:textId="400E905E" w:rsidR="005E6933" w:rsidRPr="0067787F" w:rsidRDefault="000E7F9F" w:rsidP="0040313B">
      <w:pPr>
        <w:pStyle w:val="BodyText"/>
      </w:pPr>
      <w:r>
        <w:t>S</w:t>
      </w:r>
      <w:r w:rsidR="004E6495">
        <w:t>ome s</w:t>
      </w:r>
      <w:r w:rsidR="005E6933" w:rsidRPr="0067787F">
        <w:t>takeholders</w:t>
      </w:r>
      <w:r w:rsidR="00514745">
        <w:t xml:space="preserve"> also</w:t>
      </w:r>
      <w:r w:rsidR="005E6933" w:rsidRPr="0067787F" w:rsidDel="00514745">
        <w:t xml:space="preserve"> </w:t>
      </w:r>
      <w:r w:rsidR="005E6933" w:rsidRPr="0067787F">
        <w:t>expressed concern that Australia may not be in a strong position to negotiate satisfactory agreement terms with publishers</w:t>
      </w:r>
      <w:r w:rsidR="00743FA2">
        <w:t xml:space="preserve">. Stakeholders </w:t>
      </w:r>
      <w:r w:rsidR="005E6933" w:rsidRPr="0067787F">
        <w:t>cit</w:t>
      </w:r>
      <w:r w:rsidR="00743FA2">
        <w:t>ed</w:t>
      </w:r>
      <w:r w:rsidR="005E6933" w:rsidRPr="0067787F">
        <w:t xml:space="preserve"> </w:t>
      </w:r>
      <w:r w:rsidR="00637292">
        <w:t>international examples of countries</w:t>
      </w:r>
      <w:r w:rsidR="00522ED7">
        <w:t xml:space="preserve"> and consortia</w:t>
      </w:r>
      <w:r w:rsidR="004A4E8D">
        <w:t xml:space="preserve"> that have </w:t>
      </w:r>
      <w:r w:rsidR="005E6933" w:rsidRPr="0067787F">
        <w:t>faced challenges negotiating financially sustainable</w:t>
      </w:r>
      <w:r w:rsidR="000E6813">
        <w:t xml:space="preserve"> transformative</w:t>
      </w:r>
      <w:r w:rsidR="005E6933" w:rsidRPr="0067787F">
        <w:t xml:space="preserve"> agreements with large commercial publishers</w:t>
      </w:r>
      <w:r w:rsidR="00867AFB">
        <w:t xml:space="preserve">. </w:t>
      </w:r>
      <w:r w:rsidR="005E6933" w:rsidRPr="0067787F">
        <w:t>For example:</w:t>
      </w:r>
    </w:p>
    <w:p w14:paraId="6954DA4B" w14:textId="4858CA16" w:rsidR="005E6933" w:rsidRPr="007D35E9" w:rsidRDefault="005E6933" w:rsidP="0040313B">
      <w:pPr>
        <w:pStyle w:val="ListBullet"/>
        <w:jc w:val="both"/>
      </w:pPr>
      <w:r w:rsidRPr="007D35E9">
        <w:lastRenderedPageBreak/>
        <w:t>The UK</w:t>
      </w:r>
      <w:r>
        <w:t xml:space="preserve"> initially facilitated their open access transition through national transformative agreements</w:t>
      </w:r>
      <w:r w:rsidRPr="007D35E9">
        <w:t xml:space="preserve"> </w:t>
      </w:r>
      <w:r>
        <w:t>with publishers</w:t>
      </w:r>
      <w:r w:rsidR="00637C27">
        <w:t>,</w:t>
      </w:r>
      <w:r w:rsidRPr="007D35E9">
        <w:t xml:space="preserve"> </w:t>
      </w:r>
      <w:r>
        <w:t xml:space="preserve">which </w:t>
      </w:r>
      <w:r w:rsidRPr="007D35E9">
        <w:t>resulted in cost increases averaging 11% annually for subscription costs and APCs. This increase between 201</w:t>
      </w:r>
      <w:r>
        <w:t>3</w:t>
      </w:r>
      <w:r w:rsidRPr="007D35E9">
        <w:t xml:space="preserve"> and 201</w:t>
      </w:r>
      <w:r>
        <w:t>6</w:t>
      </w:r>
      <w:r w:rsidRPr="007D35E9">
        <w:t xml:space="preserve"> was above inflation and normal year-on-year growth rates</w:t>
      </w:r>
      <w:r>
        <w:t xml:space="preserve"> for </w:t>
      </w:r>
      <w:r w:rsidRPr="007D35E9">
        <w:t>subscription costs and APCs.</w:t>
      </w:r>
      <w:r w:rsidRPr="00563DEE">
        <w:rPr>
          <w:rStyle w:val="FootnoteReference"/>
          <w:rFonts w:cstheme="minorHAnsi"/>
        </w:rPr>
        <w:footnoteReference w:id="90"/>
      </w:r>
      <w:r w:rsidRPr="007D35E9">
        <w:t xml:space="preserve"> In a reported attempt to constrain costs and build influence in publisher negotiations, the UK later updated their open access policies to allow for </w:t>
      </w:r>
      <w:r>
        <w:t>green open access</w:t>
      </w:r>
      <w:r w:rsidRPr="007D35E9">
        <w:t>.</w:t>
      </w:r>
      <w:r w:rsidRPr="00563DEE">
        <w:rPr>
          <w:rStyle w:val="FootnoteReference"/>
          <w:rFonts w:cstheme="minorHAnsi"/>
        </w:rPr>
        <w:footnoteReference w:id="91"/>
      </w:r>
    </w:p>
    <w:p w14:paraId="77476747" w14:textId="77777777" w:rsidR="005E6933" w:rsidRPr="007D35E9" w:rsidRDefault="005E6933" w:rsidP="0040313B">
      <w:pPr>
        <w:pStyle w:val="ListBullet"/>
        <w:jc w:val="both"/>
      </w:pPr>
      <w:r w:rsidRPr="007D35E9">
        <w:t xml:space="preserve">In Germany, the Projekt DEAL Consortium failed to reach an agreement with Elsevier for a transition to a publish-and-read model for open </w:t>
      </w:r>
      <w:r w:rsidRPr="00B84091">
        <w:t>access</w:t>
      </w:r>
      <w:r w:rsidRPr="007D35E9">
        <w:t xml:space="preserve"> on behalf of all German academic institutions. Because of this, more than 180 German scientific institutions chose not to extend their contracts with Elsevier and more than 40 scientists have resigned from their editorial activities for Elsevier in support of DEAL’s negotiations.</w:t>
      </w:r>
      <w:r w:rsidRPr="00563DEE">
        <w:rPr>
          <w:rStyle w:val="FootnoteReference"/>
          <w:rFonts w:cstheme="minorHAnsi"/>
        </w:rPr>
        <w:footnoteReference w:id="92"/>
      </w:r>
    </w:p>
    <w:p w14:paraId="09520E8D" w14:textId="0D19495B" w:rsidR="005E6933" w:rsidRPr="007D35E9" w:rsidRDefault="005E6933" w:rsidP="0040313B">
      <w:pPr>
        <w:pStyle w:val="ListBullet"/>
        <w:jc w:val="both"/>
      </w:pPr>
      <w:r w:rsidRPr="007D35E9">
        <w:t xml:space="preserve">Norway’s proposal for a read-and-publish </w:t>
      </w:r>
      <w:r>
        <w:t>agreement</w:t>
      </w:r>
      <w:r w:rsidRPr="007D35E9">
        <w:t xml:space="preserve"> was </w:t>
      </w:r>
      <w:r>
        <w:t>declined</w:t>
      </w:r>
      <w:r w:rsidRPr="007D35E9">
        <w:t xml:space="preserve"> by Elsevier in 2019. The publisher explained that the consortium was </w:t>
      </w:r>
      <w:r>
        <w:t>‘</w:t>
      </w:r>
      <w:r w:rsidRPr="007D35E9">
        <w:t>asking to receive two services for the price of one.</w:t>
      </w:r>
      <w:r>
        <w:t>’</w:t>
      </w:r>
      <w:r w:rsidRPr="007A2637">
        <w:rPr>
          <w:rStyle w:val="FootnoteReference"/>
        </w:rPr>
        <w:t xml:space="preserve"> </w:t>
      </w:r>
      <w:r w:rsidRPr="007D35E9">
        <w:t>As a result</w:t>
      </w:r>
      <w:r>
        <w:t>,</w:t>
      </w:r>
      <w:r w:rsidRPr="007D35E9">
        <w:t xml:space="preserve"> </w:t>
      </w:r>
      <w:r>
        <w:t xml:space="preserve">the </w:t>
      </w:r>
      <w:r w:rsidRPr="007D35E9">
        <w:t>Norw</w:t>
      </w:r>
      <w:r>
        <w:t>egian consortium</w:t>
      </w:r>
      <w:r w:rsidRPr="007D35E9">
        <w:t xml:space="preserve"> cancelled </w:t>
      </w:r>
      <w:r>
        <w:t>their</w:t>
      </w:r>
      <w:r w:rsidRPr="007D35E9">
        <w:t xml:space="preserve"> </w:t>
      </w:r>
      <w:r>
        <w:t>contracts</w:t>
      </w:r>
      <w:r w:rsidRPr="007D35E9">
        <w:t xml:space="preserve"> with Elsevier in 2019.</w:t>
      </w:r>
      <w:r w:rsidRPr="00245243">
        <w:rPr>
          <w:rStyle w:val="FootnoteReference"/>
          <w:rFonts w:cstheme="minorHAnsi"/>
        </w:rPr>
        <w:t xml:space="preserve"> </w:t>
      </w:r>
      <w:r w:rsidRPr="00563DEE">
        <w:rPr>
          <w:rStyle w:val="FootnoteReference"/>
          <w:rFonts w:cstheme="minorHAnsi"/>
        </w:rPr>
        <w:footnoteReference w:id="93"/>
      </w:r>
      <w:r w:rsidRPr="007D35E9">
        <w:t xml:space="preserve"> </w:t>
      </w:r>
      <w:r w:rsidRPr="00563DEE" w:rsidDel="00CE3448">
        <w:rPr>
          <w:rStyle w:val="FootnoteReference"/>
          <w:rFonts w:cstheme="minorHAnsi"/>
        </w:rPr>
        <w:t xml:space="preserve"> </w:t>
      </w:r>
    </w:p>
    <w:p w14:paraId="128BDC22" w14:textId="4EEEC7EC" w:rsidR="00725F67" w:rsidRDefault="00725F67" w:rsidP="00A47B69">
      <w:pPr>
        <w:pStyle w:val="BodyText"/>
      </w:pPr>
      <w:r w:rsidRPr="00563DEE">
        <w:t>Given the challenges seen internationally, some stakeholders suggested that Australia should be prepared for challenges in negotiating satisfactory agreement terms with major publishers.</w:t>
      </w:r>
      <w:r>
        <w:t xml:space="preserve"> </w:t>
      </w:r>
      <w:r w:rsidR="005E6933" w:rsidRPr="00083382">
        <w:t xml:space="preserve">Some university and research institutions suggested that Australia’s comparatively small </w:t>
      </w:r>
      <w:r>
        <w:t>publication</w:t>
      </w:r>
      <w:r w:rsidRPr="00083382">
        <w:t xml:space="preserve"> </w:t>
      </w:r>
      <w:r>
        <w:t>output</w:t>
      </w:r>
      <w:r w:rsidR="005E6933" w:rsidRPr="00083382">
        <w:t xml:space="preserve"> may also limit its bargaining power. However,</w:t>
      </w:r>
      <w:r w:rsidR="005E6933" w:rsidRPr="00083382" w:rsidDel="00A3307F">
        <w:t xml:space="preserve"> </w:t>
      </w:r>
      <w:r w:rsidR="00A3307F">
        <w:t>some</w:t>
      </w:r>
      <w:r w:rsidR="00A3307F" w:rsidRPr="00083382">
        <w:t xml:space="preserve"> </w:t>
      </w:r>
      <w:r w:rsidR="005E6933" w:rsidRPr="00083382">
        <w:t>stakeholders dismissed this risk,</w:t>
      </w:r>
      <w:r w:rsidR="00B53A62">
        <w:t xml:space="preserve"> </w:t>
      </w:r>
      <w:r w:rsidR="00A3307F">
        <w:t xml:space="preserve">with one suggesting that </w:t>
      </w:r>
      <w:r w:rsidR="005E6933" w:rsidRPr="00083382">
        <w:t>Australia’s medium size</w:t>
      </w:r>
      <w:r w:rsidR="00B53A62">
        <w:t xml:space="preserve"> </w:t>
      </w:r>
      <w:r>
        <w:t>and</w:t>
      </w:r>
      <w:r w:rsidDel="00A3307F">
        <w:t xml:space="preserve"> growing,</w:t>
      </w:r>
      <w:r>
        <w:t xml:space="preserve"> high</w:t>
      </w:r>
      <w:r w:rsidR="007857F7">
        <w:t>-</w:t>
      </w:r>
      <w:r>
        <w:t>quality publication</w:t>
      </w:r>
      <w:r w:rsidR="007857F7">
        <w:t xml:space="preserve"> output</w:t>
      </w:r>
      <w:r w:rsidR="005E6933">
        <w:t xml:space="preserve"> </w:t>
      </w:r>
      <w:r w:rsidR="005E6933" w:rsidRPr="004B79D4">
        <w:t>(see Chapter 2)</w:t>
      </w:r>
      <w:r w:rsidR="005E6933" w:rsidRPr="00083382">
        <w:t xml:space="preserve"> make it an excellent test case for new models of open access.</w:t>
      </w:r>
      <w:r w:rsidR="005E6933" w:rsidRPr="009935F5">
        <w:t xml:space="preserve"> </w:t>
      </w:r>
      <w:r w:rsidR="00A3307F">
        <w:t>Regardless,</w:t>
      </w:r>
      <w:r w:rsidR="00A3307F" w:rsidRPr="00083382">
        <w:t xml:space="preserve"> </w:t>
      </w:r>
      <w:r w:rsidR="00A3307F">
        <w:t xml:space="preserve">pooling agreements through the proposed model </w:t>
      </w:r>
      <w:r w:rsidR="009B32EA">
        <w:t>can be</w:t>
      </w:r>
      <w:r w:rsidR="00A3307F">
        <w:t xml:space="preserve"> </w:t>
      </w:r>
      <w:r w:rsidR="00EF1CB8">
        <w:t>expected</w:t>
      </w:r>
      <w:r w:rsidR="00A3307F">
        <w:t xml:space="preserve"> to improve Australia’s </w:t>
      </w:r>
      <w:r w:rsidR="00DE14A9" w:rsidRPr="00DE14A9">
        <w:t xml:space="preserve">ability to negotiate </w:t>
      </w:r>
      <w:r w:rsidR="005C481D" w:rsidRPr="005C481D">
        <w:t>standard, open access terms with publishers</w:t>
      </w:r>
      <w:r w:rsidR="005C481D">
        <w:t xml:space="preserve"> </w:t>
      </w:r>
      <w:r w:rsidR="00A3307F">
        <w:t>compared to the status quo.</w:t>
      </w:r>
    </w:p>
    <w:p w14:paraId="51F1FA9D" w14:textId="74598822" w:rsidR="005E6933" w:rsidRPr="00563DEE" w:rsidRDefault="005E6933" w:rsidP="00A47B69">
      <w:pPr>
        <w:pStyle w:val="BodyText"/>
      </w:pPr>
      <w:r w:rsidRPr="00563DEE">
        <w:t xml:space="preserve">Elsevier, Springer Nature, Wiley, and Taylor &amp; Francis published more than 47% of journal articles </w:t>
      </w:r>
      <w:r>
        <w:t xml:space="preserve">globally </w:t>
      </w:r>
      <w:r w:rsidRPr="00563DEE">
        <w:t>between 2011 and 2020.</w:t>
      </w:r>
      <w:r w:rsidRPr="00563DEE">
        <w:rPr>
          <w:rStyle w:val="FootnoteReference"/>
          <w:rFonts w:cstheme="minorHAnsi"/>
        </w:rPr>
        <w:footnoteReference w:id="94"/>
      </w:r>
      <w:r w:rsidRPr="00563DEE">
        <w:t xml:space="preserve"> </w:t>
      </w:r>
      <w:r w:rsidRPr="00563DEE">
        <w:rPr>
          <w:rStyle w:val="FootnoteReference"/>
          <w:rFonts w:cstheme="minorHAnsi"/>
        </w:rPr>
        <w:t xml:space="preserve"> </w:t>
      </w:r>
      <w:r w:rsidRPr="00563DEE">
        <w:t xml:space="preserve">This concentrated market means that failed negotiations with any of these publishers </w:t>
      </w:r>
      <w:r>
        <w:t>could</w:t>
      </w:r>
      <w:r w:rsidRPr="00563DEE">
        <w:t xml:space="preserve"> affect Australia’s access to new research. </w:t>
      </w:r>
      <w:r w:rsidR="00725F67">
        <w:t>In addition</w:t>
      </w:r>
      <w:r w:rsidRPr="00563DEE">
        <w:t>, some stakeholders suggested that Australia</w:t>
      </w:r>
      <w:r>
        <w:t xml:space="preserve">, </w:t>
      </w:r>
      <w:r w:rsidRPr="00563DEE">
        <w:t>like Germany and Norway</w:t>
      </w:r>
      <w:r>
        <w:t>,</w:t>
      </w:r>
      <w:r w:rsidRPr="00563DEE">
        <w:t xml:space="preserve"> should be prepared to boycott publishers that do not negotiate in good faith. As discussed earlier, further consultation with the ACCC would be required prior to considering this course of action (see </w:t>
      </w:r>
      <w:r w:rsidRPr="007D35E9">
        <w:fldChar w:fldCharType="begin"/>
      </w:r>
      <w:r w:rsidRPr="007D35E9">
        <w:instrText xml:space="preserve"> REF _Ref84583405 \r \h  \* MERGEFORMAT </w:instrText>
      </w:r>
      <w:r w:rsidRPr="007D35E9">
        <w:fldChar w:fldCharType="separate"/>
      </w:r>
      <w:r w:rsidR="007E283B">
        <w:t>4.1.1</w:t>
      </w:r>
      <w:r w:rsidRPr="007D35E9">
        <w:fldChar w:fldCharType="end"/>
      </w:r>
      <w:r w:rsidRPr="007D35E9">
        <w:t>).</w:t>
      </w:r>
    </w:p>
    <w:p w14:paraId="4B284741" w14:textId="77777777" w:rsidR="005E6933" w:rsidRPr="00563DEE" w:rsidRDefault="005E6933" w:rsidP="00A47B69">
      <w:pPr>
        <w:pStyle w:val="BodyText"/>
      </w:pPr>
    </w:p>
    <w:tbl>
      <w:tblPr>
        <w:tblStyle w:val="TableGrid"/>
        <w:tblW w:w="97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F8751B" w14:paraId="05E46103" w14:textId="77777777" w:rsidTr="00076358">
        <w:tc>
          <w:tcPr>
            <w:tcW w:w="9746" w:type="dxa"/>
            <w:shd w:val="clear" w:color="auto" w:fill="D0EAFF" w:themeFill="accent2" w:themeFillTint="1A"/>
          </w:tcPr>
          <w:p w14:paraId="634269DE" w14:textId="77777777" w:rsidR="005E6933" w:rsidRDefault="005E6933" w:rsidP="00076358">
            <w:pPr>
              <w:pStyle w:val="Heading3notnumbered"/>
            </w:pPr>
            <w:bookmarkStart w:id="54" w:name="_Ref84407456"/>
            <w:r>
              <w:lastRenderedPageBreak/>
              <w:t>Potential next steps</w:t>
            </w:r>
            <w:r w:rsidRPr="00563DEE">
              <w:t xml:space="preserve"> </w:t>
            </w:r>
          </w:p>
        </w:tc>
      </w:tr>
      <w:tr w:rsidR="00F8751B" w14:paraId="499FB73C" w14:textId="77777777" w:rsidTr="00076358">
        <w:tc>
          <w:tcPr>
            <w:tcW w:w="9746" w:type="dxa"/>
            <w:shd w:val="clear" w:color="auto" w:fill="D0EAFF" w:themeFill="accent2" w:themeFillTint="1A"/>
          </w:tcPr>
          <w:p w14:paraId="16B60DD9" w14:textId="03553351" w:rsidR="005E6933" w:rsidRPr="00FF631A" w:rsidRDefault="005E6933" w:rsidP="00E56EE6">
            <w:pPr>
              <w:pStyle w:val="BodyText"/>
              <w:rPr>
                <w:b/>
                <w:bCs/>
              </w:rPr>
            </w:pPr>
            <w:r w:rsidRPr="00FF631A">
              <w:rPr>
                <w:b/>
                <w:bCs/>
              </w:rPr>
              <w:t>Planning</w:t>
            </w:r>
          </w:p>
          <w:p w14:paraId="58278346" w14:textId="220C3BEA" w:rsidR="004B763B" w:rsidRDefault="004B763B" w:rsidP="00E56EE6">
            <w:pPr>
              <w:pStyle w:val="ListBullet"/>
              <w:numPr>
                <w:ilvl w:val="0"/>
                <w:numId w:val="26"/>
              </w:numPr>
              <w:jc w:val="both"/>
            </w:pPr>
            <w:r>
              <w:t>Consider seeking advice from international jurisdictions that have had success or otherwise in negotiating transformative agreements with publishers. Understanding why some approaches have been successful and some have ended in s</w:t>
            </w:r>
            <w:r w:rsidRPr="00A0437D">
              <w:t>talemates</w:t>
            </w:r>
            <w:r>
              <w:t xml:space="preserve"> or</w:t>
            </w:r>
            <w:r w:rsidRPr="00A0437D">
              <w:t xml:space="preserve"> boycotts</w:t>
            </w:r>
            <w:r>
              <w:t xml:space="preserve"> may inform Australia’s approach to negotiations</w:t>
            </w:r>
            <w:r w:rsidRPr="00A0437D">
              <w:t>.</w:t>
            </w:r>
          </w:p>
          <w:p w14:paraId="1F177837" w14:textId="5BE2F866" w:rsidR="004B763B" w:rsidRDefault="004B763B" w:rsidP="00E56EE6">
            <w:pPr>
              <w:pStyle w:val="ListBullet"/>
              <w:numPr>
                <w:ilvl w:val="0"/>
                <w:numId w:val="26"/>
              </w:numPr>
              <w:jc w:val="both"/>
            </w:pPr>
            <w:r>
              <w:t xml:space="preserve">Continue to </w:t>
            </w:r>
            <w:r w:rsidR="004C089D">
              <w:t>engage</w:t>
            </w:r>
            <w:r>
              <w:t xml:space="preserve"> with</w:t>
            </w:r>
            <w:r w:rsidRPr="007D35E9">
              <w:t xml:space="preserve"> the ACCC to understand the implications of the model with </w:t>
            </w:r>
            <w:r>
              <w:t xml:space="preserve">reference to </w:t>
            </w:r>
            <w:r w:rsidRPr="007D35E9">
              <w:t>competition law</w:t>
            </w:r>
            <w:r>
              <w:t>,</w:t>
            </w:r>
            <w:r w:rsidRPr="007D35E9">
              <w:t xml:space="preserve"> and the </w:t>
            </w:r>
            <w:r w:rsidR="00FF61CD">
              <w:t>proposed</w:t>
            </w:r>
            <w:r w:rsidRPr="007D35E9">
              <w:t xml:space="preserve"> implementation body's ability to walk away from negotiations if satisfactory terms cannot be agreed </w:t>
            </w:r>
            <w:r>
              <w:t>to</w:t>
            </w:r>
            <w:r w:rsidRPr="007D35E9">
              <w:t xml:space="preserve"> (see also 4.1.1).</w:t>
            </w:r>
          </w:p>
          <w:p w14:paraId="613DE8FD" w14:textId="051D970B" w:rsidR="005E6933" w:rsidRDefault="005E6933" w:rsidP="00E56EE6">
            <w:pPr>
              <w:pStyle w:val="ListBullet"/>
              <w:jc w:val="both"/>
            </w:pPr>
            <w:r w:rsidRPr="007D35E9">
              <w:t xml:space="preserve">Consider </w:t>
            </w:r>
            <w:r w:rsidRPr="00B67E0C">
              <w:t xml:space="preserve">the role of green open access and repositories in influencing negotiations and </w:t>
            </w:r>
            <w:r>
              <w:t xml:space="preserve">maintaining </w:t>
            </w:r>
            <w:r w:rsidRPr="00B67E0C">
              <w:t>scientific integrity</w:t>
            </w:r>
            <w:r>
              <w:t>. For example, i</w:t>
            </w:r>
            <w:r w:rsidRPr="00455ED5">
              <w:t xml:space="preserve">f research organisations </w:t>
            </w:r>
            <w:r>
              <w:t xml:space="preserve">continue to </w:t>
            </w:r>
            <w:r w:rsidRPr="00455ED5">
              <w:t xml:space="preserve">have the option to </w:t>
            </w:r>
            <w:r>
              <w:t xml:space="preserve">achieve </w:t>
            </w:r>
            <w:r w:rsidRPr="00455ED5">
              <w:t xml:space="preserve">open access via repositories, publishers </w:t>
            </w:r>
            <w:r>
              <w:t>may</w:t>
            </w:r>
            <w:r w:rsidRPr="00455ED5">
              <w:t xml:space="preserve"> lose some bargaining power in negotiations.</w:t>
            </w:r>
            <w:r>
              <w:rPr>
                <w:rStyle w:val="FootnoteReference"/>
              </w:rPr>
              <w:footnoteReference w:id="95"/>
            </w:r>
            <w:r w:rsidRPr="00455ED5">
              <w:t xml:space="preserve"> </w:t>
            </w:r>
            <w:r>
              <w:t xml:space="preserve">If it is decided that </w:t>
            </w:r>
            <w:r w:rsidRPr="007D35E9">
              <w:t xml:space="preserve">maintaining support for green </w:t>
            </w:r>
            <w:r>
              <w:t>open</w:t>
            </w:r>
            <w:r w:rsidRPr="007D35E9">
              <w:t xml:space="preserve"> access and repositories </w:t>
            </w:r>
            <w:r>
              <w:t>has value, then further actions might include</w:t>
            </w:r>
            <w:r w:rsidRPr="007D35E9">
              <w:t>:</w:t>
            </w:r>
          </w:p>
          <w:p w14:paraId="1F2023BB" w14:textId="3E3848BB" w:rsidR="005E6933" w:rsidRDefault="005E6933" w:rsidP="00E56EE6">
            <w:pPr>
              <w:pStyle w:val="ListBullet2"/>
            </w:pPr>
            <w:r w:rsidRPr="00455ED5">
              <w:t xml:space="preserve">Investing in increased accessibility and interoperability of </w:t>
            </w:r>
            <w:r w:rsidR="008B65DC">
              <w:t xml:space="preserve">institutional </w:t>
            </w:r>
            <w:r w:rsidRPr="00455ED5">
              <w:t>repositories (see also</w:t>
            </w:r>
            <w:r w:rsidR="0019334D">
              <w:t xml:space="preserve"> 4.3.1</w:t>
            </w:r>
            <w:r w:rsidRPr="007D35E9">
              <w:t>)</w:t>
            </w:r>
            <w:r>
              <w:t>.</w:t>
            </w:r>
          </w:p>
          <w:p w14:paraId="2F076D0A" w14:textId="27E6C47B" w:rsidR="005E6933" w:rsidRPr="00083335" w:rsidRDefault="005E6933" w:rsidP="00E56EE6">
            <w:pPr>
              <w:pStyle w:val="ListBullet2"/>
            </w:pPr>
            <w:r>
              <w:t>S</w:t>
            </w:r>
            <w:r w:rsidRPr="00455ED5">
              <w:t xml:space="preserve">trengthening researcher </w:t>
            </w:r>
            <w:r w:rsidRPr="00F32669">
              <w:t xml:space="preserve">funder </w:t>
            </w:r>
            <w:r>
              <w:t>policies to ensure that</w:t>
            </w:r>
            <w:r w:rsidRPr="00F32669">
              <w:t xml:space="preserve"> research they fund </w:t>
            </w:r>
            <w:r>
              <w:t>is</w:t>
            </w:r>
            <w:r w:rsidRPr="00F32669">
              <w:t xml:space="preserve"> published as open access</w:t>
            </w:r>
            <w:r w:rsidRPr="009730E8">
              <w:t xml:space="preserve"> with reduced embargo periods and full rights retention</w:t>
            </w:r>
            <w:r w:rsidRPr="00F32669">
              <w:t xml:space="preserve"> for authors</w:t>
            </w:r>
            <w:r>
              <w:t xml:space="preserve">. </w:t>
            </w:r>
          </w:p>
          <w:p w14:paraId="4AEEE3A3" w14:textId="35F46349" w:rsidR="005E6933" w:rsidRDefault="005E6933" w:rsidP="00E56EE6">
            <w:pPr>
              <w:pStyle w:val="ListBullet"/>
              <w:jc w:val="both"/>
            </w:pPr>
            <w:r w:rsidRPr="00083335">
              <w:t xml:space="preserve">Consider </w:t>
            </w:r>
            <w:r>
              <w:t>what</w:t>
            </w:r>
            <w:r w:rsidRPr="00083335">
              <w:t xml:space="preserve"> intervention</w:t>
            </w:r>
            <w:r>
              <w:t>s</w:t>
            </w:r>
            <w:r w:rsidRPr="00083335">
              <w:t xml:space="preserve"> might be</w:t>
            </w:r>
            <w:r>
              <w:t xml:space="preserve"> appropriate if satisfactory agreements cannot be reached with publishers. </w:t>
            </w:r>
            <w:r w:rsidRPr="00083335">
              <w:t xml:space="preserve">Some stakeholders suggested compulsory arbitration or regulatory interventions could offer a possible solution if negotiations </w:t>
            </w:r>
            <w:r>
              <w:t>with publishers</w:t>
            </w:r>
            <w:r w:rsidRPr="00563DEE">
              <w:t xml:space="preserve"> </w:t>
            </w:r>
            <w:r w:rsidRPr="00083335">
              <w:t xml:space="preserve">prove unsuccessful. </w:t>
            </w:r>
            <w:r w:rsidR="00725F67">
              <w:t>For example, t</w:t>
            </w:r>
            <w:r w:rsidRPr="00083335">
              <w:t>he Australian Government requested a mandatory bargaining code from the ACCC in 2020 to address the bargaining power imbalance between Australian news media businesses and digital platforms (namely Facebook and Google).</w:t>
            </w:r>
            <w:r>
              <w:rPr>
                <w:rStyle w:val="FootnoteReference"/>
              </w:rPr>
              <w:footnoteReference w:id="96"/>
            </w:r>
            <w:r w:rsidRPr="00083335">
              <w:t xml:space="preserve"> Further investigation would be needed to understand if a similar approach would be feasible </w:t>
            </w:r>
            <w:r>
              <w:t>here</w:t>
            </w:r>
            <w:r w:rsidRPr="001E43C2">
              <w:t>.</w:t>
            </w:r>
          </w:p>
        </w:tc>
      </w:tr>
    </w:tbl>
    <w:p w14:paraId="0F455C88" w14:textId="285E76F5" w:rsidR="005E6933" w:rsidRPr="00563DEE" w:rsidRDefault="005E6933" w:rsidP="005E6933">
      <w:pPr>
        <w:pStyle w:val="Heading3"/>
        <w:rPr>
          <w:rFonts w:asciiTheme="minorHAnsi" w:eastAsia="Courier New" w:hAnsiTheme="minorHAnsi" w:cstheme="minorHAnsi"/>
        </w:rPr>
      </w:pPr>
      <w:r w:rsidRPr="00563DEE">
        <w:rPr>
          <w:rFonts w:asciiTheme="minorHAnsi" w:eastAsia="Courier New" w:hAnsiTheme="minorHAnsi" w:cstheme="minorHAnsi"/>
        </w:rPr>
        <w:t xml:space="preserve">How </w:t>
      </w:r>
      <w:r>
        <w:rPr>
          <w:rFonts w:asciiTheme="minorHAnsi" w:eastAsia="Courier New" w:hAnsiTheme="minorHAnsi" w:cstheme="minorHAnsi"/>
        </w:rPr>
        <w:t>could</w:t>
      </w:r>
      <w:r w:rsidRPr="00563DEE">
        <w:rPr>
          <w:rFonts w:asciiTheme="minorHAnsi" w:eastAsia="Courier New" w:hAnsiTheme="minorHAnsi" w:cstheme="minorHAnsi"/>
        </w:rPr>
        <w:t xml:space="preserve"> the</w:t>
      </w:r>
      <w:r w:rsidR="00C4595C">
        <w:rPr>
          <w:rFonts w:asciiTheme="minorHAnsi" w:eastAsia="Courier New" w:hAnsiTheme="minorHAnsi" w:cstheme="minorHAnsi"/>
        </w:rPr>
        <w:t xml:space="preserve"> proposed</w:t>
      </w:r>
      <w:r w:rsidRPr="00563DEE">
        <w:rPr>
          <w:rFonts w:asciiTheme="minorHAnsi" w:eastAsia="Courier New" w:hAnsiTheme="minorHAnsi" w:cstheme="minorHAnsi"/>
        </w:rPr>
        <w:t xml:space="preserve"> model be funded?</w:t>
      </w:r>
      <w:bookmarkEnd w:id="54"/>
    </w:p>
    <w:p w14:paraId="72FB77D0" w14:textId="07C37D09" w:rsidR="005E6933" w:rsidRPr="00671A60" w:rsidRDefault="005E6933" w:rsidP="00A47B69">
      <w:pPr>
        <w:pStyle w:val="BodyText"/>
      </w:pPr>
      <w:r w:rsidRPr="00563DEE">
        <w:t xml:space="preserve">The approach to funding the proposed model </w:t>
      </w:r>
      <w:r>
        <w:t>was</w:t>
      </w:r>
      <w:r w:rsidRPr="00563DEE">
        <w:t xml:space="preserve"> </w:t>
      </w:r>
      <w:r>
        <w:t>highly contentious f</w:t>
      </w:r>
      <w:r w:rsidRPr="00563DEE">
        <w:t xml:space="preserve">or </w:t>
      </w:r>
      <w:r>
        <w:t xml:space="preserve">some </w:t>
      </w:r>
      <w:r w:rsidRPr="00563DEE">
        <w:t>stakeholders</w:t>
      </w:r>
      <w:r>
        <w:t>, especially those</w:t>
      </w:r>
      <w:r w:rsidRPr="00563DEE">
        <w:t xml:space="preserve"> in the </w:t>
      </w:r>
      <w:r>
        <w:t>university</w:t>
      </w:r>
      <w:r w:rsidRPr="00563DEE">
        <w:t xml:space="preserve"> sector. There are a variety of possible funding approaches that could be considered but the scope of consultations was not sufficient to reach a consensus on the way forward. </w:t>
      </w:r>
      <w:r>
        <w:t xml:space="preserve">Some of these approaches are outlined in </w:t>
      </w:r>
      <w:r>
        <w:fldChar w:fldCharType="begin"/>
      </w:r>
      <w:r>
        <w:instrText xml:space="preserve"> REF _Ref86314920 \h </w:instrText>
      </w:r>
      <w:r>
        <w:fldChar w:fldCharType="separate"/>
      </w:r>
      <w:r w:rsidR="007E283B">
        <w:t xml:space="preserve">Table </w:t>
      </w:r>
      <w:r w:rsidR="007E283B">
        <w:rPr>
          <w:noProof/>
        </w:rPr>
        <w:t>5</w:t>
      </w:r>
      <w:r>
        <w:fldChar w:fldCharType="end"/>
      </w:r>
      <w:r>
        <w:t xml:space="preserve">, below. </w:t>
      </w:r>
    </w:p>
    <w:p w14:paraId="34305F6C" w14:textId="77777777" w:rsidR="005E6933" w:rsidRDefault="005E6933" w:rsidP="00A47B69">
      <w:pPr>
        <w:pStyle w:val="BodyText"/>
      </w:pPr>
    </w:p>
    <w:p w14:paraId="3EC98BA0" w14:textId="3F477CE1" w:rsidR="005E6933" w:rsidRDefault="005E6933" w:rsidP="00A47B69">
      <w:pPr>
        <w:pStyle w:val="Caption"/>
      </w:pPr>
      <w:bookmarkStart w:id="55" w:name="_Ref86314920"/>
      <w:r>
        <w:lastRenderedPageBreak/>
        <w:t xml:space="preserve">Table </w:t>
      </w:r>
      <w:r w:rsidR="003B28D9">
        <w:fldChar w:fldCharType="begin"/>
      </w:r>
      <w:r w:rsidR="003B28D9">
        <w:instrText xml:space="preserve"> SEQ Table \* ARABIC </w:instrText>
      </w:r>
      <w:r w:rsidR="003B28D9">
        <w:fldChar w:fldCharType="separate"/>
      </w:r>
      <w:r w:rsidR="007E283B">
        <w:rPr>
          <w:noProof/>
        </w:rPr>
        <w:t>5</w:t>
      </w:r>
      <w:r w:rsidR="003B28D9">
        <w:rPr>
          <w:noProof/>
        </w:rPr>
        <w:fldChar w:fldCharType="end"/>
      </w:r>
      <w:bookmarkEnd w:id="55"/>
      <w:r>
        <w:t xml:space="preserve">: Possible approaches to funding the proposed model </w:t>
      </w:r>
    </w:p>
    <w:tbl>
      <w:tblPr>
        <w:tblStyle w:val="ListTable3-Accent1"/>
        <w:tblW w:w="0" w:type="auto"/>
        <w:tblLook w:val="04A0" w:firstRow="1" w:lastRow="0" w:firstColumn="1" w:lastColumn="0" w:noHBand="0" w:noVBand="1"/>
      </w:tblPr>
      <w:tblGrid>
        <w:gridCol w:w="3573"/>
        <w:gridCol w:w="5952"/>
      </w:tblGrid>
      <w:tr w:rsidR="005E6933" w:rsidRPr="007D35E9" w14:paraId="496AEEC1" w14:textId="77777777" w:rsidTr="00076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73" w:type="dxa"/>
          </w:tcPr>
          <w:p w14:paraId="54FE4759" w14:textId="04F995C1" w:rsidR="005E6933" w:rsidRPr="002D1DA9" w:rsidRDefault="005E6933" w:rsidP="00C7094B">
            <w:pPr>
              <w:pStyle w:val="ColumnHeading"/>
              <w:rPr>
                <w:b/>
                <w:color w:val="auto"/>
              </w:rPr>
            </w:pPr>
            <w:r w:rsidRPr="002D1DA9">
              <w:rPr>
                <w:b/>
                <w:color w:val="auto"/>
              </w:rPr>
              <w:t>Funding</w:t>
            </w:r>
            <w:r w:rsidR="00141AB6" w:rsidRPr="002D1DA9">
              <w:rPr>
                <w:b/>
                <w:color w:val="auto"/>
              </w:rPr>
              <w:t xml:space="preserve"> contribution</w:t>
            </w:r>
            <w:r w:rsidRPr="002D1DA9">
              <w:rPr>
                <w:b/>
                <w:color w:val="auto"/>
              </w:rPr>
              <w:t xml:space="preserve"> approach</w:t>
            </w:r>
          </w:p>
        </w:tc>
        <w:tc>
          <w:tcPr>
            <w:tcW w:w="5952" w:type="dxa"/>
          </w:tcPr>
          <w:p w14:paraId="3A041373" w14:textId="77777777" w:rsidR="005E6933" w:rsidRPr="002D1DA9"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2D1DA9">
              <w:rPr>
                <w:b/>
                <w:color w:val="auto"/>
              </w:rPr>
              <w:t>Considerations</w:t>
            </w:r>
          </w:p>
        </w:tc>
      </w:tr>
      <w:tr w:rsidR="005E6933" w:rsidRPr="007D35E9" w14:paraId="4257B198"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265642FF" w14:textId="036E3B1B" w:rsidR="005E6933" w:rsidRPr="00210D12" w:rsidRDefault="005E6933" w:rsidP="00054830">
            <w:pPr>
              <w:pStyle w:val="RowHeading"/>
              <w:rPr>
                <w:b/>
              </w:rPr>
            </w:pPr>
            <w:r>
              <w:rPr>
                <w:b/>
              </w:rPr>
              <w:t xml:space="preserve">Approach 1: </w:t>
            </w:r>
            <w:r w:rsidR="00594E3D">
              <w:rPr>
                <w:b/>
              </w:rPr>
              <w:t>C</w:t>
            </w:r>
            <w:r w:rsidR="00141AB6" w:rsidRPr="00141AB6">
              <w:rPr>
                <w:b/>
              </w:rPr>
              <w:t>urrent payments to publishers</w:t>
            </w:r>
          </w:p>
          <w:p w14:paraId="56550528" w14:textId="68DE6F6A" w:rsidR="00B6252E" w:rsidRPr="00CB2431" w:rsidRDefault="00F55484" w:rsidP="00CB2431">
            <w:pPr>
              <w:pStyle w:val="TableText"/>
              <w:jc w:val="left"/>
              <w:rPr>
                <w:b w:val="0"/>
              </w:rPr>
            </w:pPr>
            <w:r w:rsidRPr="00B900F6">
              <w:rPr>
                <w:b w:val="0"/>
                <w:bCs w:val="0"/>
              </w:rPr>
              <w:t xml:space="preserve">Funding </w:t>
            </w:r>
            <w:r w:rsidRPr="00010BA2">
              <w:rPr>
                <w:b w:val="0"/>
                <w:bCs w:val="0"/>
              </w:rPr>
              <w:t>c</w:t>
            </w:r>
            <w:r w:rsidR="005E6933" w:rsidRPr="00010BA2">
              <w:rPr>
                <w:b w:val="0"/>
                <w:bCs w:val="0"/>
              </w:rPr>
              <w:t>ontributions</w:t>
            </w:r>
            <w:r w:rsidR="005E6933" w:rsidRPr="00010BA2" w:rsidDel="0056101E">
              <w:rPr>
                <w:b w:val="0"/>
              </w:rPr>
              <w:t xml:space="preserve"> </w:t>
            </w:r>
            <w:r w:rsidR="005E6933" w:rsidRPr="00010BA2">
              <w:rPr>
                <w:b w:val="0"/>
              </w:rPr>
              <w:t xml:space="preserve">based </w:t>
            </w:r>
            <w:r w:rsidR="005E6933" w:rsidRPr="00010BA2" w:rsidDel="00F55484">
              <w:rPr>
                <w:b w:val="0"/>
              </w:rPr>
              <w:t xml:space="preserve">on </w:t>
            </w:r>
            <w:r>
              <w:rPr>
                <w:b w:val="0"/>
                <w:bCs w:val="0"/>
              </w:rPr>
              <w:t>stakeholders’</w:t>
            </w:r>
            <w:r w:rsidRPr="00892810">
              <w:rPr>
                <w:b w:val="0"/>
                <w:bCs w:val="0"/>
              </w:rPr>
              <w:t xml:space="preserve"> </w:t>
            </w:r>
            <w:r w:rsidR="005E6933" w:rsidRPr="00010BA2">
              <w:rPr>
                <w:b w:val="0"/>
              </w:rPr>
              <w:t>current expenditure</w:t>
            </w:r>
            <w:r>
              <w:rPr>
                <w:b w:val="0"/>
                <w:bCs w:val="0"/>
              </w:rPr>
              <w:t xml:space="preserve"> on</w:t>
            </w:r>
            <w:r w:rsidR="005E6933" w:rsidRPr="00010BA2">
              <w:rPr>
                <w:b w:val="0"/>
              </w:rPr>
              <w:t xml:space="preserve"> journal subscriptions</w:t>
            </w:r>
            <w:r w:rsidR="00CD2621" w:rsidRPr="00010BA2">
              <w:rPr>
                <w:b w:val="0"/>
                <w:bCs w:val="0"/>
              </w:rPr>
              <w:t>.</w:t>
            </w:r>
            <w:r w:rsidR="00CD2621">
              <w:rPr>
                <w:b w:val="0"/>
                <w:bCs w:val="0"/>
              </w:rPr>
              <w:t xml:space="preserve"> </w:t>
            </w:r>
          </w:p>
        </w:tc>
        <w:tc>
          <w:tcPr>
            <w:tcW w:w="5952" w:type="dxa"/>
          </w:tcPr>
          <w:p w14:paraId="16B3A52D" w14:textId="2F0957E8"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Potential funding shortfall if only subscription expenditure from federally funded stakeholders can be repurposed.</w:t>
            </w:r>
          </w:p>
          <w:p w14:paraId="04D47A6E" w14:textId="0BE74481"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 xml:space="preserve">Stakeholders with currently large expenditures would be locked into </w:t>
            </w:r>
            <w:r w:rsidR="00804C07">
              <w:t xml:space="preserve">those larger </w:t>
            </w:r>
            <w:r>
              <w:t xml:space="preserve">expenditure and may perceive that they are subsidising access for others. </w:t>
            </w:r>
          </w:p>
          <w:p w14:paraId="599D0A72"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C</w:t>
            </w:r>
            <w:r w:rsidRPr="007D35E9">
              <w:t xml:space="preserve">ould </w:t>
            </w:r>
            <w:r>
              <w:t xml:space="preserve">further </w:t>
            </w:r>
            <w:r w:rsidRPr="007D35E9">
              <w:t>entrench existing subscription pricing inequities</w:t>
            </w:r>
            <w:r w:rsidR="00B22432" w:rsidRPr="00B22432">
              <w:t xml:space="preserve"> based on historic pricing approaches.</w:t>
            </w:r>
            <w:r w:rsidRPr="007D35E9">
              <w:t xml:space="preserve"> </w:t>
            </w:r>
          </w:p>
          <w:p w14:paraId="789D3719" w14:textId="77777777" w:rsidR="005E6933" w:rsidRPr="001E198B"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Would</w:t>
            </w:r>
            <w:r w:rsidRPr="007D35E9">
              <w:t xml:space="preserve"> not consider the cost of publishing and may not be responsive to changes in Australia’s research output.</w:t>
            </w:r>
          </w:p>
        </w:tc>
      </w:tr>
      <w:tr w:rsidR="005E6933" w:rsidRPr="007D35E9" w14:paraId="64ABBA5D" w14:textId="77777777" w:rsidTr="00076358">
        <w:tc>
          <w:tcPr>
            <w:cnfStyle w:val="001000000000" w:firstRow="0" w:lastRow="0" w:firstColumn="1" w:lastColumn="0" w:oddVBand="0" w:evenVBand="0" w:oddHBand="0" w:evenHBand="0" w:firstRowFirstColumn="0" w:firstRowLastColumn="0" w:lastRowFirstColumn="0" w:lastRowLastColumn="0"/>
            <w:tcW w:w="3573" w:type="dxa"/>
          </w:tcPr>
          <w:p w14:paraId="3944E345" w14:textId="04B845AD" w:rsidR="005E6933" w:rsidRPr="007D35E9" w:rsidRDefault="005E6933" w:rsidP="00054830">
            <w:pPr>
              <w:pStyle w:val="RowHeading"/>
            </w:pPr>
            <w:r>
              <w:rPr>
                <w:b/>
              </w:rPr>
              <w:t xml:space="preserve">Approach 2: </w:t>
            </w:r>
            <w:r w:rsidR="00594E3D">
              <w:rPr>
                <w:b/>
              </w:rPr>
              <w:t>F</w:t>
            </w:r>
            <w:r w:rsidR="000E4C21" w:rsidRPr="000E4C21">
              <w:rPr>
                <w:b/>
              </w:rPr>
              <w:t xml:space="preserve">ixed amount or proportion of funding </w:t>
            </w:r>
            <w:r w:rsidR="00594E3D">
              <w:rPr>
                <w:b/>
              </w:rPr>
              <w:t>from</w:t>
            </w:r>
            <w:r w:rsidR="000E4C21" w:rsidRPr="000E4C21">
              <w:rPr>
                <w:b/>
              </w:rPr>
              <w:t xml:space="preserve"> each stakeholder (or stakeholder group)</w:t>
            </w:r>
          </w:p>
          <w:p w14:paraId="22CF99BF" w14:textId="79898AA6" w:rsidR="005E6933" w:rsidRPr="00B900F6" w:rsidRDefault="0056101E" w:rsidP="00B900F6">
            <w:pPr>
              <w:pStyle w:val="TableText"/>
              <w:jc w:val="left"/>
              <w:rPr>
                <w:b w:val="0"/>
                <w:bCs w:val="0"/>
              </w:rPr>
            </w:pPr>
            <w:r>
              <w:rPr>
                <w:b w:val="0"/>
                <w:bCs w:val="0"/>
              </w:rPr>
              <w:t>A</w:t>
            </w:r>
            <w:r w:rsidR="005E6933" w:rsidRPr="00B900F6">
              <w:rPr>
                <w:b w:val="0"/>
                <w:bCs w:val="0"/>
              </w:rPr>
              <w:t xml:space="preserve"> proportion of government funding </w:t>
            </w:r>
            <w:r w:rsidR="005E6933" w:rsidRPr="00B900F6" w:rsidDel="0056101E">
              <w:rPr>
                <w:b w:val="0"/>
                <w:bCs w:val="0"/>
              </w:rPr>
              <w:t xml:space="preserve">for </w:t>
            </w:r>
            <w:r w:rsidR="005E6933" w:rsidRPr="00B900F6">
              <w:rPr>
                <w:b w:val="0"/>
                <w:bCs w:val="0"/>
              </w:rPr>
              <w:t>universities</w:t>
            </w:r>
            <w:r w:rsidR="00804C07">
              <w:rPr>
                <w:b w:val="0"/>
                <w:bCs w:val="0"/>
              </w:rPr>
              <w:t xml:space="preserve">, </w:t>
            </w:r>
            <w:r w:rsidR="00274EFE">
              <w:rPr>
                <w:b w:val="0"/>
                <w:bCs w:val="0"/>
              </w:rPr>
              <w:t>PFRAs</w:t>
            </w:r>
            <w:r w:rsidR="005E6933" w:rsidRPr="00B900F6">
              <w:rPr>
                <w:b w:val="0"/>
                <w:bCs w:val="0"/>
              </w:rPr>
              <w:t xml:space="preserve"> and Federal Government departments</w:t>
            </w:r>
            <w:r w:rsidR="00274EFE">
              <w:rPr>
                <w:b w:val="0"/>
                <w:bCs w:val="0"/>
              </w:rPr>
              <w:t xml:space="preserve"> </w:t>
            </w:r>
            <w:r w:rsidR="0044358F">
              <w:rPr>
                <w:b w:val="0"/>
                <w:bCs w:val="0"/>
              </w:rPr>
              <w:t xml:space="preserve">is redirected to </w:t>
            </w:r>
            <w:r w:rsidR="00274EFE">
              <w:rPr>
                <w:b w:val="0"/>
                <w:bCs w:val="0"/>
              </w:rPr>
              <w:t>directly fund national agreements</w:t>
            </w:r>
            <w:r w:rsidR="005E6933" w:rsidRPr="00B900F6">
              <w:rPr>
                <w:b w:val="0"/>
                <w:bCs w:val="0"/>
              </w:rPr>
              <w:t xml:space="preserve">. </w:t>
            </w:r>
          </w:p>
        </w:tc>
        <w:tc>
          <w:tcPr>
            <w:tcW w:w="5952" w:type="dxa"/>
          </w:tcPr>
          <w:p w14:paraId="1149F966" w14:textId="287FE52F"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 xml:space="preserve">Potentially easier to </w:t>
            </w:r>
            <w:r w:rsidR="00804C07">
              <w:t xml:space="preserve">administer </w:t>
            </w:r>
            <w:r>
              <w:t>than other funding approaches, as it could be implemented by government without negotiating individual contributions.</w:t>
            </w:r>
          </w:p>
          <w:p w14:paraId="4E3BEDE6" w14:textId="58016B7F" w:rsidR="00196BFD" w:rsidRDefault="00196BFD" w:rsidP="00196BFD">
            <w:pPr>
              <w:pStyle w:val="TableBullet"/>
              <w:cnfStyle w:val="000000000000" w:firstRow="0" w:lastRow="0" w:firstColumn="0" w:lastColumn="0" w:oddVBand="0" w:evenVBand="0" w:oddHBand="0" w:evenHBand="0" w:firstRowFirstColumn="0" w:firstRowLastColumn="0" w:lastRowFirstColumn="0" w:lastRowLastColumn="0"/>
            </w:pPr>
            <w:r w:rsidRPr="007D35E9">
              <w:t>Taking a fixed proportion of Research Block Grant (RBG) funding</w:t>
            </w:r>
            <w:r w:rsidR="00C21F36">
              <w:t>, for example</w:t>
            </w:r>
            <w:r w:rsidR="00804C07">
              <w:t xml:space="preserve">, </w:t>
            </w:r>
            <w:r w:rsidRPr="007D35E9">
              <w:t xml:space="preserve">could mean that better performing </w:t>
            </w:r>
            <w:r>
              <w:t>universities</w:t>
            </w:r>
            <w:r w:rsidRPr="007D35E9">
              <w:t xml:space="preserve"> pay a greater share of the </w:t>
            </w:r>
            <w:r>
              <w:t xml:space="preserve">proposed </w:t>
            </w:r>
            <w:r w:rsidRPr="007D35E9">
              <w:t>model’s costs</w:t>
            </w:r>
            <w:r w:rsidR="00C21F36">
              <w:t xml:space="preserve"> because this funding is based on university performance</w:t>
            </w:r>
            <w:r w:rsidRPr="007D35E9">
              <w:t>.</w:t>
            </w:r>
          </w:p>
          <w:p w14:paraId="14498CD0" w14:textId="6C226F09" w:rsidR="005E6933" w:rsidRPr="00985342" w:rsidRDefault="00196BFD" w:rsidP="00054830">
            <w:pPr>
              <w:pStyle w:val="TableBullet"/>
              <w:cnfStyle w:val="000000000000" w:firstRow="0" w:lastRow="0" w:firstColumn="0" w:lastColumn="0" w:oddVBand="0" w:evenVBand="0" w:oddHBand="0" w:evenHBand="0" w:firstRowFirstColumn="0" w:firstRowLastColumn="0" w:lastRowFirstColumn="0" w:lastRowLastColumn="0"/>
            </w:pPr>
            <w:r>
              <w:t>Could create perceptions</w:t>
            </w:r>
            <w:r w:rsidR="005E6933">
              <w:t xml:space="preserve"> of inequity from stakeholders that have their funding redirected.</w:t>
            </w:r>
          </w:p>
        </w:tc>
      </w:tr>
      <w:tr w:rsidR="005E6933" w:rsidRPr="007D35E9" w14:paraId="4CE71B41"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2B196178" w14:textId="767B27A4" w:rsidR="005E6933" w:rsidRPr="007D35E9" w:rsidRDefault="005E6933" w:rsidP="00054830">
            <w:pPr>
              <w:pStyle w:val="RowHeading"/>
            </w:pPr>
            <w:r>
              <w:rPr>
                <w:b/>
              </w:rPr>
              <w:t>Approach 3:</w:t>
            </w:r>
            <w:r w:rsidRPr="000F2C70">
              <w:rPr>
                <w:b/>
              </w:rPr>
              <w:t xml:space="preserve"> </w:t>
            </w:r>
            <w:r w:rsidR="00F55484" w:rsidRPr="005A1EF9">
              <w:rPr>
                <w:b/>
                <w:bCs w:val="0"/>
              </w:rPr>
              <w:t>P</w:t>
            </w:r>
            <w:r w:rsidR="00594E3D" w:rsidRPr="005A1EF9">
              <w:rPr>
                <w:b/>
                <w:bCs w:val="0"/>
              </w:rPr>
              <w:t>ublishing volume</w:t>
            </w:r>
          </w:p>
          <w:p w14:paraId="07BD10B7" w14:textId="505D4FF7" w:rsidR="005E6933" w:rsidRPr="00B900F6" w:rsidRDefault="005E6933" w:rsidP="00B900F6">
            <w:pPr>
              <w:pStyle w:val="TableText"/>
              <w:jc w:val="left"/>
              <w:rPr>
                <w:b w:val="0"/>
                <w:bCs w:val="0"/>
              </w:rPr>
            </w:pPr>
            <w:r w:rsidRPr="00B900F6">
              <w:rPr>
                <w:b w:val="0"/>
                <w:bCs w:val="0"/>
              </w:rPr>
              <w:t xml:space="preserve">Funding contributions based on </w:t>
            </w:r>
            <w:r w:rsidR="0056101E">
              <w:rPr>
                <w:b w:val="0"/>
                <w:bCs w:val="0"/>
              </w:rPr>
              <w:t xml:space="preserve">the number of </w:t>
            </w:r>
            <w:r w:rsidRPr="00B900F6">
              <w:rPr>
                <w:b w:val="0"/>
                <w:bCs w:val="0"/>
              </w:rPr>
              <w:t xml:space="preserve">journal articles published by universities and PFRAs. </w:t>
            </w:r>
          </w:p>
        </w:tc>
        <w:tc>
          <w:tcPr>
            <w:tcW w:w="5952" w:type="dxa"/>
          </w:tcPr>
          <w:p w14:paraId="7B36E0F8"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Aligns with the pay-to-publish approach favoured internationally </w:t>
            </w:r>
            <w:r>
              <w:t>but may not be compatible with the model’s proposed read-and-publish agreements</w:t>
            </w:r>
            <w:r w:rsidR="009C156A">
              <w:t>,</w:t>
            </w:r>
            <w:r>
              <w:t xml:space="preserve"> as they are not priced based on publication rates.    </w:t>
            </w:r>
            <w:r w:rsidRPr="007D35E9">
              <w:t xml:space="preserve"> </w:t>
            </w:r>
            <w:r w:rsidRPr="007D35E9">
              <w:rPr>
                <w:b/>
              </w:rPr>
              <w:t xml:space="preserve"> </w:t>
            </w:r>
          </w:p>
          <w:p w14:paraId="0361758C"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Research</w:t>
            </w:r>
            <w:r>
              <w:t>-</w:t>
            </w:r>
            <w:r w:rsidRPr="007D35E9">
              <w:t xml:space="preserve">intensive </w:t>
            </w:r>
            <w:r>
              <w:t>universities</w:t>
            </w:r>
            <w:r w:rsidRPr="007D35E9">
              <w:t xml:space="preserve"> </w:t>
            </w:r>
            <w:r>
              <w:t>would</w:t>
            </w:r>
            <w:r w:rsidRPr="007D35E9">
              <w:t xml:space="preserve"> fund a greater proportion of the model's costs</w:t>
            </w:r>
            <w:r>
              <w:t xml:space="preserve"> because of their higher publication rates</w:t>
            </w:r>
            <w:r w:rsidRPr="007D35E9">
              <w:t xml:space="preserve">. </w:t>
            </w:r>
          </w:p>
        </w:tc>
      </w:tr>
    </w:tbl>
    <w:p w14:paraId="0BAA61F1" w14:textId="359E7332" w:rsidR="005E6933" w:rsidRPr="00563DEE" w:rsidRDefault="00006657" w:rsidP="00E144E2">
      <w:pPr>
        <w:pStyle w:val="BodyText"/>
      </w:pPr>
      <w:r>
        <w:t xml:space="preserve">High-level analysis of each </w:t>
      </w:r>
      <w:r w:rsidR="000710CF">
        <w:t xml:space="preserve">of these </w:t>
      </w:r>
      <w:r>
        <w:t>approach</w:t>
      </w:r>
      <w:r w:rsidR="000710CF">
        <w:t>es</w:t>
      </w:r>
      <w:r>
        <w:t xml:space="preserve"> has been undertaken to illustrate potential budgetary implications of each of these approaches. The estimated values in this section are indicative and assume a cost-neutral transition (i.e., that the cost of the model is $321 million).</w:t>
      </w:r>
      <w:r w:rsidRPr="00DB21F9">
        <w:t xml:space="preserve"> </w:t>
      </w:r>
    </w:p>
    <w:p w14:paraId="469A7905" w14:textId="42892D3A" w:rsidR="00594E3D" w:rsidRPr="00210D12" w:rsidRDefault="005E6933" w:rsidP="00C21AD2">
      <w:pPr>
        <w:pStyle w:val="Heading4"/>
      </w:pPr>
      <w:r>
        <w:t xml:space="preserve">Approach 1: </w:t>
      </w:r>
      <w:r w:rsidR="00C21AD2">
        <w:t>Funding c</w:t>
      </w:r>
      <w:r w:rsidR="00594E3D">
        <w:t xml:space="preserve">ontributions based on </w:t>
      </w:r>
      <w:r w:rsidR="00594E3D" w:rsidRPr="00141AB6">
        <w:t>current payments to publishers</w:t>
      </w:r>
    </w:p>
    <w:p w14:paraId="7F3CFA24" w14:textId="77777777" w:rsidR="001C0C38" w:rsidRDefault="005E6933" w:rsidP="000F2C70">
      <w:pPr>
        <w:pStyle w:val="BodyText"/>
      </w:pPr>
      <w:r>
        <w:t>One of the principles of the proposed model is to u</w:t>
      </w:r>
      <w:r w:rsidRPr="00E22EC2">
        <w:t>se Australia’s existing expenditure on academic</w:t>
      </w:r>
      <w:r>
        <w:t xml:space="preserve"> </w:t>
      </w:r>
      <w:r w:rsidRPr="00E22EC2">
        <w:t>subscriptions and publishing</w:t>
      </w:r>
      <w:r w:rsidRPr="007D35E9">
        <w:t xml:space="preserve"> more effectively and for increased benefit</w:t>
      </w:r>
      <w:r>
        <w:t xml:space="preserve">. </w:t>
      </w:r>
    </w:p>
    <w:p w14:paraId="0DD61089" w14:textId="77777777" w:rsidR="001C0C38" w:rsidRDefault="005E6933" w:rsidP="00A47B69">
      <w:pPr>
        <w:pStyle w:val="BodyText"/>
      </w:pPr>
      <w:r>
        <w:t>It is conceivable that a</w:t>
      </w:r>
      <w:r w:rsidRPr="00563DEE">
        <w:t xml:space="preserve"> national implementation body could </w:t>
      </w:r>
      <w:r>
        <w:t xml:space="preserve">relatively simply negotiate to </w:t>
      </w:r>
      <w:r w:rsidRPr="00563DEE">
        <w:t xml:space="preserve">repurpose university, </w:t>
      </w:r>
      <w:r>
        <w:t xml:space="preserve">PFRA </w:t>
      </w:r>
      <w:r w:rsidRPr="00563DEE">
        <w:t xml:space="preserve">and </w:t>
      </w:r>
      <w:r>
        <w:t>Federal</w:t>
      </w:r>
      <w:r w:rsidRPr="00563DEE">
        <w:t xml:space="preserve"> </w:t>
      </w:r>
      <w:r>
        <w:t>G</w:t>
      </w:r>
      <w:r w:rsidRPr="00563DEE">
        <w:t xml:space="preserve">overnment </w:t>
      </w:r>
      <w:r>
        <w:t>department</w:t>
      </w:r>
      <w:r w:rsidRPr="00563DEE">
        <w:t xml:space="preserve"> </w:t>
      </w:r>
      <w:r>
        <w:t>expenditure</w:t>
      </w:r>
      <w:r w:rsidRPr="00563DEE">
        <w:t xml:space="preserve"> for journal subscriptions</w:t>
      </w:r>
      <w:r>
        <w:t xml:space="preserve"> and transformative agreements because this expenditure is </w:t>
      </w:r>
      <w:r w:rsidR="00E74B74">
        <w:t xml:space="preserve">relatively </w:t>
      </w:r>
      <w:r>
        <w:t>easy to identify, and these institutions are – at least partially</w:t>
      </w:r>
      <w:r w:rsidR="00B900F6">
        <w:t> </w:t>
      </w:r>
      <w:r>
        <w:t xml:space="preserve">– federally funded. </w:t>
      </w:r>
    </w:p>
    <w:p w14:paraId="3A50A096" w14:textId="6561F976" w:rsidR="00E144E2" w:rsidRPr="00E144E2" w:rsidRDefault="00227327" w:rsidP="001D7533">
      <w:pPr>
        <w:pStyle w:val="BodyText"/>
      </w:pPr>
      <w:r>
        <w:t>T</w:t>
      </w:r>
      <w:r w:rsidR="005E6933">
        <w:t xml:space="preserve">his would </w:t>
      </w:r>
      <w:r w:rsidR="005E6933" w:rsidRPr="00E144E2">
        <w:t>amount</w:t>
      </w:r>
      <w:r w:rsidR="005E6933">
        <w:t xml:space="preserve"> to an accessible budget of </w:t>
      </w:r>
      <w:r w:rsidR="005E6933" w:rsidRPr="00563DEE">
        <w:t>approximately $2</w:t>
      </w:r>
      <w:r w:rsidR="005E6933">
        <w:t>90</w:t>
      </w:r>
      <w:r w:rsidR="005E6933" w:rsidRPr="00563DEE">
        <w:t xml:space="preserve"> million</w:t>
      </w:r>
      <w:r w:rsidR="005E6933">
        <w:t>.</w:t>
      </w:r>
      <w:r w:rsidR="005E6933" w:rsidRPr="00563DEE">
        <w:rPr>
          <w:rStyle w:val="FootnoteReference"/>
          <w:rFonts w:cstheme="minorHAnsi"/>
        </w:rPr>
        <w:footnoteReference w:id="97"/>
      </w:r>
      <w:r w:rsidR="005E6933">
        <w:t xml:space="preserve"> This suggests a possible shortfall of </w:t>
      </w:r>
      <w:r w:rsidR="005E6933" w:rsidRPr="00563DEE">
        <w:t>at least $</w:t>
      </w:r>
      <w:r w:rsidR="005E6933">
        <w:t>31</w:t>
      </w:r>
      <w:r w:rsidR="005E6933" w:rsidRPr="00563DEE">
        <w:t xml:space="preserve"> million under a cost-neutral transition</w:t>
      </w:r>
      <w:r w:rsidR="00DD21A7">
        <w:t>, assuming</w:t>
      </w:r>
      <w:r w:rsidR="005E6933">
        <w:t xml:space="preserve"> APC expenditure and expenditure by non-federally funded stakeholders cannot be repurposed (see </w:t>
      </w:r>
      <w:r w:rsidR="005E6933">
        <w:fldChar w:fldCharType="begin"/>
      </w:r>
      <w:r w:rsidR="005E6933">
        <w:instrText xml:space="preserve"> REF _Ref86324902 \h </w:instrText>
      </w:r>
      <w:r w:rsidR="005E6933">
        <w:fldChar w:fldCharType="separate"/>
      </w:r>
      <w:r w:rsidR="007E283B" w:rsidRPr="00D605CE">
        <w:t xml:space="preserve">Figure </w:t>
      </w:r>
      <w:r w:rsidR="007E283B">
        <w:rPr>
          <w:noProof/>
        </w:rPr>
        <w:t>13</w:t>
      </w:r>
      <w:r w:rsidR="005E6933">
        <w:fldChar w:fldCharType="end"/>
      </w:r>
      <w:r w:rsidR="005E6933">
        <w:t>)</w:t>
      </w:r>
      <w:r w:rsidR="005E6933" w:rsidRPr="00563DEE">
        <w:t>.</w:t>
      </w:r>
    </w:p>
    <w:p w14:paraId="4AD15E40" w14:textId="32A71A40" w:rsidR="005E6933" w:rsidRPr="002D5C63" w:rsidRDefault="005E6933" w:rsidP="00A47B69">
      <w:pPr>
        <w:pStyle w:val="Caption"/>
      </w:pPr>
      <w:bookmarkStart w:id="56" w:name="_Ref86324902"/>
      <w:r w:rsidRPr="00D605CE">
        <w:lastRenderedPageBreak/>
        <w:t xml:space="preserve">Figure </w:t>
      </w:r>
      <w:r w:rsidR="003B28D9">
        <w:fldChar w:fldCharType="begin"/>
      </w:r>
      <w:r w:rsidR="003B28D9">
        <w:instrText xml:space="preserve"> SEQ Figure \* ARABIC </w:instrText>
      </w:r>
      <w:r w:rsidR="003B28D9">
        <w:fldChar w:fldCharType="separate"/>
      </w:r>
      <w:r w:rsidR="007E283B">
        <w:rPr>
          <w:noProof/>
        </w:rPr>
        <w:t>13</w:t>
      </w:r>
      <w:r w:rsidR="003B28D9">
        <w:rPr>
          <w:noProof/>
        </w:rPr>
        <w:fldChar w:fldCharType="end"/>
      </w:r>
      <w:bookmarkEnd w:id="56"/>
      <w:r w:rsidRPr="002D5C63">
        <w:t xml:space="preserve">: </w:t>
      </w:r>
      <w:r>
        <w:t>Potential a</w:t>
      </w:r>
      <w:r w:rsidRPr="002D5C63">
        <w:t xml:space="preserve">ccessible budget </w:t>
      </w:r>
      <w:r>
        <w:t xml:space="preserve">and potential shortfall </w:t>
      </w:r>
    </w:p>
    <w:p w14:paraId="5D199211" w14:textId="77777777" w:rsidR="005E6933" w:rsidRDefault="005E6933" w:rsidP="00E57CAB">
      <w:pPr>
        <w:pStyle w:val="BodyText"/>
        <w:jc w:val="center"/>
      </w:pPr>
      <w:r>
        <w:rPr>
          <w:noProof/>
        </w:rPr>
        <w:drawing>
          <wp:inline distT="0" distB="0" distL="0" distR="0" wp14:anchorId="1D3163DC" wp14:editId="2D864365">
            <wp:extent cx="5917816" cy="2426065"/>
            <wp:effectExtent l="0" t="0" r="0" b="0"/>
            <wp:docPr id="10" name="Picture 10" descr="Ring chart of potential accessible expenditure and shortfall. Accessible expenditure is estimated at 290 million dollars is 90%. This includes expenditure on subscriptions and transformative agreements by federally funded stakeholders including universities, PFRAs, and government departments.&#10;Expected minimum shortfall at 31 million dollars is 10%. This includes APC expenditure reported by all stakeholders and expenditure on subscriptions and transformative agreements reported by non-federally funded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ing chart of potential accessible expenditure and shortfall. Accessible expenditure is estimated at 290 million dollars is 90%. This includes expenditure on subscriptions and transformative agreements by federally funded stakeholders including universities, PFRAs, and government departments.&#10;Expected minimum shortfall at 31 million dollars is 10%. This includes APC expenditure reported by all stakeholders and expenditure on subscriptions and transformative agreements reported by non-federally funded stakeholder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0509" cy="2431269"/>
                    </a:xfrm>
                    <a:prstGeom prst="rect">
                      <a:avLst/>
                    </a:prstGeom>
                    <a:noFill/>
                  </pic:spPr>
                </pic:pic>
              </a:graphicData>
            </a:graphic>
          </wp:inline>
        </w:drawing>
      </w:r>
    </w:p>
    <w:p w14:paraId="390587B1" w14:textId="145CDDE9" w:rsidR="005E6933" w:rsidRPr="00D605CE" w:rsidRDefault="005E6933" w:rsidP="00A47B69">
      <w:pPr>
        <w:pStyle w:val="BodyText"/>
      </w:pPr>
      <w:r>
        <w:t xml:space="preserve">This shortfall is only created if the proposed implementation body </w:t>
      </w:r>
      <w:r w:rsidR="003D1DA6">
        <w:t>is not able to</w:t>
      </w:r>
      <w:r>
        <w:t xml:space="preserve"> successfully repurpose APC expenditure (at least $14.5 million) and expenditure in subscriptions and transformative agreements by non-federally funded stakeholders (at least </w:t>
      </w:r>
      <w:r w:rsidRPr="003F71E5">
        <w:t>$1</w:t>
      </w:r>
      <w:r>
        <w:t>6</w:t>
      </w:r>
      <w:r w:rsidRPr="0093440E">
        <w:t>.</w:t>
      </w:r>
      <w:r>
        <w:t>6 million). Further consultations and analysis would be required to understand how</w:t>
      </w:r>
      <w:r w:rsidRPr="00563DEE">
        <w:t xml:space="preserve"> APC expenditure </w:t>
      </w:r>
      <w:r>
        <w:t>could be accounted for, and how the implementation body could negotiate to repurpose expenditure from</w:t>
      </w:r>
      <w:r w:rsidRPr="00563DEE">
        <w:t xml:space="preserve"> </w:t>
      </w:r>
      <w:r>
        <w:t>non-federally funded</w:t>
      </w:r>
      <w:r w:rsidRPr="00563DEE">
        <w:t xml:space="preserve"> subscribers</w:t>
      </w:r>
      <w:r>
        <w:t xml:space="preserve">. </w:t>
      </w:r>
      <w:r w:rsidR="00431610" w:rsidRPr="00563DEE">
        <w:t>Some stakeholders noted plans to implement APC tracking processes in the future. One stakeholder expressed interest in the development of guidelines for best practice APC data collection.</w:t>
      </w:r>
    </w:p>
    <w:p w14:paraId="7880F420" w14:textId="46A20CD8" w:rsidR="00594E3D" w:rsidRDefault="00594E3D" w:rsidP="005E6933">
      <w:pPr>
        <w:pStyle w:val="Heading4"/>
      </w:pPr>
      <w:r w:rsidRPr="00594E3D">
        <w:t xml:space="preserve">Approach 2: </w:t>
      </w:r>
      <w:r w:rsidR="004A422C">
        <w:t>Funding c</w:t>
      </w:r>
      <w:r>
        <w:t>ontributions b</w:t>
      </w:r>
      <w:r w:rsidRPr="00594E3D">
        <w:t>ased on a fixed amount or proportion of funding across each stakeholder (or stakeholder group)</w:t>
      </w:r>
    </w:p>
    <w:p w14:paraId="484A8BC1" w14:textId="33DBFFA3" w:rsidR="005E6933" w:rsidRPr="00E31F1E" w:rsidRDefault="005E6933" w:rsidP="00A47B69">
      <w:pPr>
        <w:pStyle w:val="BodyText"/>
      </w:pPr>
      <w:r>
        <w:t>For this funding approach it is assumed that Federal G</w:t>
      </w:r>
      <w:r w:rsidRPr="00563DEE">
        <w:t>overnment expenditure on the Research Block Grant’s Research Support Program (RSP) and</w:t>
      </w:r>
      <w:r>
        <w:t xml:space="preserve"> </w:t>
      </w:r>
      <w:r w:rsidRPr="00563DEE">
        <w:t>PFRA funding</w:t>
      </w:r>
      <w:r>
        <w:t xml:space="preserve"> is indirectly funding most of Australian’s expenditure on journal subscriptions</w:t>
      </w:r>
      <w:r w:rsidR="00DD21A7">
        <w:t>,</w:t>
      </w:r>
      <w:r>
        <w:t xml:space="preserve"> and that this funding could be used to </w:t>
      </w:r>
      <w:r w:rsidR="00DD21A7">
        <w:t xml:space="preserve">pay for </w:t>
      </w:r>
      <w:r>
        <w:t>national agreements</w:t>
      </w:r>
      <w:r w:rsidRPr="009B4029">
        <w:rPr>
          <w:szCs w:val="24"/>
        </w:rPr>
        <w:t xml:space="preserve"> </w:t>
      </w:r>
      <w:r>
        <w:t>with publishers</w:t>
      </w:r>
      <w:r w:rsidRPr="00B34A12">
        <w:rPr>
          <w:szCs w:val="24"/>
        </w:rPr>
        <w:t>.</w:t>
      </w:r>
      <w:r w:rsidRPr="009B4029">
        <w:rPr>
          <w:rStyle w:val="FootnoteReference"/>
          <w:szCs w:val="24"/>
        </w:rPr>
        <w:footnoteReference w:id="98"/>
      </w:r>
      <w:r w:rsidRPr="009B4029">
        <w:rPr>
          <w:szCs w:val="24"/>
        </w:rPr>
        <w:t xml:space="preserve"> </w:t>
      </w:r>
      <w:r>
        <w:t xml:space="preserve">Further analysis is required to understand the feasibility and implications of such a funding approach. However, the proposed model’s assumed cost is equivalent to approximately </w:t>
      </w:r>
      <w:r w:rsidRPr="00563DEE">
        <w:t xml:space="preserve">11% of total </w:t>
      </w:r>
      <w:r w:rsidRPr="009B4029">
        <w:t>RSP</w:t>
      </w:r>
      <w:r w:rsidRPr="009733B1">
        <w:rPr>
          <w:rStyle w:val="FootnoteReference"/>
          <w:rFonts w:cstheme="minorBidi"/>
          <w:szCs w:val="24"/>
        </w:rPr>
        <w:footnoteReference w:id="99"/>
      </w:r>
      <w:r w:rsidRPr="009B4029">
        <w:t xml:space="preserve"> and PFRA</w:t>
      </w:r>
      <w:r w:rsidRPr="009733B1">
        <w:rPr>
          <w:rStyle w:val="FootnoteReference"/>
          <w:rFonts w:cstheme="minorBidi"/>
          <w:szCs w:val="24"/>
        </w:rPr>
        <w:footnoteReference w:id="100"/>
      </w:r>
      <w:r w:rsidRPr="009B4029">
        <w:t xml:space="preserve"> funding</w:t>
      </w:r>
      <w:r>
        <w:t xml:space="preserve"> </w:t>
      </w:r>
      <w:r w:rsidRPr="00563DEE">
        <w:t>for 2020-21</w:t>
      </w:r>
      <w:r>
        <w:t>.</w:t>
      </w:r>
      <w:r>
        <w:rPr>
          <w:rStyle w:val="FootnoteReference"/>
        </w:rPr>
        <w:footnoteReference w:id="101"/>
      </w:r>
      <w:r>
        <w:t xml:space="preserve"> Please note that this assumes </w:t>
      </w:r>
      <w:r w:rsidRPr="00F373DD">
        <w:t>that an equal percentage of funding would be drawn from the RSP and PFRA</w:t>
      </w:r>
      <w:r>
        <w:t xml:space="preserve"> funding. This is an unlikely</w:t>
      </w:r>
      <w:r w:rsidRPr="00F373DD">
        <w:t xml:space="preserve"> </w:t>
      </w:r>
      <w:r w:rsidR="00DD21A7">
        <w:t>scenario</w:t>
      </w:r>
      <w:r>
        <w:t xml:space="preserve"> and as such should be taken as an indicative figure of the total cost burden – not the contribution by individual stakeholders. The figure should also be contextualised against </w:t>
      </w:r>
      <w:r>
        <w:lastRenderedPageBreak/>
        <w:t>other sources of funding for universities and PFRAs</w:t>
      </w:r>
      <w:r w:rsidR="00DD21A7">
        <w:t>,</w:t>
      </w:r>
      <w:r>
        <w:t xml:space="preserve"> including the </w:t>
      </w:r>
      <w:r w:rsidRPr="004A27E7">
        <w:t>Commonwealth Grant Scheme</w:t>
      </w:r>
      <w:r>
        <w:t>, which</w:t>
      </w:r>
      <w:r w:rsidRPr="004A27E7">
        <w:t xml:space="preserve"> is the biggest single source of Government funding for universities. </w:t>
      </w:r>
    </w:p>
    <w:p w14:paraId="6EE03690" w14:textId="5402ADBF" w:rsidR="005E6933" w:rsidRPr="007D35E9" w:rsidRDefault="005E6933" w:rsidP="005E6933">
      <w:pPr>
        <w:pStyle w:val="Heading4"/>
      </w:pPr>
      <w:r w:rsidRPr="00083382">
        <w:t xml:space="preserve">Approach 3: </w:t>
      </w:r>
      <w:r w:rsidR="00527AF4">
        <w:t xml:space="preserve">Funding contributions based on </w:t>
      </w:r>
      <w:r>
        <w:t>p</w:t>
      </w:r>
      <w:r w:rsidRPr="007D35E9">
        <w:t>ublication</w:t>
      </w:r>
      <w:r w:rsidR="00527AF4">
        <w:t xml:space="preserve"> volume</w:t>
      </w:r>
    </w:p>
    <w:p w14:paraId="2A9A2F25" w14:textId="59A0D95B" w:rsidR="005E6933" w:rsidRDefault="005E6933" w:rsidP="00A47B69">
      <w:pPr>
        <w:pStyle w:val="BodyText"/>
      </w:pPr>
      <w:r>
        <w:t>A publication-based funding approach would a</w:t>
      </w:r>
      <w:r w:rsidRPr="007D35E9">
        <w:t xml:space="preserve">lign with the pay-to-publish approach favoured internationally </w:t>
      </w:r>
      <w:r>
        <w:t xml:space="preserve">(e.g., Projekt DEAL) but may not be compatible with the model’s proposed read-and-publish agreements as they are not priced based on publication rates. As such, no economic analysis was conducted on this approach. Further consideration would be necessary to determine whether this approach has merit. </w:t>
      </w:r>
      <w:r w:rsidRPr="00020D93">
        <w:t>I</w:t>
      </w:r>
      <w:r w:rsidRPr="00E37FB1">
        <w:t xml:space="preserve">t may be appropriate </w:t>
      </w:r>
      <w:r w:rsidRPr="002402C1">
        <w:t>to devise a contribution calculation based on each stakeholder’s overall usage (both reading and publishing) of the model, which could distribute the cost burden more evenly between</w:t>
      </w:r>
      <w:r w:rsidRPr="00E37FB1">
        <w:t xml:space="preserve"> stakeholders</w:t>
      </w:r>
      <w:r w:rsidRPr="00012A56">
        <w:t>.</w:t>
      </w:r>
      <w:r>
        <w:t xml:space="preserve"> </w:t>
      </w:r>
    </w:p>
    <w:p w14:paraId="780F6997" w14:textId="77777777" w:rsidR="005E6933" w:rsidRPr="00C44A43" w:rsidDel="009A6FE0" w:rsidRDefault="005E6933" w:rsidP="005E6933">
      <w:pPr>
        <w:pStyle w:val="Heading4"/>
      </w:pPr>
      <w:r>
        <w:t>Stakeholder concerns</w:t>
      </w:r>
    </w:p>
    <w:p w14:paraId="0252CD2E" w14:textId="2CDFE13E" w:rsidR="005E6933" w:rsidRDefault="005E6933" w:rsidP="00A47B69">
      <w:pPr>
        <w:pStyle w:val="BodyText"/>
      </w:pPr>
      <w:r>
        <w:t>In parallel to analysing the financial requirements and mechanisms to implement the proposed model, further analysis</w:t>
      </w:r>
      <w:r w:rsidDel="00AF1FC0">
        <w:t xml:space="preserve"> </w:t>
      </w:r>
      <w:r>
        <w:t xml:space="preserve">should also focus on stakeholder sentiment to understand and address concerns. </w:t>
      </w:r>
    </w:p>
    <w:p w14:paraId="5C5CAC03" w14:textId="25254078" w:rsidR="00274A4C" w:rsidRDefault="005E6933" w:rsidP="00A47B69">
      <w:pPr>
        <w:pStyle w:val="BodyText"/>
      </w:pPr>
      <w:r w:rsidRPr="00234A3E">
        <w:t>Some university sector stakeholders noted that changing the distribution of expenditure or sharing the benefits of current expenditure could result in perceptions of winners and losers, which may receive resistance</w:t>
      </w:r>
      <w:r w:rsidRPr="007576D4">
        <w:t>.</w:t>
      </w:r>
      <w:r w:rsidRPr="00563DEE">
        <w:t xml:space="preserve"> </w:t>
      </w:r>
      <w:r w:rsidR="00DD21A7">
        <w:t>O</w:t>
      </w:r>
      <w:r>
        <w:t xml:space="preserve">ne </w:t>
      </w:r>
      <w:r w:rsidRPr="00563DEE">
        <w:t>stakeholder</w:t>
      </w:r>
      <w:r>
        <w:t xml:space="preserve"> involved in </w:t>
      </w:r>
      <w:r w:rsidR="009965C0">
        <w:t>the university sector</w:t>
      </w:r>
      <w:r w:rsidR="00DD21A7">
        <w:t xml:space="preserve"> </w:t>
      </w:r>
      <w:r w:rsidRPr="00563DEE">
        <w:t>recalled a previous attempt by the Australian Vice-Chancellors Committee to form a national subscription licence with a major publisher in the early 2000s. Negotiations were discontinued because some large, research-intensive universities were concerned their long-term investments in scholarly journals would be repurposed for a licence that provided equal access to non-research-intensive universities</w:t>
      </w:r>
      <w:r w:rsidR="00BD5F31">
        <w:t xml:space="preserve"> (i.e., those that </w:t>
      </w:r>
      <w:r w:rsidR="00887CEA">
        <w:t>have a primary focus on teaching)</w:t>
      </w:r>
      <w:r w:rsidRPr="00563DEE">
        <w:t>.</w:t>
      </w:r>
      <w:r>
        <w:t xml:space="preserve"> Universities also expressed concern that they may effectively be subsidising access to journal articles for industry and public users </w:t>
      </w:r>
      <w:r w:rsidRPr="00D46DFC">
        <w:t>if</w:t>
      </w:r>
      <w:r>
        <w:t xml:space="preserve"> industry contributions are not required.</w:t>
      </w:r>
    </w:p>
    <w:p w14:paraId="1FFA0BB3" w14:textId="77777777" w:rsidR="00BE114A" w:rsidRDefault="00B6252E" w:rsidP="00D9224E">
      <w:pPr>
        <w:pStyle w:val="BodyText"/>
      </w:pPr>
      <w:r>
        <w:t>While not examined in this report, further analysis and engagement should consider the possibility to seek contributions from non-federally funded stakeholders. For example, one</w:t>
      </w:r>
      <w:r w:rsidRPr="0068472C">
        <w:t xml:space="preserve"> industry stakeholder with </w:t>
      </w:r>
      <w:r w:rsidRPr="00E50BAC">
        <w:t>existing</w:t>
      </w:r>
      <w:r w:rsidRPr="0068472C">
        <w:t xml:space="preserve"> subscriptions expressed tentative support for </w:t>
      </w:r>
      <w:r>
        <w:t>redirecting their current expenditure on journals</w:t>
      </w:r>
      <w:r w:rsidRPr="0068472C">
        <w:t xml:space="preserve"> towards national agreements.</w:t>
      </w:r>
      <w:r w:rsidRPr="00563DEE">
        <w:t xml:space="preserve"> However, </w:t>
      </w:r>
      <w:r>
        <w:t>if they</w:t>
      </w:r>
      <w:r w:rsidRPr="00563DEE" w:rsidDel="00E8787A">
        <w:t xml:space="preserve"> </w:t>
      </w:r>
      <w:r>
        <w:t>would</w:t>
      </w:r>
      <w:r w:rsidRPr="00563DEE">
        <w:t xml:space="preserve"> get free access regardless, they acknowledged that some form of recognition (i.e., a sponsorship-based funding model) or additional benefit might be required to justify their contributions.</w:t>
      </w:r>
      <w:r w:rsidR="00BE114A">
        <w:t xml:space="preserve"> </w:t>
      </w:r>
    </w:p>
    <w:p w14:paraId="3D9612FC" w14:textId="17597BE5" w:rsidR="005E6933" w:rsidRPr="00563DEE" w:rsidRDefault="005E6933" w:rsidP="00D9224E">
      <w:pPr>
        <w:pStyle w:val="BodyText"/>
      </w:pPr>
      <w:r>
        <w:t>Further analysis</w:t>
      </w:r>
      <w:r w:rsidDel="00AF1FC0">
        <w:t xml:space="preserve"> </w:t>
      </w:r>
      <w:r>
        <w:t xml:space="preserve">of the distribution of costs and benefits for each funding approach will be important. This will require additional information from stakeholders to understand </w:t>
      </w:r>
      <w:r w:rsidR="00104459">
        <w:t>their needs,</w:t>
      </w:r>
      <w:r>
        <w:t xml:space="preserve"> which can be partially informed by analysis of existing subscriptions</w:t>
      </w:r>
      <w:r w:rsidR="00104459">
        <w:t>,</w:t>
      </w:r>
      <w:r>
        <w:t xml:space="preserve"> and to identify how the transition to open access could be best managed.</w:t>
      </w:r>
      <w:r w:rsidR="00BE114A">
        <w:t xml:space="preserve"> </w:t>
      </w:r>
    </w:p>
    <w:p w14:paraId="41632D02" w14:textId="77777777" w:rsidR="005E6933" w:rsidRPr="00D46DFC" w:rsidRDefault="005E6933" w:rsidP="00D9224E">
      <w:pPr>
        <w:pStyle w:val="BodyText"/>
        <w:keepNext/>
      </w:pPr>
      <w:r w:rsidRPr="00D46DFC">
        <w:t>Other concerns raised by stakeholder</w:t>
      </w:r>
      <w:r>
        <w:t>s</w:t>
      </w:r>
      <w:r w:rsidRPr="00D46DFC">
        <w:t xml:space="preserve"> include:</w:t>
      </w:r>
    </w:p>
    <w:p w14:paraId="32624115" w14:textId="481A10AC" w:rsidR="00E01178" w:rsidRDefault="00E01178" w:rsidP="00D9224E">
      <w:pPr>
        <w:pStyle w:val="ListBullet"/>
        <w:jc w:val="both"/>
      </w:pPr>
      <w:r w:rsidRPr="00E01178">
        <w:t>Stakeholders in Australia's research and library sector</w:t>
      </w:r>
      <w:r w:rsidR="0066597F">
        <w:t>s</w:t>
      </w:r>
      <w:r w:rsidRPr="00E01178">
        <w:t xml:space="preserve"> expressed concern about a loss of control over how they spend their library budgets and a potential loss of library jobs. Universities were particularly concerned about the prospect of losing control over how their funds are spent, particularly as some have subscriptions that are in niche areas or are used for teaching purposes. There </w:t>
      </w:r>
      <w:r w:rsidR="00424A4B" w:rsidRPr="00E01178">
        <w:t>were</w:t>
      </w:r>
      <w:r w:rsidRPr="00E01178">
        <w:t xml:space="preserve"> also concerns expressed at the potential loss of library jobs and the </w:t>
      </w:r>
      <w:r w:rsidR="00104459">
        <w:t>changing</w:t>
      </w:r>
      <w:r w:rsidRPr="00E01178">
        <w:t xml:space="preserve"> role of </w:t>
      </w:r>
      <w:r w:rsidRPr="00E01178">
        <w:lastRenderedPageBreak/>
        <w:t>librarians in the proposed model. It will be critical to engage with stakeholders in the university library sector to manage these concerns.</w:t>
      </w:r>
    </w:p>
    <w:p w14:paraId="04B30EB4" w14:textId="17BA2E86" w:rsidR="005E6933" w:rsidRPr="00563DEE" w:rsidDel="00AC6DAC" w:rsidRDefault="005E6933" w:rsidP="00D9224E">
      <w:pPr>
        <w:pStyle w:val="ListBullet"/>
        <w:jc w:val="both"/>
      </w:pPr>
      <w:r w:rsidRPr="00D46DFC">
        <w:t xml:space="preserve">Some university </w:t>
      </w:r>
      <w:r w:rsidRPr="00D46DFC" w:rsidDel="00AC6DAC">
        <w:t xml:space="preserve">stakeholders expressed concern that </w:t>
      </w:r>
      <w:r w:rsidRPr="00D46DFC">
        <w:t>the model may be exposed to budget cuts by future governments.</w:t>
      </w:r>
      <w:r>
        <w:t xml:space="preserve"> If the proposed model is funded by </w:t>
      </w:r>
      <w:r w:rsidRPr="00563DEE" w:rsidDel="00AC6DAC">
        <w:t>withholding government funding f</w:t>
      </w:r>
      <w:r>
        <w:t>rom</w:t>
      </w:r>
      <w:r w:rsidRPr="00563DEE" w:rsidDel="00AC6DAC">
        <w:t xml:space="preserve"> universities and PFRAs</w:t>
      </w:r>
      <w:r>
        <w:t>,</w:t>
      </w:r>
      <w:r w:rsidRPr="00563DEE" w:rsidDel="00AC6DAC">
        <w:t xml:space="preserve"> </w:t>
      </w:r>
      <w:r>
        <w:t>those institutions could be left with neither their previous budgets to pay for access, nor the access provided by the model.</w:t>
      </w:r>
      <w:r w:rsidRPr="00563DEE" w:rsidDel="00AC6DAC">
        <w:t xml:space="preserve"> </w:t>
      </w:r>
    </w:p>
    <w:p w14:paraId="6447D42C" w14:textId="27767BF7" w:rsidR="005E6933" w:rsidRPr="00BA7BA8" w:rsidRDefault="005E6933" w:rsidP="00D9224E">
      <w:pPr>
        <w:pStyle w:val="ListBullet"/>
        <w:jc w:val="both"/>
      </w:pPr>
      <w:r w:rsidRPr="00766D4A">
        <w:t>Some university stakeholders noted that there are existing inequities in the pricing of journal subscriptions</w:t>
      </w:r>
      <w:r w:rsidRPr="00563DEE">
        <w:t xml:space="preserve"> due to publishers basing the </w:t>
      </w:r>
      <w:r>
        <w:t>price of</w:t>
      </w:r>
      <w:r w:rsidRPr="00563DEE">
        <w:t xml:space="preserve"> digital subscription</w:t>
      </w:r>
      <w:r w:rsidR="00104459">
        <w:t>s</w:t>
      </w:r>
      <w:r w:rsidR="000710CF">
        <w:t xml:space="preserve"> </w:t>
      </w:r>
      <w:r w:rsidRPr="00563DEE">
        <w:t xml:space="preserve">on the historic size of each university’s hardcopy library. </w:t>
      </w:r>
      <w:r>
        <w:t>Because an individual university’s agreements with publishers are rarely transparent</w:t>
      </w:r>
      <w:r w:rsidR="00104459">
        <w:t>,</w:t>
      </w:r>
      <w:r>
        <w:t xml:space="preserve"> these inequities are difficult to identify and address. </w:t>
      </w:r>
      <w:r w:rsidRPr="00563DEE">
        <w:t xml:space="preserve">Basing funding contributions on </w:t>
      </w:r>
      <w:r>
        <w:t>current levels of</w:t>
      </w:r>
      <w:r w:rsidRPr="00563DEE">
        <w:t xml:space="preserve"> expenditure has the potential to entrench these differences, so it may be more equitable </w:t>
      </w:r>
      <w:r w:rsidR="00104459">
        <w:t>for</w:t>
      </w:r>
      <w:r w:rsidR="00104459" w:rsidRPr="00563DEE">
        <w:t xml:space="preserve"> </w:t>
      </w:r>
      <w:r w:rsidRPr="00563DEE">
        <w:t xml:space="preserve">contributions </w:t>
      </w:r>
      <w:r w:rsidR="00104459">
        <w:t>to be based</w:t>
      </w:r>
      <w:r w:rsidRPr="00563DEE">
        <w:t xml:space="preserve"> on usage</w:t>
      </w:r>
      <w:r w:rsidR="00104459">
        <w:t>,</w:t>
      </w:r>
      <w:r w:rsidRPr="00563DEE">
        <w:t xml:space="preserve"> or </w:t>
      </w:r>
      <w:r w:rsidR="00470976">
        <w:t xml:space="preserve">on </w:t>
      </w:r>
      <w:r w:rsidRPr="00563DEE">
        <w:t>a standard proportion of funding</w:t>
      </w:r>
      <w:r>
        <w:t>.</w:t>
      </w:r>
    </w:p>
    <w:p w14:paraId="32A39272" w14:textId="02AAD4A3" w:rsidR="005E6933" w:rsidRPr="00A26FB4" w:rsidDel="00FA7D0E" w:rsidRDefault="005E6933" w:rsidP="00A47B69">
      <w:pPr>
        <w:pStyle w:val="BodyText"/>
      </w:pPr>
    </w:p>
    <w:tbl>
      <w:tblPr>
        <w:tblStyle w:val="TableGrid"/>
        <w:tblW w:w="97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F8751B" w14:paraId="5AA7D8C6" w14:textId="77777777" w:rsidTr="00076358">
        <w:tc>
          <w:tcPr>
            <w:tcW w:w="9746" w:type="dxa"/>
            <w:shd w:val="clear" w:color="auto" w:fill="D0EAFF" w:themeFill="accent2" w:themeFillTint="1A"/>
          </w:tcPr>
          <w:p w14:paraId="4835FFEC" w14:textId="77777777" w:rsidR="005E6933" w:rsidRDefault="005E6933" w:rsidP="00076358">
            <w:pPr>
              <w:pStyle w:val="Heading3notnumbered"/>
            </w:pPr>
            <w:bookmarkStart w:id="57" w:name="_Ref84424197"/>
            <w:bookmarkStart w:id="58" w:name="_Ref84424202"/>
            <w:r>
              <w:t>Potential next steps</w:t>
            </w:r>
            <w:r w:rsidRPr="00563DEE">
              <w:t xml:space="preserve"> </w:t>
            </w:r>
          </w:p>
        </w:tc>
      </w:tr>
      <w:tr w:rsidR="00F8751B" w14:paraId="711D94B9" w14:textId="77777777" w:rsidTr="00076358">
        <w:tc>
          <w:tcPr>
            <w:tcW w:w="9746" w:type="dxa"/>
            <w:shd w:val="clear" w:color="auto" w:fill="D0EAFF" w:themeFill="accent2" w:themeFillTint="1A"/>
          </w:tcPr>
          <w:p w14:paraId="74340E2D" w14:textId="77777777" w:rsidR="005E6933" w:rsidRPr="00FF631A" w:rsidRDefault="005E6933" w:rsidP="00E56EE6">
            <w:pPr>
              <w:pStyle w:val="BodyText"/>
              <w:rPr>
                <w:b/>
                <w:bCs/>
              </w:rPr>
            </w:pPr>
            <w:r w:rsidRPr="00FF631A">
              <w:rPr>
                <w:b/>
                <w:bCs/>
              </w:rPr>
              <w:t>Analysis</w:t>
            </w:r>
          </w:p>
          <w:p w14:paraId="4EF4553F" w14:textId="77777777" w:rsidR="00493B3B" w:rsidRDefault="00493B3B" w:rsidP="00E56EE6">
            <w:pPr>
              <w:pStyle w:val="ListBullet"/>
              <w:jc w:val="both"/>
            </w:pPr>
            <w:r>
              <w:t>Identify and analyse different funding approaches and understand the mechanisms available to repurpose, redirect or use existing expenditure.</w:t>
            </w:r>
          </w:p>
          <w:p w14:paraId="7A38D3AD" w14:textId="7C4E8225" w:rsidR="009F7654" w:rsidRPr="00735FE8" w:rsidRDefault="005E6933" w:rsidP="00E56EE6">
            <w:pPr>
              <w:pStyle w:val="ListBullet"/>
              <w:jc w:val="both"/>
            </w:pPr>
            <w:r>
              <w:t xml:space="preserve">Conduct a </w:t>
            </w:r>
            <w:r w:rsidRPr="00F076A4">
              <w:t>detailed</w:t>
            </w:r>
            <w:r>
              <w:t xml:space="preserve"> cost distribution analysis of the different funding approaches</w:t>
            </w:r>
            <w:r w:rsidR="009847CB">
              <w:t xml:space="preserve"> and how they compare to the status quo</w:t>
            </w:r>
            <w:r>
              <w:t>.</w:t>
            </w:r>
          </w:p>
        </w:tc>
      </w:tr>
      <w:tr w:rsidR="00F8751B" w14:paraId="4A196486" w14:textId="77777777" w:rsidTr="00076358">
        <w:tc>
          <w:tcPr>
            <w:tcW w:w="9746" w:type="dxa"/>
            <w:shd w:val="clear" w:color="auto" w:fill="D0EAFF" w:themeFill="accent2" w:themeFillTint="1A"/>
          </w:tcPr>
          <w:p w14:paraId="16DF673C" w14:textId="77777777" w:rsidR="005E6933" w:rsidRPr="00FF631A" w:rsidRDefault="005E6933" w:rsidP="00E56EE6">
            <w:pPr>
              <w:pStyle w:val="BodyText"/>
              <w:rPr>
                <w:b/>
                <w:bCs/>
              </w:rPr>
            </w:pPr>
            <w:r w:rsidRPr="00FF631A">
              <w:rPr>
                <w:b/>
                <w:bCs/>
              </w:rPr>
              <w:t>Consultation</w:t>
            </w:r>
          </w:p>
          <w:p w14:paraId="67D3F98C" w14:textId="074C8710" w:rsidR="005E6933" w:rsidRDefault="005E6933" w:rsidP="00E56EE6">
            <w:pPr>
              <w:pStyle w:val="ListBullet"/>
              <w:jc w:val="both"/>
            </w:pPr>
            <w:r w:rsidRPr="00964384">
              <w:t>Undertake formal public consultation to test the strengths and weaknesses of different funding approaches, understand perceptions of winners and losers</w:t>
            </w:r>
            <w:r w:rsidR="00271687">
              <w:t>,</w:t>
            </w:r>
            <w:r w:rsidRPr="00964384">
              <w:t xml:space="preserve"> and identify the best solution.</w:t>
            </w:r>
          </w:p>
        </w:tc>
      </w:tr>
      <w:tr w:rsidR="00F8751B" w14:paraId="686DACEF" w14:textId="77777777" w:rsidTr="00076358">
        <w:tc>
          <w:tcPr>
            <w:tcW w:w="9746" w:type="dxa"/>
            <w:shd w:val="clear" w:color="auto" w:fill="D0EAFF" w:themeFill="accent2" w:themeFillTint="1A"/>
          </w:tcPr>
          <w:p w14:paraId="4B323B66" w14:textId="77777777" w:rsidR="005E6933" w:rsidRPr="00FF631A" w:rsidRDefault="005E6933" w:rsidP="00E56EE6">
            <w:pPr>
              <w:pStyle w:val="BodyText"/>
              <w:rPr>
                <w:b/>
                <w:bCs/>
              </w:rPr>
            </w:pPr>
            <w:r w:rsidRPr="00FF631A">
              <w:rPr>
                <w:b/>
                <w:bCs/>
              </w:rPr>
              <w:t>Planning</w:t>
            </w:r>
          </w:p>
          <w:p w14:paraId="611DA646" w14:textId="77777777" w:rsidR="005E6933" w:rsidRDefault="005E6933" w:rsidP="00E56EE6">
            <w:pPr>
              <w:pStyle w:val="ListBullet"/>
              <w:jc w:val="both"/>
            </w:pPr>
            <w:r w:rsidRPr="00EC09DC">
              <w:t>Consider</w:t>
            </w:r>
            <w:r>
              <w:t xml:space="preserve"> funding approaches that </w:t>
            </w:r>
            <w:r w:rsidRPr="00EC09DC">
              <w:t>spread the contributions across a broader range of stakeholders</w:t>
            </w:r>
            <w:r>
              <w:t xml:space="preserve"> (including industry)</w:t>
            </w:r>
            <w:r w:rsidRPr="00EC09DC">
              <w:t xml:space="preserve"> who will benefit from open access</w:t>
            </w:r>
            <w:r>
              <w:t>.</w:t>
            </w:r>
            <w:r w:rsidRPr="00EC09DC">
              <w:t xml:space="preserve"> </w:t>
            </w:r>
          </w:p>
          <w:p w14:paraId="4980ACB0" w14:textId="0BFC0C54" w:rsidR="005E6933" w:rsidRDefault="005E6933" w:rsidP="00E56EE6">
            <w:pPr>
              <w:pStyle w:val="ListBullet"/>
              <w:jc w:val="both"/>
            </w:pPr>
            <w:r w:rsidRPr="007D35E9">
              <w:t xml:space="preserve">Consider whether </w:t>
            </w:r>
            <w:r w:rsidRPr="00B84091">
              <w:t>legislation</w:t>
            </w:r>
            <w:r w:rsidRPr="007D35E9">
              <w:t xml:space="preserve"> would be necessary to provide a degree of certainty</w:t>
            </w:r>
            <w:r w:rsidR="00015C54">
              <w:t xml:space="preserve"> and stability</w:t>
            </w:r>
            <w:r w:rsidRPr="007D35E9">
              <w:t xml:space="preserve"> </w:t>
            </w:r>
            <w:r w:rsidR="00015C54">
              <w:t>for</w:t>
            </w:r>
            <w:r w:rsidR="00015C54" w:rsidRPr="007D35E9">
              <w:t xml:space="preserve"> </w:t>
            </w:r>
            <w:r w:rsidRPr="007D35E9">
              <w:t xml:space="preserve">the </w:t>
            </w:r>
            <w:r w:rsidR="006B5004">
              <w:t xml:space="preserve">proposed </w:t>
            </w:r>
            <w:r w:rsidRPr="007D35E9">
              <w:t>model’s budget.</w:t>
            </w:r>
          </w:p>
        </w:tc>
      </w:tr>
    </w:tbl>
    <w:p w14:paraId="52903439" w14:textId="77777777" w:rsidR="005E6933" w:rsidRPr="00035F2A" w:rsidRDefault="005E6933" w:rsidP="00A47B69">
      <w:pPr>
        <w:pStyle w:val="BodyText"/>
      </w:pPr>
    </w:p>
    <w:p w14:paraId="01306207" w14:textId="60CED47D" w:rsidR="005E6933" w:rsidRPr="00563DEE" w:rsidRDefault="005E6933" w:rsidP="005E6933">
      <w:pPr>
        <w:pStyle w:val="Heading2"/>
        <w:rPr>
          <w:rFonts w:asciiTheme="minorHAnsi" w:hAnsiTheme="minorHAnsi" w:cstheme="minorHAnsi"/>
        </w:rPr>
      </w:pPr>
      <w:bookmarkStart w:id="59" w:name="_Toc87629940"/>
      <w:r w:rsidRPr="00563DEE">
        <w:rPr>
          <w:rFonts w:asciiTheme="minorHAnsi" w:hAnsiTheme="minorHAnsi" w:cstheme="minorHAnsi"/>
        </w:rPr>
        <w:t>Access and impact</w:t>
      </w:r>
      <w:bookmarkEnd w:id="57"/>
      <w:bookmarkEnd w:id="58"/>
      <w:bookmarkEnd w:id="59"/>
      <w:r w:rsidRPr="00563DEE">
        <w:rPr>
          <w:rFonts w:asciiTheme="minorHAnsi" w:hAnsiTheme="minorHAnsi" w:cstheme="minorHAnsi"/>
        </w:rPr>
        <w:t xml:space="preserve"> </w:t>
      </w:r>
    </w:p>
    <w:p w14:paraId="4E46BA6A" w14:textId="57003AD5" w:rsidR="00EC0B67" w:rsidRDefault="005E6933" w:rsidP="00662B4D">
      <w:pPr>
        <w:pStyle w:val="BodyText"/>
        <w:rPr>
          <w:rFonts w:asciiTheme="minorHAnsi" w:eastAsia="Courier New" w:hAnsiTheme="minorHAnsi" w:cstheme="minorHAnsi"/>
        </w:rPr>
      </w:pPr>
      <w:bookmarkStart w:id="60" w:name="_Ref83990571"/>
      <w:r w:rsidRPr="00563DEE">
        <w:t xml:space="preserve">Stakeholders raised questions and concerns about the how the model will govern access and enable impact. Key issues included the role of </w:t>
      </w:r>
      <w:r>
        <w:t>institutional</w:t>
      </w:r>
      <w:r w:rsidRPr="00563DEE">
        <w:t xml:space="preserve"> repositories, the scope and security of how access will be provided to Australian users</w:t>
      </w:r>
      <w:r>
        <w:t>,</w:t>
      </w:r>
      <w:r w:rsidRPr="00563DEE">
        <w:t xml:space="preserve"> appropriate licensing arrangements for Australia’s open access </w:t>
      </w:r>
      <w:r>
        <w:t>journal articles</w:t>
      </w:r>
      <w:r w:rsidRPr="00563DEE">
        <w:t xml:space="preserve">, and </w:t>
      </w:r>
      <w:r w:rsidR="00A526CB">
        <w:t xml:space="preserve">how the proposed model could </w:t>
      </w:r>
      <w:r w:rsidR="00093B0B">
        <w:t>encourage</w:t>
      </w:r>
      <w:r w:rsidR="00A526CB">
        <w:t xml:space="preserve"> </w:t>
      </w:r>
      <w:r w:rsidRPr="00563DEE">
        <w:t xml:space="preserve">industry </w:t>
      </w:r>
      <w:r w:rsidR="003179C4">
        <w:t>use</w:t>
      </w:r>
      <w:r w:rsidR="00662B4D">
        <w:t>.</w:t>
      </w:r>
      <w:r w:rsidR="003179C4">
        <w:t xml:space="preserve"> </w:t>
      </w:r>
      <w:bookmarkStart w:id="61" w:name="_Ref84601006"/>
    </w:p>
    <w:p w14:paraId="3C45819F" w14:textId="14C19ECD" w:rsidR="005E6933" w:rsidRPr="00563DEE" w:rsidRDefault="005E6933" w:rsidP="005E6933">
      <w:pPr>
        <w:pStyle w:val="Heading3"/>
        <w:jc w:val="both"/>
        <w:rPr>
          <w:rFonts w:asciiTheme="minorHAnsi" w:eastAsia="Courier New" w:hAnsiTheme="minorHAnsi" w:cstheme="minorHAnsi"/>
        </w:rPr>
      </w:pPr>
      <w:r w:rsidRPr="00563DEE">
        <w:rPr>
          <w:rFonts w:asciiTheme="minorHAnsi" w:eastAsia="Courier New" w:hAnsiTheme="minorHAnsi" w:cstheme="minorHAnsi"/>
        </w:rPr>
        <w:lastRenderedPageBreak/>
        <w:t xml:space="preserve">What role and value </w:t>
      </w:r>
      <w:r>
        <w:rPr>
          <w:rFonts w:asciiTheme="minorHAnsi" w:eastAsia="Courier New" w:hAnsiTheme="minorHAnsi" w:cstheme="minorHAnsi"/>
        </w:rPr>
        <w:t>would</w:t>
      </w:r>
      <w:r w:rsidRPr="00563DEE">
        <w:rPr>
          <w:rFonts w:asciiTheme="minorHAnsi" w:eastAsia="Courier New" w:hAnsiTheme="minorHAnsi" w:cstheme="minorHAnsi"/>
        </w:rPr>
        <w:t xml:space="preserve"> repositories </w:t>
      </w:r>
      <w:r>
        <w:rPr>
          <w:rFonts w:asciiTheme="minorHAnsi" w:eastAsia="Courier New" w:hAnsiTheme="minorHAnsi" w:cstheme="minorHAnsi"/>
        </w:rPr>
        <w:t>have</w:t>
      </w:r>
      <w:r w:rsidRPr="00563DEE">
        <w:rPr>
          <w:rFonts w:asciiTheme="minorHAnsi" w:eastAsia="Courier New" w:hAnsiTheme="minorHAnsi" w:cstheme="minorHAnsi"/>
        </w:rPr>
        <w:t xml:space="preserve"> under the </w:t>
      </w:r>
      <w:r>
        <w:rPr>
          <w:rFonts w:asciiTheme="minorHAnsi" w:eastAsia="Courier New" w:hAnsiTheme="minorHAnsi" w:cstheme="minorHAnsi"/>
        </w:rPr>
        <w:t>proposed</w:t>
      </w:r>
      <w:r w:rsidRPr="00563DEE">
        <w:rPr>
          <w:rFonts w:asciiTheme="minorHAnsi" w:eastAsia="Courier New" w:hAnsiTheme="minorHAnsi" w:cstheme="minorHAnsi"/>
        </w:rPr>
        <w:t xml:space="preserve"> model?</w:t>
      </w:r>
      <w:bookmarkEnd w:id="60"/>
      <w:bookmarkEnd w:id="61"/>
      <w:r w:rsidRPr="00563DEE">
        <w:rPr>
          <w:rFonts w:asciiTheme="minorHAnsi" w:eastAsia="Courier New" w:hAnsiTheme="minorHAnsi" w:cstheme="minorHAnsi"/>
        </w:rPr>
        <w:t xml:space="preserve"> </w:t>
      </w:r>
    </w:p>
    <w:p w14:paraId="1512E936" w14:textId="01FDC421" w:rsidR="005A5852" w:rsidRDefault="005E6933" w:rsidP="00D9224E">
      <w:pPr>
        <w:pStyle w:val="BodyText"/>
      </w:pPr>
      <w:r>
        <w:t>Currently, r</w:t>
      </w:r>
      <w:r w:rsidRPr="00563DEE">
        <w:t xml:space="preserve">epositories </w:t>
      </w:r>
      <w:r w:rsidRPr="00563DEE" w:rsidDel="00A32581">
        <w:t xml:space="preserve">enable green </w:t>
      </w:r>
      <w:r w:rsidDel="00A32581">
        <w:t>open access</w:t>
      </w:r>
      <w:r w:rsidRPr="00563DEE" w:rsidDel="00A32581">
        <w:t xml:space="preserve"> by providing an alternative to paying </w:t>
      </w:r>
      <w:r>
        <w:t xml:space="preserve">publisher fees </w:t>
      </w:r>
      <w:r w:rsidRPr="00563DEE" w:rsidDel="00A32581">
        <w:t xml:space="preserve">to meet open access </w:t>
      </w:r>
      <w:r w:rsidRPr="00563DEE">
        <w:t>mandates</w:t>
      </w:r>
      <w:r>
        <w:t xml:space="preserve">. </w:t>
      </w:r>
      <w:r w:rsidR="00234730">
        <w:t>As</w:t>
      </w:r>
      <w:r>
        <w:t xml:space="preserve"> these</w:t>
      </w:r>
      <w:r w:rsidR="00BB0B39">
        <w:t xml:space="preserve"> </w:t>
      </w:r>
      <w:r>
        <w:t>fees will be covered by national agreements</w:t>
      </w:r>
      <w:r w:rsidR="00BB0B39">
        <w:t xml:space="preserve"> under the proposed model, this </w:t>
      </w:r>
      <w:r>
        <w:t xml:space="preserve">might replace the need for green open access.  </w:t>
      </w:r>
    </w:p>
    <w:p w14:paraId="4CC5B2AA" w14:textId="3609F784" w:rsidR="005E6933" w:rsidRDefault="005E6933" w:rsidP="00D9224E">
      <w:pPr>
        <w:pStyle w:val="Heading4"/>
        <w:jc w:val="both"/>
      </w:pPr>
      <w:r>
        <w:t xml:space="preserve">The value of </w:t>
      </w:r>
      <w:r w:rsidR="00C513F4">
        <w:t xml:space="preserve">institutional </w:t>
      </w:r>
      <w:r>
        <w:t>repositories</w:t>
      </w:r>
    </w:p>
    <w:p w14:paraId="57641413" w14:textId="2DC7A85D" w:rsidR="005E6933" w:rsidRPr="00B84091" w:rsidRDefault="00911B68" w:rsidP="00D9224E">
      <w:pPr>
        <w:pStyle w:val="BodyText"/>
      </w:pPr>
      <w:r>
        <w:t>M</w:t>
      </w:r>
      <w:r w:rsidR="005E6933">
        <w:t xml:space="preserve">any </w:t>
      </w:r>
      <w:r w:rsidR="005E6933" w:rsidRPr="0091799E">
        <w:t>university stakeholders expressed strong views on the</w:t>
      </w:r>
      <w:r w:rsidR="005E6933" w:rsidRPr="0091799E" w:rsidDel="00D52BC7">
        <w:t xml:space="preserve"> </w:t>
      </w:r>
      <w:r w:rsidR="005E6933" w:rsidRPr="0091799E">
        <w:t>ongoing value of institutional repositories</w:t>
      </w:r>
      <w:r w:rsidR="005E6933" w:rsidRPr="00B84091">
        <w:t xml:space="preserve">, noting that: </w:t>
      </w:r>
    </w:p>
    <w:p w14:paraId="35630175" w14:textId="4BA5FDCF" w:rsidR="005E6933" w:rsidRPr="007D35E9" w:rsidRDefault="00C513F4" w:rsidP="00D9224E">
      <w:pPr>
        <w:pStyle w:val="ListBullet"/>
        <w:jc w:val="both"/>
      </w:pPr>
      <w:r>
        <w:t>Institutional r</w:t>
      </w:r>
      <w:r w:rsidR="005E6933" w:rsidRPr="007D35E9">
        <w:t xml:space="preserve">epositories enable </w:t>
      </w:r>
      <w:r>
        <w:t>research organisations</w:t>
      </w:r>
      <w:r w:rsidRPr="007D35E9">
        <w:t xml:space="preserve"> </w:t>
      </w:r>
      <w:r w:rsidR="005E6933" w:rsidRPr="007D35E9">
        <w:t xml:space="preserve">to assess and report on their total research output. Stakeholders have advised information </w:t>
      </w:r>
      <w:r w:rsidR="005E6933" w:rsidRPr="00B84091">
        <w:t>within</w:t>
      </w:r>
      <w:r w:rsidR="005E6933" w:rsidRPr="007D35E9">
        <w:t xml:space="preserve"> </w:t>
      </w:r>
      <w:r w:rsidR="00474060">
        <w:t xml:space="preserve">these </w:t>
      </w:r>
      <w:r w:rsidR="005E6933" w:rsidRPr="007D35E9">
        <w:t>repositories forms the basis for Excellence in Research Australia (ERA)</w:t>
      </w:r>
      <w:r w:rsidR="005E6933" w:rsidRPr="00563DEE">
        <w:rPr>
          <w:rStyle w:val="FootnoteReference"/>
          <w:rFonts w:cstheme="minorHAnsi"/>
        </w:rPr>
        <w:footnoteReference w:id="102"/>
      </w:r>
      <w:r w:rsidR="005E6933" w:rsidRPr="007D35E9">
        <w:t xml:space="preserve"> reporting, some of which would be lost if research was only published in journals. </w:t>
      </w:r>
      <w:r w:rsidR="005E6933">
        <w:t>However, it is possible that this need may eventually be met by innovative use of metadata and identifiers or other mechanisms.</w:t>
      </w:r>
      <w:r w:rsidR="005E6933" w:rsidRPr="007D35E9" w:rsidDel="00D21B1E">
        <w:t xml:space="preserve"> </w:t>
      </w:r>
    </w:p>
    <w:p w14:paraId="323BB634" w14:textId="4ABBF10A" w:rsidR="005E6933" w:rsidRPr="007D35E9" w:rsidRDefault="00C513F4" w:rsidP="00D9224E">
      <w:pPr>
        <w:pStyle w:val="ListBullet"/>
        <w:jc w:val="both"/>
      </w:pPr>
      <w:r>
        <w:t>Institutional r</w:t>
      </w:r>
      <w:r w:rsidR="005E6933" w:rsidRPr="007D35E9">
        <w:t>epositories enhance the reach and impact of an institution’s research. A 2020 review showed that institutional repositories have a positive impact on the citation count and the exposure of</w:t>
      </w:r>
      <w:r w:rsidR="005E6933">
        <w:t xml:space="preserve"> i</w:t>
      </w:r>
      <w:r w:rsidR="005E6933" w:rsidRPr="007D35E9">
        <w:t>nstitutions and researchers.</w:t>
      </w:r>
      <w:r w:rsidR="005E6933" w:rsidRPr="00563DEE">
        <w:rPr>
          <w:rStyle w:val="FootnoteReference"/>
          <w:rFonts w:cstheme="minorHAnsi"/>
        </w:rPr>
        <w:footnoteReference w:id="103"/>
      </w:r>
      <w:r w:rsidR="005E6933" w:rsidRPr="007D35E9">
        <w:t xml:space="preserve"> Stakeholders suggested that this can help to attract new research collaborations. </w:t>
      </w:r>
    </w:p>
    <w:p w14:paraId="37C9B46B" w14:textId="1C1553F1" w:rsidR="005E6933" w:rsidRPr="007D35E9" w:rsidRDefault="00C513F4" w:rsidP="00D9224E">
      <w:pPr>
        <w:pStyle w:val="ListBullet"/>
        <w:jc w:val="both"/>
      </w:pPr>
      <w:r>
        <w:t>Institutional r</w:t>
      </w:r>
      <w:r w:rsidR="005E6933" w:rsidRPr="007D35E9">
        <w:t xml:space="preserve">epositories are used as a central location for an institution’s research and can support </w:t>
      </w:r>
      <w:r w:rsidR="0050526B">
        <w:t>longer term goals related to</w:t>
      </w:r>
      <w:r w:rsidR="0050526B" w:rsidRPr="007D35E9">
        <w:t xml:space="preserve"> </w:t>
      </w:r>
      <w:r w:rsidR="005E6933" w:rsidRPr="007D35E9">
        <w:t xml:space="preserve">open science. Universities value </w:t>
      </w:r>
      <w:r w:rsidR="00487B5A">
        <w:t xml:space="preserve">their </w:t>
      </w:r>
      <w:r w:rsidR="005E6933" w:rsidRPr="007D35E9">
        <w:t>repositories for long-term preservation of diverse documents</w:t>
      </w:r>
      <w:r w:rsidR="006D38DC">
        <w:t xml:space="preserve">, </w:t>
      </w:r>
      <w:r w:rsidR="005E6933" w:rsidRPr="007D35E9">
        <w:t xml:space="preserve">not just </w:t>
      </w:r>
      <w:r w:rsidR="00911B68">
        <w:t xml:space="preserve">of </w:t>
      </w:r>
      <w:r w:rsidR="005E6933">
        <w:t>journal articles</w:t>
      </w:r>
      <w:r w:rsidR="006D38DC">
        <w:t>.</w:t>
      </w:r>
      <w:r w:rsidR="005E6933" w:rsidRPr="007D35E9">
        <w:t xml:space="preserve"> As </w:t>
      </w:r>
      <w:r w:rsidR="005E6933" w:rsidRPr="00B84091">
        <w:t>such</w:t>
      </w:r>
      <w:r w:rsidR="005E6933" w:rsidRPr="007D35E9">
        <w:t>, repositories</w:t>
      </w:r>
      <w:r w:rsidR="005E6933">
        <w:t xml:space="preserve">, </w:t>
      </w:r>
      <w:r w:rsidR="005E6933" w:rsidRPr="007D35E9">
        <w:t xml:space="preserve">including new systems </w:t>
      </w:r>
      <w:r w:rsidR="005E6933">
        <w:t>such as</w:t>
      </w:r>
      <w:r w:rsidR="005E6933" w:rsidRPr="007D35E9">
        <w:t xml:space="preserve"> the UK’s Octopus platform</w:t>
      </w:r>
      <w:r w:rsidR="005E6933">
        <w:t>,</w:t>
      </w:r>
      <w:r w:rsidR="005E6933" w:rsidRPr="00563DEE">
        <w:rPr>
          <w:rStyle w:val="FootnoteReference"/>
          <w:rFonts w:cstheme="minorHAnsi"/>
        </w:rPr>
        <w:footnoteReference w:id="104"/>
      </w:r>
      <w:r w:rsidR="005E6933">
        <w:t xml:space="preserve"> </w:t>
      </w:r>
      <w:r w:rsidR="005E6933" w:rsidRPr="007D35E9">
        <w:t xml:space="preserve">are also critical </w:t>
      </w:r>
      <w:r w:rsidR="005E6933">
        <w:t xml:space="preserve">enablers of </w:t>
      </w:r>
      <w:r w:rsidR="005E6933" w:rsidRPr="007D35E9">
        <w:t xml:space="preserve">open science by allowing researchers to archive elements of research that are not typically included in journal </w:t>
      </w:r>
      <w:r w:rsidR="005E6933">
        <w:t>articles</w:t>
      </w:r>
      <w:r w:rsidR="005E6933" w:rsidRPr="007D35E9">
        <w:t>.</w:t>
      </w:r>
    </w:p>
    <w:p w14:paraId="501B4A4E" w14:textId="77777777" w:rsidR="005E6933" w:rsidRDefault="005E6933" w:rsidP="005E6933">
      <w:pPr>
        <w:pStyle w:val="Heading4"/>
      </w:pPr>
      <w:r>
        <w:t>Potential improvements</w:t>
      </w:r>
    </w:p>
    <w:p w14:paraId="41FE7F95" w14:textId="0785BF97" w:rsidR="005E6933" w:rsidRPr="00563DEE" w:rsidRDefault="00BA46BE" w:rsidP="00A47B69">
      <w:pPr>
        <w:pStyle w:val="BodyText"/>
      </w:pPr>
      <w:r>
        <w:t>S</w:t>
      </w:r>
      <w:r w:rsidR="005E6933" w:rsidRPr="00563DEE">
        <w:t xml:space="preserve">ome stakeholders noted the quality and functionality of institutional repositories varied and </w:t>
      </w:r>
      <w:r w:rsidR="0002008F" w:rsidRPr="000C56EE">
        <w:t xml:space="preserve">a review of compliance with the NHMRC’s </w:t>
      </w:r>
      <w:r w:rsidR="0002008F">
        <w:t>o</w:t>
      </w:r>
      <w:r w:rsidR="0002008F" w:rsidRPr="000C56EE">
        <w:t xml:space="preserve">pen </w:t>
      </w:r>
      <w:r w:rsidR="0002008F">
        <w:t>a</w:t>
      </w:r>
      <w:r w:rsidR="0002008F" w:rsidRPr="000C56EE">
        <w:t xml:space="preserve">ccess </w:t>
      </w:r>
      <w:r w:rsidR="0002008F">
        <w:t>p</w:t>
      </w:r>
      <w:r w:rsidR="0002008F" w:rsidRPr="000C56EE">
        <w:t xml:space="preserve">olicy found </w:t>
      </w:r>
      <w:r w:rsidR="0002008F" w:rsidRPr="00A36E77">
        <w:t xml:space="preserve">low </w:t>
      </w:r>
      <w:r w:rsidR="0002008F" w:rsidRPr="001D56B1">
        <w:t>levels of author accepted manuscripts in Australian institutional repositories</w:t>
      </w:r>
      <w:r w:rsidR="0002008F">
        <w:t>.</w:t>
      </w:r>
      <w:r w:rsidR="0002008F" w:rsidRPr="0002008F">
        <w:rPr>
          <w:rStyle w:val="FootnoteReference"/>
        </w:rPr>
        <w:t xml:space="preserve"> </w:t>
      </w:r>
      <w:r w:rsidR="0002008F">
        <w:rPr>
          <w:rStyle w:val="FootnoteReference"/>
        </w:rPr>
        <w:footnoteReference w:id="105"/>
      </w:r>
      <w:r w:rsidR="0002008F">
        <w:t xml:space="preserve"> As such, </w:t>
      </w:r>
      <w:r w:rsidR="005E6933" w:rsidRPr="00563DEE">
        <w:t xml:space="preserve">there might be potential to improve the </w:t>
      </w:r>
      <w:r w:rsidR="00911B68">
        <w:t xml:space="preserve">return on investment </w:t>
      </w:r>
      <w:r w:rsidR="00B90DF2">
        <w:t>in</w:t>
      </w:r>
      <w:r w:rsidR="005E6933" w:rsidRPr="00563DEE">
        <w:t xml:space="preserve"> </w:t>
      </w:r>
      <w:r w:rsidR="005E6933">
        <w:t>Australia’s</w:t>
      </w:r>
      <w:r w:rsidR="005E6933" w:rsidRPr="00563DEE">
        <w:t xml:space="preserve"> repository expenditure.</w:t>
      </w:r>
    </w:p>
    <w:p w14:paraId="5B714A86" w14:textId="30EE5CE9" w:rsidR="005E6933" w:rsidRDefault="005E6933" w:rsidP="00A47B69">
      <w:pPr>
        <w:pStyle w:val="BodyText"/>
      </w:pPr>
      <w:r w:rsidRPr="00563DEE">
        <w:t>CAUL’s Review of Australian Repository Infrastructure highlighted that Australia’s repositories differ by content stored, open access monitoring and compliance, software used, and discoverability in search engines and portals.</w:t>
      </w:r>
      <w:r w:rsidRPr="00563DEE">
        <w:rPr>
          <w:rStyle w:val="FootnoteReference"/>
          <w:rFonts w:cstheme="minorHAnsi"/>
        </w:rPr>
        <w:footnoteReference w:id="106"/>
      </w:r>
      <w:r w:rsidDel="00C72715">
        <w:rPr>
          <w:rStyle w:val="FootnoteReference"/>
          <w:rFonts w:cstheme="minorHAnsi"/>
        </w:rPr>
        <w:t xml:space="preserve"> </w:t>
      </w:r>
      <w:r>
        <w:t>This review</w:t>
      </w:r>
      <w:r w:rsidRPr="00563DEE">
        <w:t xml:space="preserve"> </w:t>
      </w:r>
      <w:r w:rsidRPr="007440C1">
        <w:t xml:space="preserve">highlighted </w:t>
      </w:r>
      <w:r w:rsidR="00911B68">
        <w:t>improving</w:t>
      </w:r>
      <w:r w:rsidRPr="007440C1">
        <w:t xml:space="preserve"> interoperability as the most </w:t>
      </w:r>
      <w:r w:rsidRPr="007440C1">
        <w:lastRenderedPageBreak/>
        <w:t>important undertaking to improve</w:t>
      </w:r>
      <w:r w:rsidRPr="007440C1" w:rsidDel="00443BD2">
        <w:t xml:space="preserve"> </w:t>
      </w:r>
      <w:r w:rsidRPr="007440C1">
        <w:t xml:space="preserve">Australia’s repository infrastructure. This includes </w:t>
      </w:r>
      <w:r w:rsidR="00911B68">
        <w:t xml:space="preserve">implementing </w:t>
      </w:r>
      <w:r w:rsidRPr="007440C1">
        <w:t xml:space="preserve">common standards, shared languages, and metadata, and the use of </w:t>
      </w:r>
      <w:r w:rsidR="00E21687">
        <w:t xml:space="preserve">consistent </w:t>
      </w:r>
      <w:r w:rsidRPr="007440C1">
        <w:t>identifiers between institutional repositories.</w:t>
      </w:r>
      <w:r w:rsidRPr="007440C1">
        <w:rPr>
          <w:rStyle w:val="FootnoteReference"/>
          <w:rFonts w:cstheme="minorHAnsi"/>
        </w:rPr>
        <w:footnoteReference w:id="107"/>
      </w:r>
      <w:r w:rsidRPr="007440C1">
        <w:t xml:space="preserve"> </w:t>
      </w:r>
    </w:p>
    <w:p w14:paraId="2444D6E4" w14:textId="00492399" w:rsidR="005E6933" w:rsidRDefault="005E6933" w:rsidP="00A47B69">
      <w:pPr>
        <w:pStyle w:val="BodyText"/>
      </w:pPr>
      <w:r w:rsidRPr="00563DEE">
        <w:rPr>
          <w:bCs/>
        </w:rPr>
        <w:t xml:space="preserve">Some stakeholders also flagged that current expenditure on </w:t>
      </w:r>
      <w:r w:rsidR="008B65DC">
        <w:rPr>
          <w:bCs/>
        </w:rPr>
        <w:t>institutional</w:t>
      </w:r>
      <w:r w:rsidRPr="00563DEE">
        <w:rPr>
          <w:bCs/>
        </w:rPr>
        <w:t xml:space="preserve"> repositories might be made more </w:t>
      </w:r>
      <w:r>
        <w:rPr>
          <w:bCs/>
        </w:rPr>
        <w:t>productive</w:t>
      </w:r>
      <w:r w:rsidRPr="00563DEE">
        <w:rPr>
          <w:bCs/>
        </w:rPr>
        <w:t>.</w:t>
      </w:r>
      <w:r w:rsidRPr="00563DEE">
        <w:t xml:space="preserve"> S</w:t>
      </w:r>
      <w:r>
        <w:t>ome university s</w:t>
      </w:r>
      <w:r w:rsidRPr="00563DEE">
        <w:t xml:space="preserve">takeholders acknowledged </w:t>
      </w:r>
      <w:r>
        <w:t>that some of</w:t>
      </w:r>
      <w:r w:rsidRPr="00563DEE">
        <w:t xml:space="preserve"> this expenditure </w:t>
      </w:r>
      <w:r>
        <w:t>is effectively duplicated</w:t>
      </w:r>
      <w:r w:rsidRPr="00563DEE">
        <w:t xml:space="preserve"> across institutions</w:t>
      </w:r>
      <w:r>
        <w:t>, and a national repository might be more efficient</w:t>
      </w:r>
      <w:r w:rsidRPr="00563DEE">
        <w:t>.</w:t>
      </w:r>
      <w:r>
        <w:t xml:space="preserve"> </w:t>
      </w:r>
      <w:r w:rsidR="00911B68">
        <w:t>Similarly</w:t>
      </w:r>
      <w:r w:rsidRPr="00563DEE">
        <w:t xml:space="preserve">, CAUL’s </w:t>
      </w:r>
      <w:r w:rsidRPr="00563DEE" w:rsidDel="005934B1">
        <w:t>repository</w:t>
      </w:r>
      <w:r w:rsidRPr="00563DEE">
        <w:t xml:space="preserve"> review recommended improvin</w:t>
      </w:r>
      <w:r>
        <w:t>g</w:t>
      </w:r>
      <w:r w:rsidRPr="00563DEE">
        <w:t xml:space="preserve"> existing infrastructure, develop</w:t>
      </w:r>
      <w:r>
        <w:t>ing</w:t>
      </w:r>
      <w:r w:rsidRPr="00563DEE">
        <w:t xml:space="preserve"> national or regional infrastructure, and explor</w:t>
      </w:r>
      <w:r>
        <w:t>ing</w:t>
      </w:r>
      <w:r w:rsidRPr="00563DEE">
        <w:t xml:space="preserve"> procurement of a next generation repository system.</w:t>
      </w:r>
      <w:r w:rsidRPr="00563DEE">
        <w:rPr>
          <w:rStyle w:val="FootnoteReference"/>
          <w:rFonts w:cstheme="minorHAnsi"/>
        </w:rPr>
        <w:footnoteReference w:id="108"/>
      </w:r>
    </w:p>
    <w:p w14:paraId="7FF4A4FE" w14:textId="77777777" w:rsidR="005E6933" w:rsidRPr="002C20CC" w:rsidRDefault="005E6933" w:rsidP="00A47B69">
      <w:pPr>
        <w:pStyle w:val="BodyText"/>
      </w:pPr>
      <w:r w:rsidRPr="002C20CC">
        <w:t>Three possible options for a national repository service were identified during consultations:</w:t>
      </w:r>
    </w:p>
    <w:p w14:paraId="7E15C1C2" w14:textId="3100116F" w:rsidR="00317CAC" w:rsidRDefault="005E6933" w:rsidP="003A36CD">
      <w:pPr>
        <w:pStyle w:val="ListNumber"/>
        <w:numPr>
          <w:ilvl w:val="0"/>
          <w:numId w:val="34"/>
        </w:numPr>
      </w:pPr>
      <w:r w:rsidRPr="00E46AE2">
        <w:rPr>
          <w:b/>
        </w:rPr>
        <w:t>Invest in a centralised national repository platform.</w:t>
      </w:r>
      <w:r w:rsidRPr="007D35E9">
        <w:t xml:space="preserve"> This model was favoured by some </w:t>
      </w:r>
      <w:r w:rsidRPr="00B84091">
        <w:t>stakeholders</w:t>
      </w:r>
      <w:r w:rsidRPr="007D35E9">
        <w:t xml:space="preserve"> </w:t>
      </w:r>
      <w:r w:rsidRPr="00317CAC">
        <w:t>for</w:t>
      </w:r>
      <w:r w:rsidRPr="007D35E9">
        <w:t xml:space="preserve"> its simplicity and its potential to avoid duplication of operational and infrastructure costs. However, concerns about </w:t>
      </w:r>
      <w:r w:rsidR="00D8561C">
        <w:t xml:space="preserve">duplicating </w:t>
      </w:r>
      <w:r w:rsidRPr="007D35E9">
        <w:t xml:space="preserve">the </w:t>
      </w:r>
      <w:r>
        <w:t>sunk cost</w:t>
      </w:r>
      <w:r w:rsidRPr="007D35E9">
        <w:t xml:space="preserve"> of capital investment in existing </w:t>
      </w:r>
      <w:r w:rsidR="008B65DC">
        <w:t xml:space="preserve">institutional </w:t>
      </w:r>
      <w:r w:rsidRPr="007D35E9">
        <w:t xml:space="preserve">repositories were also raised. </w:t>
      </w:r>
    </w:p>
    <w:p w14:paraId="4BA059A2" w14:textId="1FDC40FC" w:rsidR="00317CAC" w:rsidRDefault="005E6933" w:rsidP="003A36CD">
      <w:pPr>
        <w:pStyle w:val="ListNumber"/>
        <w:numPr>
          <w:ilvl w:val="0"/>
          <w:numId w:val="34"/>
        </w:numPr>
      </w:pPr>
      <w:r w:rsidRPr="00E46AE2">
        <w:rPr>
          <w:b/>
        </w:rPr>
        <w:t>Improve interoperability and link Australia’s existing institutional repositories together.</w:t>
      </w:r>
      <w:r w:rsidRPr="007D35E9">
        <w:t xml:space="preserve"> Linking existing </w:t>
      </w:r>
      <w:r w:rsidRPr="00B84091">
        <w:t>repositories</w:t>
      </w:r>
      <w:r w:rsidRPr="007D35E9">
        <w:t xml:space="preserve"> has proven successful</w:t>
      </w:r>
      <w:r w:rsidR="00D37A62">
        <w:t xml:space="preserve"> internationally</w:t>
      </w:r>
      <w:r w:rsidRPr="007D35E9">
        <w:t xml:space="preserve"> </w:t>
      </w:r>
      <w:r w:rsidR="001C7906">
        <w:t>and has</w:t>
      </w:r>
      <w:r w:rsidR="003E69EA">
        <w:t xml:space="preserve"> the added benefit of</w:t>
      </w:r>
      <w:r w:rsidRPr="007D35E9">
        <w:t xml:space="preserve"> not rely</w:t>
      </w:r>
      <w:r w:rsidR="003E69EA">
        <w:t>ing</w:t>
      </w:r>
      <w:r w:rsidRPr="007D35E9">
        <w:t xml:space="preserve"> on one single point of potential failure</w:t>
      </w:r>
      <w:r w:rsidR="003E69EA">
        <w:t>,</w:t>
      </w:r>
      <w:r w:rsidR="001C7906">
        <w:t xml:space="preserve"> </w:t>
      </w:r>
      <w:r w:rsidRPr="007D35E9">
        <w:t xml:space="preserve">as </w:t>
      </w:r>
      <w:r w:rsidR="001C7906">
        <w:t>is the case</w:t>
      </w:r>
      <w:r w:rsidRPr="007D35E9">
        <w:t xml:space="preserve"> with existing centralised repository solutions. The Netherlands national portal, NARCIS, was cited as an effective platform that automatically collects data sources and publications from </w:t>
      </w:r>
      <w:r w:rsidR="008B65DC">
        <w:t>institutional</w:t>
      </w:r>
      <w:r w:rsidR="008B65DC" w:rsidRPr="007D35E9">
        <w:t xml:space="preserve"> </w:t>
      </w:r>
      <w:r w:rsidRPr="007D35E9">
        <w:t>repositories.</w:t>
      </w:r>
      <w:r w:rsidRPr="007D35E9">
        <w:rPr>
          <w:rStyle w:val="FootnoteReference"/>
          <w:rFonts w:cstheme="minorHAnsi"/>
          <w:bCs/>
        </w:rPr>
        <w:footnoteReference w:id="109"/>
      </w:r>
      <w:r w:rsidRPr="00317CAC">
        <w:rPr>
          <w:vertAlign w:val="superscript"/>
        </w:rPr>
        <w:t xml:space="preserve"> </w:t>
      </w:r>
      <w:r w:rsidRPr="007D35E9">
        <w:t xml:space="preserve">CAUL’s repository review also suggested setting minimum standards to improve interoperability of existing </w:t>
      </w:r>
      <w:r w:rsidR="008B65DC">
        <w:t>institutional</w:t>
      </w:r>
      <w:r w:rsidRPr="007D35E9">
        <w:t xml:space="preserve"> repositories.</w:t>
      </w:r>
    </w:p>
    <w:p w14:paraId="6AF55062" w14:textId="23A7CCDD" w:rsidR="005E6933" w:rsidRPr="00165EBC" w:rsidRDefault="00317CAC" w:rsidP="003A36CD">
      <w:pPr>
        <w:pStyle w:val="ListNumber"/>
        <w:numPr>
          <w:ilvl w:val="0"/>
          <w:numId w:val="34"/>
        </w:numPr>
        <w:rPr>
          <w:b/>
        </w:rPr>
      </w:pPr>
      <w:r w:rsidRPr="00E46AE2">
        <w:rPr>
          <w:b/>
        </w:rPr>
        <w:t>U</w:t>
      </w:r>
      <w:r w:rsidR="00911B68" w:rsidRPr="00E46AE2">
        <w:rPr>
          <w:b/>
        </w:rPr>
        <w:t>se</w:t>
      </w:r>
      <w:r w:rsidR="005E6933" w:rsidRPr="00E46AE2">
        <w:rPr>
          <w:b/>
        </w:rPr>
        <w:t xml:space="preserve"> international repository infrastructure.</w:t>
      </w:r>
      <w:r w:rsidR="005E6933" w:rsidRPr="00317CAC">
        <w:rPr>
          <w:bCs/>
        </w:rPr>
        <w:t xml:space="preserve"> Some</w:t>
      </w:r>
      <w:r w:rsidR="005E6933" w:rsidRPr="007D35E9">
        <w:t xml:space="preserve"> stakeholders also advised </w:t>
      </w:r>
      <w:r w:rsidR="005E6933" w:rsidRPr="00B84091">
        <w:t>Australia</w:t>
      </w:r>
      <w:r w:rsidR="005E6933" w:rsidRPr="007D35E9">
        <w:t xml:space="preserve"> could position itself as a member of the global research community by supporting existing international repository infrastructure. For example, CERN operates the international repository Zenodo to provide free uploads and free access to all researchers.</w:t>
      </w:r>
      <w:r w:rsidR="005E6933" w:rsidRPr="00563DEE">
        <w:rPr>
          <w:rStyle w:val="FootnoteReference"/>
          <w:rFonts w:cstheme="minorHAnsi"/>
        </w:rPr>
        <w:footnoteReference w:id="110"/>
      </w:r>
      <w:r w:rsidR="005E6933" w:rsidRPr="007D35E9">
        <w:t xml:space="preserve"> Further investigation would be needed to determine whether such a system would replace or support existing institutional repositories. </w:t>
      </w:r>
      <w:r w:rsidR="005E6933" w:rsidRPr="00317CAC">
        <w:rPr>
          <w:b/>
          <w:bCs/>
        </w:rPr>
        <w:t xml:space="preserve"> </w:t>
      </w:r>
    </w:p>
    <w:p w14:paraId="5CCF5B27" w14:textId="2BF8DFE1" w:rsidR="008553CC" w:rsidRPr="007D35E9" w:rsidRDefault="000072CD" w:rsidP="000072CD">
      <w:pPr>
        <w:pStyle w:val="BodyText"/>
      </w:pPr>
      <w:r>
        <w:t>Further analysis will be required to understand how the function and value of Australia’s repositories may change under the proposed model.</w:t>
      </w:r>
    </w:p>
    <w:tbl>
      <w:tblPr>
        <w:tblStyle w:val="TableGrid"/>
        <w:tblW w:w="97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F8751B" w14:paraId="558CF13A" w14:textId="77777777" w:rsidTr="00076358">
        <w:tc>
          <w:tcPr>
            <w:tcW w:w="9746" w:type="dxa"/>
            <w:shd w:val="clear" w:color="auto" w:fill="D0EAFF" w:themeFill="accent2" w:themeFillTint="1A"/>
          </w:tcPr>
          <w:p w14:paraId="6019B6F6" w14:textId="77777777" w:rsidR="005E6933" w:rsidRDefault="005E6933" w:rsidP="00076358">
            <w:pPr>
              <w:pStyle w:val="Heading3notnumbered"/>
            </w:pPr>
            <w:r>
              <w:t>Potential next steps</w:t>
            </w:r>
            <w:r w:rsidRPr="00563DEE">
              <w:t xml:space="preserve"> </w:t>
            </w:r>
          </w:p>
        </w:tc>
      </w:tr>
      <w:tr w:rsidR="00F8751B" w14:paraId="10AAF979" w14:textId="77777777" w:rsidTr="00076358">
        <w:tc>
          <w:tcPr>
            <w:tcW w:w="9746" w:type="dxa"/>
            <w:shd w:val="clear" w:color="auto" w:fill="D0EAFF" w:themeFill="accent2" w:themeFillTint="1A"/>
          </w:tcPr>
          <w:p w14:paraId="1B0F338F" w14:textId="77777777" w:rsidR="005E6933" w:rsidRPr="00E855A1" w:rsidRDefault="005E6933" w:rsidP="00A47B69">
            <w:pPr>
              <w:pStyle w:val="BodyText"/>
              <w:rPr>
                <w:b/>
                <w:bCs/>
              </w:rPr>
            </w:pPr>
            <w:r w:rsidRPr="00E855A1">
              <w:rPr>
                <w:b/>
                <w:bCs/>
              </w:rPr>
              <w:t>Analysis</w:t>
            </w:r>
          </w:p>
          <w:p w14:paraId="3139C799" w14:textId="2E94E75B" w:rsidR="005E6933" w:rsidRPr="00735FE8" w:rsidRDefault="005E6933" w:rsidP="00E56EE6">
            <w:pPr>
              <w:pStyle w:val="ListBullet"/>
              <w:jc w:val="both"/>
            </w:pPr>
            <w:r w:rsidRPr="002C20CC">
              <w:t xml:space="preserve">Consider undertaking a full </w:t>
            </w:r>
            <w:r w:rsidR="001F1F61">
              <w:t xml:space="preserve">cost </w:t>
            </w:r>
            <w:r w:rsidRPr="002C20CC">
              <w:t xml:space="preserve">and benefit analysis of institutional repositories and whether a national approach would be a more efficient investment. </w:t>
            </w:r>
            <w:r w:rsidR="00D14849">
              <w:t>This analysi</w:t>
            </w:r>
            <w:r w:rsidR="00B55605">
              <w:t>s</w:t>
            </w:r>
            <w:r w:rsidRPr="002C20CC">
              <w:t xml:space="preserve"> </w:t>
            </w:r>
            <w:r>
              <w:t>c</w:t>
            </w:r>
            <w:r w:rsidRPr="002C20CC">
              <w:t xml:space="preserve">ould be considered in </w:t>
            </w:r>
            <w:r w:rsidRPr="002C20CC">
              <w:lastRenderedPageBreak/>
              <w:t xml:space="preserve">combination with </w:t>
            </w:r>
            <w:r w:rsidR="0066615B">
              <w:t xml:space="preserve">or independently of any </w:t>
            </w:r>
            <w:r w:rsidRPr="002C20CC">
              <w:t>planning</w:t>
            </w:r>
            <w:r w:rsidR="00EE374F">
              <w:t xml:space="preserve"> </w:t>
            </w:r>
            <w:r w:rsidR="0066615B">
              <w:t xml:space="preserve">for </w:t>
            </w:r>
            <w:r w:rsidR="00EE374F">
              <w:t xml:space="preserve">the </w:t>
            </w:r>
            <w:r>
              <w:t>proposed</w:t>
            </w:r>
            <w:r w:rsidRPr="002C20CC">
              <w:t xml:space="preserve"> model. </w:t>
            </w:r>
            <w:r w:rsidR="00D14849">
              <w:t>For example,</w:t>
            </w:r>
            <w:r w:rsidRPr="002C20CC">
              <w:t xml:space="preserve"> </w:t>
            </w:r>
            <w:r>
              <w:t xml:space="preserve">CAUL </w:t>
            </w:r>
            <w:r w:rsidR="0066615B">
              <w:t>recommended conducting a similar analysis</w:t>
            </w:r>
            <w:r>
              <w:t xml:space="preserve"> in their initial repository review</w:t>
            </w:r>
            <w:r w:rsidR="0066615B">
              <w:t xml:space="preserve">, which </w:t>
            </w:r>
            <w:r w:rsidRPr="002C20CC">
              <w:t>also showed that FAIR principles could be used to define an ideal state for Australia’s national repository solution.</w:t>
            </w:r>
            <w:r w:rsidRPr="00563DEE">
              <w:rPr>
                <w:rStyle w:val="FootnoteReference"/>
                <w:rFonts w:cstheme="minorHAnsi"/>
                <w:bCs/>
              </w:rPr>
              <w:footnoteReference w:id="111"/>
            </w:r>
          </w:p>
        </w:tc>
      </w:tr>
    </w:tbl>
    <w:p w14:paraId="21BC0215" w14:textId="3616B8E1" w:rsidR="005E6933" w:rsidRPr="00563DEE" w:rsidRDefault="005E6933" w:rsidP="005E6933">
      <w:pPr>
        <w:pStyle w:val="Heading3"/>
        <w:jc w:val="both"/>
        <w:rPr>
          <w:rFonts w:asciiTheme="minorHAnsi" w:hAnsiTheme="minorHAnsi" w:cstheme="minorHAnsi"/>
        </w:rPr>
      </w:pPr>
      <w:bookmarkStart w:id="62" w:name="_Ref87625636"/>
      <w:r w:rsidRPr="00563DEE">
        <w:rPr>
          <w:rFonts w:asciiTheme="minorHAnsi" w:eastAsia="Courier New" w:hAnsiTheme="minorHAnsi" w:cstheme="minorHAnsi"/>
        </w:rPr>
        <w:lastRenderedPageBreak/>
        <w:t>How</w:t>
      </w:r>
      <w:r w:rsidRPr="00563DEE" w:rsidDel="00027B6F">
        <w:rPr>
          <w:rFonts w:asciiTheme="minorHAnsi" w:eastAsia="Courier New" w:hAnsiTheme="minorHAnsi" w:cstheme="minorHAnsi"/>
        </w:rPr>
        <w:t xml:space="preserve"> </w:t>
      </w:r>
      <w:r>
        <w:rPr>
          <w:rFonts w:asciiTheme="minorHAnsi" w:eastAsia="Courier New" w:hAnsiTheme="minorHAnsi" w:cstheme="minorHAnsi"/>
        </w:rPr>
        <w:t>would</w:t>
      </w:r>
      <w:r w:rsidRPr="00563DEE">
        <w:rPr>
          <w:rFonts w:asciiTheme="minorHAnsi" w:eastAsia="Courier New" w:hAnsiTheme="minorHAnsi" w:cstheme="minorHAnsi"/>
        </w:rPr>
        <w:t xml:space="preserve"> the model</w:t>
      </w:r>
      <w:r w:rsidRPr="00563DEE">
        <w:rPr>
          <w:rFonts w:asciiTheme="minorHAnsi" w:hAnsiTheme="minorHAnsi" w:cstheme="minorHAnsi"/>
        </w:rPr>
        <w:t xml:space="preserve"> </w:t>
      </w:r>
      <w:r w:rsidRPr="00563DEE">
        <w:rPr>
          <w:rFonts w:asciiTheme="minorHAnsi" w:eastAsia="Courier New" w:hAnsiTheme="minorHAnsi" w:cstheme="minorHAnsi"/>
        </w:rPr>
        <w:t>provide end-user access for all Australians?</w:t>
      </w:r>
      <w:bookmarkEnd w:id="62"/>
      <w:r w:rsidRPr="00563DEE">
        <w:rPr>
          <w:rFonts w:asciiTheme="minorHAnsi" w:eastAsia="Courier New" w:hAnsiTheme="minorHAnsi" w:cstheme="minorHAnsi"/>
        </w:rPr>
        <w:t xml:space="preserve"> </w:t>
      </w:r>
    </w:p>
    <w:p w14:paraId="44A8A430" w14:textId="05D491A3" w:rsidR="005E6933" w:rsidRPr="000804BC" w:rsidRDefault="005E6933" w:rsidP="00A47B69">
      <w:pPr>
        <w:pStyle w:val="BodyText"/>
        <w:rPr>
          <w:rFonts w:eastAsia="Courier New"/>
          <w:szCs w:val="24"/>
        </w:rPr>
      </w:pPr>
      <w:r w:rsidRPr="00563DEE">
        <w:t xml:space="preserve">It is expected that the proposed model would require the development of an online access portal through which users can access journal articles included </w:t>
      </w:r>
      <w:r w:rsidR="00F626B7">
        <w:t>under the proposed model</w:t>
      </w:r>
      <w:r w:rsidRPr="00563DEE">
        <w:t>.</w:t>
      </w:r>
      <w:r w:rsidRPr="00563DEE">
        <w:rPr>
          <w:b/>
          <w:bCs/>
        </w:rPr>
        <w:t xml:space="preserve"> </w:t>
      </w:r>
      <w:r>
        <w:t>Stakeholders</w:t>
      </w:r>
      <w:r w:rsidRPr="00563DEE">
        <w:rPr>
          <w:rFonts w:eastAsia="Courier New"/>
          <w:szCs w:val="24"/>
        </w:rPr>
        <w:t xml:space="preserve"> suggested that scope and security are important considerations for the design of this infrastructure.</w:t>
      </w:r>
    </w:p>
    <w:p w14:paraId="14AFA6FF" w14:textId="77777777" w:rsidR="005E6933" w:rsidRPr="00563DEE" w:rsidRDefault="005E6933" w:rsidP="005E6933">
      <w:pPr>
        <w:pStyle w:val="Heading4"/>
      </w:pPr>
      <w:r>
        <w:t>Scope</w:t>
      </w:r>
    </w:p>
    <w:p w14:paraId="31A64B25" w14:textId="06E059FD" w:rsidR="005E6933" w:rsidRDefault="005E6933" w:rsidP="00A47B69">
      <w:pPr>
        <w:pStyle w:val="BodyText"/>
        <w:rPr>
          <w:rFonts w:eastAsia="Courier New"/>
        </w:rPr>
      </w:pPr>
      <w:r w:rsidRPr="00020D93">
        <w:t>Many stakeholders requested a clear definition of scope to understand exactly who will have access under the proposed model.</w:t>
      </w:r>
      <w:r w:rsidRPr="00563DEE">
        <w:rPr>
          <w:rStyle w:val="BodyTextChar"/>
          <w:szCs w:val="24"/>
        </w:rPr>
        <w:t xml:space="preserve"> The most significant difference between the proposed Australian model and other international models is the objective of providing access to </w:t>
      </w:r>
      <w:r w:rsidRPr="00563DEE">
        <w:rPr>
          <w:rStyle w:val="BodyTextChar"/>
          <w:iCs/>
          <w:szCs w:val="24"/>
        </w:rPr>
        <w:t>all Australian</w:t>
      </w:r>
      <w:r w:rsidR="00296418">
        <w:rPr>
          <w:rStyle w:val="BodyTextChar"/>
          <w:iCs/>
          <w:szCs w:val="24"/>
        </w:rPr>
        <w:t xml:space="preserve"> </w:t>
      </w:r>
      <w:r w:rsidR="009F1C24">
        <w:rPr>
          <w:rStyle w:val="BodyTextChar"/>
          <w:iCs/>
          <w:szCs w:val="24"/>
        </w:rPr>
        <w:t>users</w:t>
      </w:r>
      <w:r w:rsidRPr="00563DEE">
        <w:t>. While this goal was generally supported, common questions included whether the model would include Australians overseas</w:t>
      </w:r>
      <w:r w:rsidR="00296418">
        <w:t>;</w:t>
      </w:r>
      <w:r w:rsidRPr="00563DEE">
        <w:t xml:space="preserve"> foreign nationals working, studying, or living in Australia</w:t>
      </w:r>
      <w:r w:rsidR="009F1C24">
        <w:t>;</w:t>
      </w:r>
      <w:r>
        <w:t xml:space="preserve"> or multinationals with offices and staff in Australia</w:t>
      </w:r>
      <w:r w:rsidRPr="00563DEE">
        <w:t xml:space="preserve">. </w:t>
      </w:r>
      <w:r w:rsidRPr="00563DEE">
        <w:rPr>
          <w:rFonts w:eastAsia="Courier New"/>
        </w:rPr>
        <w:t xml:space="preserve">Some stakeholders also noted that access is more critical for researchers in academia, industry, and government than for the public. </w:t>
      </w:r>
    </w:p>
    <w:p w14:paraId="539DA15B" w14:textId="77777777" w:rsidR="005E6933" w:rsidRDefault="005E6933" w:rsidP="005E6933">
      <w:pPr>
        <w:pStyle w:val="Heading4"/>
      </w:pPr>
      <w:r>
        <w:t>Security</w:t>
      </w:r>
    </w:p>
    <w:p w14:paraId="3A4F9496" w14:textId="4B9BF565" w:rsidR="005E6933" w:rsidRDefault="00C84D4D" w:rsidP="00A47B69">
      <w:pPr>
        <w:pStyle w:val="BodyText"/>
        <w:rPr>
          <w:b/>
        </w:rPr>
      </w:pPr>
      <w:r w:rsidRPr="00563DEE">
        <w:t>It will</w:t>
      </w:r>
      <w:r w:rsidR="005E6933" w:rsidRPr="00563DEE">
        <w:t xml:space="preserve"> be important to consider the scope of content that would be indexed and searchable via </w:t>
      </w:r>
      <w:r w:rsidR="00296418">
        <w:t>the</w:t>
      </w:r>
      <w:r>
        <w:t xml:space="preserve"> </w:t>
      </w:r>
      <w:r w:rsidR="005E6933" w:rsidRPr="00563DEE">
        <w:t xml:space="preserve">centralised portal. For example, </w:t>
      </w:r>
      <w:r w:rsidR="00B621E3">
        <w:t>whether</w:t>
      </w:r>
      <w:r w:rsidR="00296418">
        <w:t xml:space="preserve"> the </w:t>
      </w:r>
      <w:r w:rsidRPr="00563DEE">
        <w:t xml:space="preserve">portal </w:t>
      </w:r>
      <w:r w:rsidR="00296418">
        <w:t>should</w:t>
      </w:r>
      <w:r w:rsidR="009F1C24">
        <w:t xml:space="preserve"> </w:t>
      </w:r>
      <w:r w:rsidR="005E6933" w:rsidRPr="00563DEE">
        <w:t>index content not covered by national read</w:t>
      </w:r>
      <w:r w:rsidR="004D16A8">
        <w:t>-</w:t>
      </w:r>
      <w:r w:rsidR="005E6933" w:rsidRPr="00563DEE">
        <w:t>and</w:t>
      </w:r>
      <w:r w:rsidR="004D16A8">
        <w:t>-</w:t>
      </w:r>
      <w:r w:rsidR="005E6933" w:rsidRPr="00563DEE">
        <w:t>publish agreements</w:t>
      </w:r>
      <w:r w:rsidR="005E6933">
        <w:t>,</w:t>
      </w:r>
      <w:r w:rsidR="005E6933" w:rsidRPr="00563DEE">
        <w:t xml:space="preserve"> such as other open access articles (e.g., articles published in diamond journals) and institutional repository content</w:t>
      </w:r>
      <w:r w:rsidR="005E6933">
        <w:t>.</w:t>
      </w:r>
      <w:r w:rsidR="005E6933" w:rsidRPr="00373284">
        <w:rPr>
          <w:b/>
        </w:rPr>
        <w:t xml:space="preserve"> </w:t>
      </w:r>
    </w:p>
    <w:p w14:paraId="0BE18FAC" w14:textId="1730247B" w:rsidR="005E6933" w:rsidRDefault="005E6933" w:rsidP="00A47B69">
      <w:pPr>
        <w:pStyle w:val="BodyText"/>
      </w:pPr>
      <w:r w:rsidRPr="00020D93">
        <w:rPr>
          <w:bCs/>
        </w:rPr>
        <w:t>Publishers were also concerned that illegitimate users may be able to use Australia’s portal to access paywalled articles.</w:t>
      </w:r>
      <w:r w:rsidRPr="00563DEE">
        <w:t xml:space="preserve"> Early discussions with stakeholders suggested that Internet Protocol (IP) addresses could be used to help restrict access to computers located within Australia. However, it was noted that this would prevent Australian citizens</w:t>
      </w:r>
      <w:r w:rsidR="00F86272">
        <w:t xml:space="preserve"> living or travelling internationally</w:t>
      </w:r>
      <w:r w:rsidRPr="00563DEE">
        <w:t xml:space="preserve"> from accessing the system. Publishers also expressed concerns about the security of this approach, as it is easy to fake an Australian IP address using a Virtual Private Network (VPN). Another suggestion</w:t>
      </w:r>
      <w:r>
        <w:t xml:space="preserve"> was</w:t>
      </w:r>
      <w:r w:rsidRPr="00563DEE">
        <w:t xml:space="preserve"> to define access through registration and some form of proof of eligibility. As well as providing additional security, </w:t>
      </w:r>
      <w:r w:rsidR="00F86272">
        <w:t xml:space="preserve">the latter approach </w:t>
      </w:r>
      <w:r w:rsidRPr="00563DEE">
        <w:t xml:space="preserve">may provide </w:t>
      </w:r>
      <w:r w:rsidR="00FA3E6A">
        <w:t xml:space="preserve">more detailed </w:t>
      </w:r>
      <w:r w:rsidRPr="00563DEE">
        <w:t>usage statistics that c</w:t>
      </w:r>
      <w:r>
        <w:t>ould also</w:t>
      </w:r>
      <w:r w:rsidRPr="00563DEE">
        <w:t xml:space="preserve"> help measure the </w:t>
      </w:r>
      <w:r w:rsidR="00FA13AD">
        <w:t>proposed</w:t>
      </w:r>
      <w:r w:rsidRPr="00563DEE">
        <w:t xml:space="preserve"> model’s success (</w:t>
      </w:r>
      <w:r>
        <w:t xml:space="preserve">for examples of usage-related metrics, </w:t>
      </w:r>
      <w:r w:rsidRPr="00563DEE">
        <w:t xml:space="preserve">see </w:t>
      </w:r>
      <w:r w:rsidR="00CF5501">
        <w:fldChar w:fldCharType="begin"/>
      </w:r>
      <w:r w:rsidR="00CF5501">
        <w:instrText xml:space="preserve"> REF _Ref86412321 \n \h </w:instrText>
      </w:r>
      <w:r w:rsidR="00CF5501">
        <w:fldChar w:fldCharType="separate"/>
      </w:r>
      <w:r w:rsidR="007E283B">
        <w:t>5.2.4</w:t>
      </w:r>
      <w:r w:rsidR="00CF5501">
        <w:fldChar w:fldCharType="end"/>
      </w:r>
      <w:r w:rsidRPr="007D35E9">
        <w:t>).</w:t>
      </w:r>
    </w:p>
    <w:p w14:paraId="2F5FE069" w14:textId="7583CBC8" w:rsidR="00C47BA5" w:rsidRDefault="00C47BA5" w:rsidP="00A47B69">
      <w:pPr>
        <w:pStyle w:val="BodyText"/>
      </w:pPr>
    </w:p>
    <w:p w14:paraId="5C2DA99F" w14:textId="77777777" w:rsidR="00412E7A" w:rsidRPr="00563DEE" w:rsidRDefault="00412E7A" w:rsidP="00A47B69">
      <w:pPr>
        <w:pStyle w:val="BodyText"/>
      </w:pPr>
    </w:p>
    <w:tbl>
      <w:tblPr>
        <w:tblStyle w:val="TableGrid"/>
        <w:tblW w:w="97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F8751B" w14:paraId="3B9F9617" w14:textId="77777777" w:rsidTr="00076358">
        <w:tc>
          <w:tcPr>
            <w:tcW w:w="9746" w:type="dxa"/>
            <w:shd w:val="clear" w:color="auto" w:fill="D0EAFF" w:themeFill="accent2" w:themeFillTint="1A"/>
          </w:tcPr>
          <w:p w14:paraId="67517919" w14:textId="77777777" w:rsidR="005E6933" w:rsidRDefault="005E6933" w:rsidP="00076358">
            <w:pPr>
              <w:pStyle w:val="Heading3notnumbered"/>
            </w:pPr>
            <w:r>
              <w:lastRenderedPageBreak/>
              <w:t>Potential next steps</w:t>
            </w:r>
            <w:r w:rsidRPr="00563DEE">
              <w:t xml:space="preserve"> </w:t>
            </w:r>
          </w:p>
        </w:tc>
      </w:tr>
      <w:tr w:rsidR="00F8751B" w14:paraId="1C4FEE23" w14:textId="77777777" w:rsidTr="00076358">
        <w:tc>
          <w:tcPr>
            <w:tcW w:w="9746" w:type="dxa"/>
            <w:shd w:val="clear" w:color="auto" w:fill="D0EAFF" w:themeFill="accent2" w:themeFillTint="1A"/>
          </w:tcPr>
          <w:p w14:paraId="719E8569" w14:textId="2D310C4A" w:rsidR="00CB4536" w:rsidRPr="00E855A1" w:rsidRDefault="00CB4536" w:rsidP="00CB4536">
            <w:pPr>
              <w:pStyle w:val="BodyText"/>
              <w:rPr>
                <w:b/>
                <w:bCs/>
              </w:rPr>
            </w:pPr>
            <w:r>
              <w:rPr>
                <w:b/>
                <w:bCs/>
              </w:rPr>
              <w:t>Analysis</w:t>
            </w:r>
          </w:p>
          <w:p w14:paraId="0543FD0F" w14:textId="3A3462F6" w:rsidR="00CB4536" w:rsidRPr="00E855A1" w:rsidRDefault="00CB4536" w:rsidP="00E56EE6">
            <w:pPr>
              <w:pStyle w:val="ListBullet"/>
              <w:jc w:val="both"/>
              <w:rPr>
                <w:b/>
                <w:bCs/>
              </w:rPr>
            </w:pPr>
            <w:r w:rsidRPr="007D35E9">
              <w:t xml:space="preserve">Seek technical guidance to evaluate the options and </w:t>
            </w:r>
            <w:r w:rsidRPr="00B84091">
              <w:t>costs</w:t>
            </w:r>
            <w:r w:rsidRPr="007D35E9">
              <w:t xml:space="preserve"> associated with the development of a secure digital portal for content access.</w:t>
            </w:r>
            <w:r>
              <w:t xml:space="preserve"> Stakeholders have recommended </w:t>
            </w:r>
            <w:r w:rsidR="00AE25DD">
              <w:t>numerous</w:t>
            </w:r>
            <w:r>
              <w:t xml:space="preserve"> organisations that could provide support and guidance on open access models and platforms including </w:t>
            </w:r>
            <w:r w:rsidR="007D45A9">
              <w:t xml:space="preserve">the </w:t>
            </w:r>
            <w:r>
              <w:t xml:space="preserve">Australian Access Federation, as well as international organisations including Force11, Invest in Open Infrastructure (IOI), the </w:t>
            </w:r>
            <w:r w:rsidRPr="0042212B">
              <w:t>Open Access Scholarly Publishing Association (OASPA)</w:t>
            </w:r>
            <w:r>
              <w:t xml:space="preserve">, </w:t>
            </w:r>
            <w:r w:rsidRPr="0042212B">
              <w:t>the Research on Research Institute (RoRI), the Sustainability Coalition for Open Science Services (SCOSS), and the Wikimedia Foundation</w:t>
            </w:r>
            <w:r>
              <w:t>.</w:t>
            </w:r>
          </w:p>
        </w:tc>
      </w:tr>
      <w:tr w:rsidR="00F8751B" w14:paraId="182D8777" w14:textId="77777777" w:rsidTr="00076358">
        <w:tc>
          <w:tcPr>
            <w:tcW w:w="9746" w:type="dxa"/>
            <w:shd w:val="clear" w:color="auto" w:fill="D0EAFF" w:themeFill="accent2" w:themeFillTint="1A"/>
          </w:tcPr>
          <w:p w14:paraId="744DBA4F" w14:textId="77777777" w:rsidR="00CB4536" w:rsidRPr="00E855A1" w:rsidRDefault="00CB4536" w:rsidP="00CB4536">
            <w:pPr>
              <w:pStyle w:val="BodyText"/>
              <w:rPr>
                <w:b/>
                <w:bCs/>
              </w:rPr>
            </w:pPr>
            <w:r w:rsidRPr="00E855A1">
              <w:rPr>
                <w:b/>
                <w:bCs/>
              </w:rPr>
              <w:t>Consultation</w:t>
            </w:r>
          </w:p>
          <w:p w14:paraId="64F14D40" w14:textId="3516D0B9" w:rsidR="00CB4536" w:rsidRDefault="00CB4536" w:rsidP="00E56EE6">
            <w:pPr>
              <w:pStyle w:val="ListBullet"/>
              <w:jc w:val="both"/>
            </w:pPr>
            <w:r>
              <w:t>Seek input through</w:t>
            </w:r>
            <w:r w:rsidRPr="007D35E9">
              <w:t xml:space="preserve"> consultation</w:t>
            </w:r>
            <w:r>
              <w:t>s</w:t>
            </w:r>
            <w:r w:rsidRPr="007D35E9">
              <w:t xml:space="preserve"> to </w:t>
            </w:r>
            <w:r w:rsidRPr="00B84091">
              <w:t>create</w:t>
            </w:r>
            <w:r w:rsidRPr="007D35E9">
              <w:t xml:space="preserve"> a clear definition and eligibility criteria for ‘all Australian</w:t>
            </w:r>
            <w:r w:rsidR="00F86272">
              <w:t xml:space="preserve"> </w:t>
            </w:r>
            <w:r w:rsidR="009F1C24">
              <w:t>users</w:t>
            </w:r>
            <w:r w:rsidRPr="007D35E9">
              <w:t>’</w:t>
            </w:r>
            <w:r>
              <w:t xml:space="preserve"> to define exactly who will receive read access under the proposed model, and an appropriate definition for ‘Australian journal articles’ to define what publications will be covered by publish element of the proposed model</w:t>
            </w:r>
            <w:r w:rsidRPr="007D35E9">
              <w:t>.</w:t>
            </w:r>
          </w:p>
        </w:tc>
      </w:tr>
    </w:tbl>
    <w:p w14:paraId="3FC0F51F" w14:textId="49BF4342" w:rsidR="005E6933" w:rsidRPr="00563DEE" w:rsidRDefault="005E6933" w:rsidP="005E6933">
      <w:pPr>
        <w:pStyle w:val="Heading3"/>
        <w:jc w:val="both"/>
        <w:rPr>
          <w:rFonts w:asciiTheme="minorHAnsi" w:hAnsiTheme="minorHAnsi" w:cstheme="minorHAnsi"/>
        </w:rPr>
      </w:pPr>
      <w:bookmarkStart w:id="63" w:name="_Ref86407473"/>
      <w:r w:rsidRPr="00563DEE">
        <w:rPr>
          <w:rFonts w:asciiTheme="minorHAnsi" w:hAnsiTheme="minorHAnsi" w:cstheme="minorHAnsi"/>
        </w:rPr>
        <w:t xml:space="preserve">Should </w:t>
      </w:r>
      <w:r>
        <w:rPr>
          <w:rFonts w:asciiTheme="minorHAnsi" w:hAnsiTheme="minorHAnsi" w:cstheme="minorHAnsi"/>
        </w:rPr>
        <w:t>specific</w:t>
      </w:r>
      <w:r w:rsidRPr="00563DEE">
        <w:rPr>
          <w:rFonts w:asciiTheme="minorHAnsi" w:hAnsiTheme="minorHAnsi" w:cstheme="minorHAnsi"/>
        </w:rPr>
        <w:t xml:space="preserve"> licensing arrangements be mandated for the model?</w:t>
      </w:r>
      <w:bookmarkEnd w:id="63"/>
    </w:p>
    <w:p w14:paraId="6888839F" w14:textId="77777777" w:rsidR="005E6933" w:rsidRPr="00A71698" w:rsidRDefault="005E6933" w:rsidP="00A47B69">
      <w:pPr>
        <w:pStyle w:val="BodyText"/>
      </w:pPr>
      <w:r w:rsidRPr="00563DEE">
        <w:t>Stakeholders generally agreed that the model should encourage or mandate appropriate licensing arrangements</w:t>
      </w:r>
      <w:r>
        <w:t>.</w:t>
      </w:r>
    </w:p>
    <w:p w14:paraId="582E510A" w14:textId="11A35C5B" w:rsidR="005E6933" w:rsidRPr="00D64441" w:rsidRDefault="005E6933" w:rsidP="00A47B69">
      <w:pPr>
        <w:pStyle w:val="BodyText"/>
      </w:pPr>
      <w:r w:rsidRPr="00563DEE">
        <w:t>Most research and library stakeholders indicated that Creative Commons Attribution (CC</w:t>
      </w:r>
      <w:r>
        <w:t xml:space="preserve"> </w:t>
      </w:r>
      <w:r w:rsidRPr="00563DEE">
        <w:t>BY) licences should be the default option</w:t>
      </w:r>
      <w:r w:rsidRPr="00563DEE">
        <w:rPr>
          <w:bCs/>
        </w:rPr>
        <w:t xml:space="preserve"> for articles published under the </w:t>
      </w:r>
      <w:r w:rsidR="00F01C12">
        <w:rPr>
          <w:bCs/>
        </w:rPr>
        <w:t xml:space="preserve">proposed </w:t>
      </w:r>
      <w:r w:rsidRPr="00563DEE">
        <w:rPr>
          <w:bCs/>
        </w:rPr>
        <w:t>model’s agreements.</w:t>
      </w:r>
      <w:r w:rsidRPr="00563DEE">
        <w:t xml:space="preserve"> This would </w:t>
      </w:r>
      <w:r w:rsidRPr="00563DEE">
        <w:rPr>
          <w:rFonts w:eastAsia="Courier New"/>
          <w:szCs w:val="24"/>
        </w:rPr>
        <w:t xml:space="preserve">enable </w:t>
      </w:r>
      <w:r>
        <w:rPr>
          <w:rFonts w:eastAsia="Courier New"/>
          <w:szCs w:val="24"/>
        </w:rPr>
        <w:t xml:space="preserve">others to </w:t>
      </w:r>
      <w:r w:rsidRPr="00563DEE">
        <w:rPr>
          <w:rFonts w:eastAsia="Courier New"/>
          <w:szCs w:val="24"/>
        </w:rPr>
        <w:t>access</w:t>
      </w:r>
      <w:r>
        <w:rPr>
          <w:rFonts w:eastAsia="Courier New"/>
          <w:szCs w:val="24"/>
        </w:rPr>
        <w:t>,</w:t>
      </w:r>
      <w:r w:rsidRPr="00563DEE">
        <w:rPr>
          <w:rFonts w:eastAsia="Courier New"/>
          <w:szCs w:val="24"/>
        </w:rPr>
        <w:t xml:space="preserve"> </w:t>
      </w:r>
      <w:r>
        <w:rPr>
          <w:rFonts w:eastAsia="Courier New"/>
          <w:szCs w:val="24"/>
        </w:rPr>
        <w:t xml:space="preserve">distribute, adapt, and build upon </w:t>
      </w:r>
      <w:r w:rsidR="00C61FBC">
        <w:rPr>
          <w:rFonts w:eastAsia="Courier New"/>
          <w:szCs w:val="24"/>
        </w:rPr>
        <w:t>journal articles</w:t>
      </w:r>
      <w:r w:rsidRPr="00563DEE">
        <w:rPr>
          <w:rFonts w:eastAsia="Courier New"/>
          <w:szCs w:val="24"/>
        </w:rPr>
        <w:t xml:space="preserve"> to maximise their potential impact.</w:t>
      </w:r>
      <w:r w:rsidRPr="00563DEE">
        <w:t xml:space="preserve"> However, publishers and some other stakeholders noted circumstances where more restrictive options from the Creative Commons suite of licenses</w:t>
      </w:r>
      <w:r w:rsidRPr="00563DEE" w:rsidDel="004C05F8">
        <w:t xml:space="preserve"> </w:t>
      </w:r>
      <w:r>
        <w:t>such as</w:t>
      </w:r>
      <w:r w:rsidRPr="00563DEE">
        <w:t xml:space="preserve"> </w:t>
      </w:r>
      <w:r>
        <w:t>Attribution-</w:t>
      </w:r>
      <w:r w:rsidRPr="00563DEE">
        <w:t>NoDeriv</w:t>
      </w:r>
      <w:r>
        <w:t>s</w:t>
      </w:r>
      <w:r w:rsidRPr="00563DEE">
        <w:t xml:space="preserve"> (ND) </w:t>
      </w:r>
      <w:r>
        <w:t>and Attribution-</w:t>
      </w:r>
      <w:r w:rsidRPr="00563DEE">
        <w:t xml:space="preserve">NonCommercial (NC) licences </w:t>
      </w:r>
      <w:r>
        <w:t xml:space="preserve">(see </w:t>
      </w:r>
      <w:r>
        <w:fldChar w:fldCharType="begin"/>
      </w:r>
      <w:r>
        <w:instrText xml:space="preserve"> REF _Ref86162818 \h </w:instrText>
      </w:r>
      <w:r>
        <w:fldChar w:fldCharType="separate"/>
      </w:r>
      <w:r w:rsidR="007E283B">
        <w:t xml:space="preserve">Figure </w:t>
      </w:r>
      <w:r w:rsidR="007E283B">
        <w:rPr>
          <w:noProof/>
        </w:rPr>
        <w:t>14</w:t>
      </w:r>
      <w:r>
        <w:fldChar w:fldCharType="end"/>
      </w:r>
      <w:r>
        <w:t xml:space="preserve">) </w:t>
      </w:r>
      <w:r w:rsidRPr="00563DEE">
        <w:t>may be appropriate. For example, the</w:t>
      </w:r>
      <w:r>
        <w:t xml:space="preserve"> International Science Council suggests that the </w:t>
      </w:r>
      <w:r w:rsidRPr="00563DEE">
        <w:t>use of ND licences can protect text from potential distortion when the integrity of the publication relies on precisely phrased formulations.</w:t>
      </w:r>
      <w:r w:rsidRPr="00563DEE">
        <w:rPr>
          <w:rStyle w:val="FootnoteReference"/>
          <w:rFonts w:cstheme="minorHAnsi"/>
        </w:rPr>
        <w:footnoteReference w:id="112"/>
      </w:r>
      <w:r w:rsidRPr="00563DEE">
        <w:t xml:space="preserve"> Publishers typically </w:t>
      </w:r>
      <w:r>
        <w:t>suggested that the proposed model shouldn’t be prescriptive</w:t>
      </w:r>
      <w:r w:rsidR="00763126">
        <w:t>,</w:t>
      </w:r>
      <w:r>
        <w:t xml:space="preserve"> and that</w:t>
      </w:r>
      <w:r w:rsidRPr="00563DEE">
        <w:t xml:space="preserve"> researchers </w:t>
      </w:r>
      <w:r>
        <w:t xml:space="preserve">should be able to </w:t>
      </w:r>
      <w:r w:rsidRPr="00563DEE">
        <w:t>choose a</w:t>
      </w:r>
      <w:r>
        <w:t>n appropriate</w:t>
      </w:r>
      <w:r w:rsidRPr="00563DEE">
        <w:t xml:space="preserve"> license for </w:t>
      </w:r>
      <w:r w:rsidR="00763126">
        <w:t>their</w:t>
      </w:r>
      <w:r w:rsidRPr="00563DEE">
        <w:t xml:space="preserve"> </w:t>
      </w:r>
      <w:r w:rsidR="00763126">
        <w:t xml:space="preserve">journal </w:t>
      </w:r>
      <w:r>
        <w:t>articles</w:t>
      </w:r>
      <w:r w:rsidRPr="00563DEE">
        <w:t>.</w:t>
      </w:r>
    </w:p>
    <w:p w14:paraId="03E7C427" w14:textId="50577E29" w:rsidR="005E6933" w:rsidRDefault="005E6933" w:rsidP="00A47B69">
      <w:pPr>
        <w:pStyle w:val="Caption"/>
        <w:rPr>
          <w:rFonts w:eastAsia="Courier New"/>
          <w:szCs w:val="24"/>
        </w:rPr>
      </w:pPr>
      <w:bookmarkStart w:id="64" w:name="_Ref86162818"/>
      <w:bookmarkStart w:id="65" w:name="_Ref86162797"/>
      <w:r>
        <w:lastRenderedPageBreak/>
        <w:t xml:space="preserve">Figure </w:t>
      </w:r>
      <w:r w:rsidR="003B28D9">
        <w:fldChar w:fldCharType="begin"/>
      </w:r>
      <w:r w:rsidR="003B28D9">
        <w:instrText xml:space="preserve"> SEQ Figure \* ARABIC </w:instrText>
      </w:r>
      <w:r w:rsidR="003B28D9">
        <w:fldChar w:fldCharType="separate"/>
      </w:r>
      <w:r w:rsidR="007E283B">
        <w:rPr>
          <w:noProof/>
        </w:rPr>
        <w:t>14</w:t>
      </w:r>
      <w:r w:rsidR="003B28D9">
        <w:rPr>
          <w:noProof/>
        </w:rPr>
        <w:fldChar w:fldCharType="end"/>
      </w:r>
      <w:bookmarkEnd w:id="64"/>
      <w:r>
        <w:t xml:space="preserve">: Creative Commons licenses to consider under the </w:t>
      </w:r>
      <w:bookmarkEnd w:id="65"/>
      <w:r>
        <w:t>proposed model</w:t>
      </w:r>
      <w:r>
        <w:rPr>
          <w:rStyle w:val="FootnoteReference"/>
        </w:rPr>
        <w:footnoteReference w:id="113"/>
      </w:r>
      <w:r>
        <w:t xml:space="preserve"> </w:t>
      </w:r>
    </w:p>
    <w:p w14:paraId="6D5CC5A3" w14:textId="77777777" w:rsidR="005E6933" w:rsidRDefault="005E6933" w:rsidP="00A47B69">
      <w:pPr>
        <w:pStyle w:val="BodyText"/>
      </w:pPr>
      <w:r>
        <w:rPr>
          <w:noProof/>
        </w:rPr>
        <w:drawing>
          <wp:inline distT="0" distB="0" distL="0" distR="0" wp14:anchorId="02BC0BAB" wp14:editId="008795F1">
            <wp:extent cx="6093026" cy="1978025"/>
            <wp:effectExtent l="0" t="0" r="3175" b="3175"/>
            <wp:docPr id="25" name="Picture 25" descr="A figure describing three Creative Commons licences. &#10;1. Attribution CC BY. If credit is given to the creator, this license allows others to distribute, remix, adapt, and build upon their work, including commercial use. &#10;2. Attribution-NoDerivs CC BY-ND. If credit is given to the creator, this license allows others to reuse the work for any purpose, including commercial use. However, the work cannot be shared in adapted form.&#10;3. Attribution-NonCommercial CC BY-NC. If the creator is acknowledged, this license lets others remix, adapt, and build upon their work non-commercially. New derivative works do not need to be licensed under the sam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gure describing three Creative Commons licences. &#10;1. Attribution CC BY. If credit is given to the creator, this license allows others to distribute, remix, adapt, and build upon their work, including commercial use. &#10;2. Attribution-NoDerivs CC BY-ND. If credit is given to the creator, this license allows others to reuse the work for any purpose, including commercial use. However, the work cannot be shared in adapted form.&#10;3. Attribution-NonCommercial CC BY-NC. If the creator is acknowledged, this license lets others remix, adapt, and build upon their work non-commercially. New derivative works do not need to be licensed under the same terms."/>
                    <pic:cNvPicPr/>
                  </pic:nvPicPr>
                  <pic:blipFill rotWithShape="1">
                    <a:blip r:embed="rId70"/>
                    <a:srcRect r="443"/>
                    <a:stretch/>
                  </pic:blipFill>
                  <pic:spPr bwMode="auto">
                    <a:xfrm>
                      <a:off x="0" y="0"/>
                      <a:ext cx="6093026" cy="1978025"/>
                    </a:xfrm>
                    <a:prstGeom prst="rect">
                      <a:avLst/>
                    </a:prstGeom>
                    <a:ln>
                      <a:noFill/>
                    </a:ln>
                    <a:extLst>
                      <a:ext uri="{53640926-AAD7-44D8-BBD7-CCE9431645EC}">
                        <a14:shadowObscured xmlns:a14="http://schemas.microsoft.com/office/drawing/2010/main"/>
                      </a:ext>
                    </a:extLst>
                  </pic:spPr>
                </pic:pic>
              </a:graphicData>
            </a:graphic>
          </wp:inline>
        </w:drawing>
      </w:r>
    </w:p>
    <w:p w14:paraId="1B16E445" w14:textId="08770F81" w:rsidR="005E6933" w:rsidRPr="00A71698" w:rsidRDefault="005E6933" w:rsidP="00A47B69">
      <w:pPr>
        <w:pStyle w:val="BodyText"/>
      </w:pPr>
      <w:r w:rsidRPr="00020D93">
        <w:t>Some stakeholders noted sensitivities relating to the publication and use of Indigenous cultural and intellectual property.</w:t>
      </w:r>
      <w:r w:rsidRPr="00563DEE">
        <w:t xml:space="preserve"> Emerging protocols establish the continuing rights of Indigenous researchers and contributors to control the use of their material in perpetuity</w:t>
      </w:r>
      <w:r w:rsidR="00763126">
        <w:t>,</w:t>
      </w:r>
      <w:r w:rsidRPr="00563DEE">
        <w:t xml:space="preserve"> including via community input after their death. It was suggested by stakeholders that making Creative Commons licences mandatory might not be consistent with these protocols.</w:t>
      </w:r>
    </w:p>
    <w:tbl>
      <w:tblPr>
        <w:tblStyle w:val="TableGrid"/>
        <w:tblW w:w="97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F8751B" w14:paraId="2793B1CA" w14:textId="77777777" w:rsidTr="00076358">
        <w:tc>
          <w:tcPr>
            <w:tcW w:w="9746" w:type="dxa"/>
            <w:shd w:val="clear" w:color="auto" w:fill="D0EAFF" w:themeFill="accent2" w:themeFillTint="1A"/>
          </w:tcPr>
          <w:p w14:paraId="583FEDD4" w14:textId="77777777" w:rsidR="005E6933" w:rsidRDefault="005E6933" w:rsidP="00076358">
            <w:pPr>
              <w:pStyle w:val="Heading3notnumbered"/>
            </w:pPr>
            <w:r>
              <w:t>Potential next steps</w:t>
            </w:r>
            <w:r w:rsidRPr="00563DEE">
              <w:t xml:space="preserve"> </w:t>
            </w:r>
          </w:p>
        </w:tc>
      </w:tr>
      <w:tr w:rsidR="00F8751B" w14:paraId="36E2609A" w14:textId="77777777" w:rsidTr="00076358">
        <w:tc>
          <w:tcPr>
            <w:tcW w:w="9746" w:type="dxa"/>
            <w:shd w:val="clear" w:color="auto" w:fill="D0EAFF" w:themeFill="accent2" w:themeFillTint="1A"/>
          </w:tcPr>
          <w:p w14:paraId="681848B4" w14:textId="77777777" w:rsidR="005E6933" w:rsidRPr="0035559C" w:rsidRDefault="005E6933" w:rsidP="00A47B69">
            <w:pPr>
              <w:pStyle w:val="BodyText"/>
              <w:rPr>
                <w:b/>
                <w:bCs/>
              </w:rPr>
            </w:pPr>
            <w:r w:rsidRPr="0035559C">
              <w:rPr>
                <w:b/>
                <w:bCs/>
              </w:rPr>
              <w:t>Consultation</w:t>
            </w:r>
          </w:p>
          <w:p w14:paraId="06AA15AF" w14:textId="34DEAA88" w:rsidR="005E6933" w:rsidRPr="007D35E9" w:rsidRDefault="005E6933" w:rsidP="00E56EE6">
            <w:pPr>
              <w:pStyle w:val="ListBullet"/>
              <w:jc w:val="both"/>
            </w:pPr>
            <w:r w:rsidRPr="007D35E9">
              <w:t xml:space="preserve">Seek feedback on how </w:t>
            </w:r>
            <w:r w:rsidRPr="00B84091">
              <w:t>licencing</w:t>
            </w:r>
            <w:r w:rsidRPr="007D35E9">
              <w:t xml:space="preserve"> should be managed over the long-term. Based on consultations, the initial position may be to allow researchers to choose the most appropriate Creative Commons license for </w:t>
            </w:r>
            <w:r w:rsidR="00763126">
              <w:t>their</w:t>
            </w:r>
            <w:r w:rsidRPr="007D35E9">
              <w:t xml:space="preserve"> </w:t>
            </w:r>
            <w:r>
              <w:t>journal articles</w:t>
            </w:r>
            <w:r w:rsidRPr="007D35E9">
              <w:t>. However, broader engagement may help understand long-term need</w:t>
            </w:r>
            <w:r w:rsidR="00F63AA5">
              <w:t>s</w:t>
            </w:r>
            <w:r w:rsidRPr="007D35E9">
              <w:t xml:space="preserve"> and how this may evolve in Australia and </w:t>
            </w:r>
            <w:r>
              <w:t>internationally</w:t>
            </w:r>
            <w:r w:rsidRPr="007D35E9">
              <w:t xml:space="preserve">. </w:t>
            </w:r>
          </w:p>
          <w:p w14:paraId="460E8A74" w14:textId="77777777" w:rsidR="005E6933" w:rsidRDefault="005E6933" w:rsidP="00E56EE6">
            <w:pPr>
              <w:pStyle w:val="ListBullet"/>
              <w:jc w:val="both"/>
            </w:pPr>
            <w:r w:rsidRPr="007D35E9">
              <w:t>Consult on the appropriateness of mandatory Creative Commons licenses for publication of Indigenous cultural and intellectual property. The Australian Institute of Aboriginal and Torres Strait Islander Studies (AIATSIS) has published guidelines for ethical publishing of Indigenous Australian authors and may be an appropriate advisor on this issue.</w:t>
            </w:r>
            <w:r w:rsidRPr="00563DEE">
              <w:rPr>
                <w:rStyle w:val="FootnoteReference"/>
                <w:rFonts w:cstheme="minorHAnsi"/>
              </w:rPr>
              <w:footnoteReference w:id="114"/>
            </w:r>
          </w:p>
        </w:tc>
      </w:tr>
    </w:tbl>
    <w:p w14:paraId="25A0D355" w14:textId="77777777" w:rsidR="005E6933" w:rsidRPr="00DA2AA0" w:rsidRDefault="005E6933" w:rsidP="00A47B69">
      <w:pPr>
        <w:pStyle w:val="BodyText"/>
      </w:pPr>
    </w:p>
    <w:p w14:paraId="25D82020" w14:textId="77777777" w:rsidR="005E6933" w:rsidRPr="00563DEE" w:rsidRDefault="005E6933" w:rsidP="005E6933">
      <w:pPr>
        <w:pStyle w:val="Heading3"/>
        <w:jc w:val="both"/>
        <w:rPr>
          <w:rFonts w:asciiTheme="minorHAnsi" w:hAnsiTheme="minorHAnsi" w:cstheme="minorHAnsi"/>
        </w:rPr>
      </w:pPr>
      <w:r w:rsidRPr="00563DEE">
        <w:rPr>
          <w:rFonts w:asciiTheme="minorHAnsi" w:eastAsia="Courier New" w:hAnsiTheme="minorHAnsi" w:cstheme="minorHAnsi"/>
        </w:rPr>
        <w:t>How</w:t>
      </w:r>
      <w:r w:rsidRPr="00563DEE" w:rsidDel="00027B6F">
        <w:rPr>
          <w:rFonts w:asciiTheme="minorHAnsi" w:eastAsia="Courier New" w:hAnsiTheme="minorHAnsi" w:cstheme="minorHAnsi"/>
        </w:rPr>
        <w:t xml:space="preserve"> </w:t>
      </w:r>
      <w:r>
        <w:rPr>
          <w:rFonts w:asciiTheme="minorHAnsi" w:eastAsia="Courier New" w:hAnsiTheme="minorHAnsi" w:cstheme="minorHAnsi"/>
        </w:rPr>
        <w:t>could</w:t>
      </w:r>
      <w:r w:rsidRPr="00563DEE">
        <w:rPr>
          <w:rFonts w:asciiTheme="minorHAnsi" w:eastAsia="Courier New" w:hAnsiTheme="minorHAnsi" w:cstheme="minorHAnsi"/>
        </w:rPr>
        <w:t xml:space="preserve"> the model support industry uptake?</w:t>
      </w:r>
    </w:p>
    <w:p w14:paraId="702DC5C0" w14:textId="283E661E" w:rsidR="006D5F42" w:rsidRPr="00563DEE" w:rsidRDefault="006D5F42" w:rsidP="006D5F42">
      <w:pPr>
        <w:pStyle w:val="BodyText"/>
      </w:pPr>
      <w:r w:rsidRPr="00563DEE">
        <w:t xml:space="preserve">Industry stakeholders suggested that ease of use and promotion of </w:t>
      </w:r>
      <w:r>
        <w:t xml:space="preserve">a potential centralised </w:t>
      </w:r>
      <w:r w:rsidRPr="00563DEE">
        <w:t xml:space="preserve">portal system will be necessary to encourage industry users to make use of openly accessible </w:t>
      </w:r>
      <w:r w:rsidR="0045593E">
        <w:t>journal articles</w:t>
      </w:r>
      <w:r w:rsidRPr="00563DEE">
        <w:t xml:space="preserve">. </w:t>
      </w:r>
    </w:p>
    <w:p w14:paraId="27084CFD" w14:textId="2DC6F681" w:rsidR="006D5F42" w:rsidRDefault="005E6933" w:rsidP="006D5F42">
      <w:pPr>
        <w:pStyle w:val="BodyText"/>
      </w:pPr>
      <w:r w:rsidRPr="00563DEE">
        <w:lastRenderedPageBreak/>
        <w:t xml:space="preserve">Ease of use is essential to encourage new and time poor users to access and use the </w:t>
      </w:r>
      <w:r w:rsidR="006D5F42">
        <w:t xml:space="preserve">potential </w:t>
      </w:r>
      <w:r w:rsidRPr="00563DEE">
        <w:t>open access portal.</w:t>
      </w:r>
      <w:r w:rsidRPr="00563DEE" w:rsidDel="007C311A">
        <w:t xml:space="preserve"> </w:t>
      </w:r>
      <w:r w:rsidRPr="00563DEE">
        <w:rPr>
          <w:bCs/>
        </w:rPr>
        <w:t xml:space="preserve">Industry stakeholders also </w:t>
      </w:r>
      <w:r>
        <w:rPr>
          <w:bCs/>
        </w:rPr>
        <w:t>suggested</w:t>
      </w:r>
      <w:r w:rsidRPr="00563DEE">
        <w:rPr>
          <w:bCs/>
        </w:rPr>
        <w:t xml:space="preserve"> that </w:t>
      </w:r>
      <w:r w:rsidRPr="00563DEE">
        <w:t xml:space="preserve">high quality search and recommendation algorithms </w:t>
      </w:r>
      <w:r w:rsidR="0045593E">
        <w:t>be</w:t>
      </w:r>
      <w:r w:rsidR="0045593E" w:rsidRPr="00563DEE">
        <w:t xml:space="preserve"> </w:t>
      </w:r>
      <w:r w:rsidRPr="00563DEE">
        <w:t xml:space="preserve">implemented to make </w:t>
      </w:r>
      <w:r w:rsidRPr="00563DEE">
        <w:rPr>
          <w:bCs/>
        </w:rPr>
        <w:t>relevant papers easily discoverable</w:t>
      </w:r>
      <w:r w:rsidRPr="00563DEE">
        <w:t xml:space="preserve">. </w:t>
      </w:r>
      <w:r w:rsidR="0045593E">
        <w:t>They noted that a</w:t>
      </w:r>
      <w:r w:rsidRPr="00563DEE">
        <w:t xml:space="preserve"> functional search feature is critical to finding the right resources that can be used to solve specific problems, </w:t>
      </w:r>
      <w:r w:rsidR="0045593E">
        <w:t>while</w:t>
      </w:r>
      <w:r w:rsidR="0045593E" w:rsidRPr="00563DEE">
        <w:t xml:space="preserve"> </w:t>
      </w:r>
      <w:r w:rsidRPr="00563DEE">
        <w:t>recommendation</w:t>
      </w:r>
      <w:r>
        <w:t>s generated through</w:t>
      </w:r>
      <w:r w:rsidRPr="00563DEE">
        <w:t xml:space="preserve"> algorithms can help inspire users to innovate. </w:t>
      </w:r>
      <w:r w:rsidRPr="00563DEE">
        <w:rPr>
          <w:bCs/>
        </w:rPr>
        <w:t xml:space="preserve">Ensuring that the system is </w:t>
      </w:r>
      <w:r w:rsidRPr="00563DEE">
        <w:t xml:space="preserve">interoperable with and accessible via existing search engines (such as Google Scholar) and library systems will help to improve ease of use and provide alternative modes of discovery. </w:t>
      </w:r>
    </w:p>
    <w:p w14:paraId="2FD07788" w14:textId="085392EF" w:rsidR="005E6933" w:rsidRPr="00563DEE" w:rsidRDefault="005E6933" w:rsidP="00A47B69">
      <w:pPr>
        <w:pStyle w:val="BodyText"/>
      </w:pPr>
      <w:r w:rsidRPr="00563DEE">
        <w:t xml:space="preserve">Some industry stakeholders also recommended investing in </w:t>
      </w:r>
      <w:r w:rsidR="00F53632">
        <w:t>promotion for the proposed model</w:t>
      </w:r>
      <w:r w:rsidRPr="00563DEE">
        <w:t xml:space="preserve"> and </w:t>
      </w:r>
      <w:r w:rsidR="0045593E">
        <w:t xml:space="preserve">in </w:t>
      </w:r>
      <w:r w:rsidRPr="00563DEE">
        <w:t xml:space="preserve">training resources to encourage industry uptake. </w:t>
      </w:r>
    </w:p>
    <w:tbl>
      <w:tblPr>
        <w:tblStyle w:val="TableGrid"/>
        <w:tblW w:w="9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F" w:themeFill="accent2" w:themeFillTint="1A"/>
        <w:tblLook w:val="04A0" w:firstRow="1" w:lastRow="0" w:firstColumn="1" w:lastColumn="0" w:noHBand="0" w:noVBand="1"/>
      </w:tblPr>
      <w:tblGrid>
        <w:gridCol w:w="9746"/>
      </w:tblGrid>
      <w:tr w:rsidR="005E6933" w14:paraId="1F8D2AE8" w14:textId="77777777" w:rsidTr="00E56EE6">
        <w:tc>
          <w:tcPr>
            <w:tcW w:w="9746" w:type="dxa"/>
            <w:shd w:val="clear" w:color="auto" w:fill="D0EAFF" w:themeFill="accent2" w:themeFillTint="1A"/>
          </w:tcPr>
          <w:p w14:paraId="6B867040" w14:textId="77777777" w:rsidR="005E6933" w:rsidRDefault="005E6933" w:rsidP="00076358">
            <w:pPr>
              <w:pStyle w:val="Heading3notnumbered"/>
            </w:pPr>
            <w:r>
              <w:t>Potential next steps</w:t>
            </w:r>
            <w:r w:rsidRPr="00563DEE">
              <w:t xml:space="preserve"> </w:t>
            </w:r>
          </w:p>
        </w:tc>
      </w:tr>
      <w:tr w:rsidR="005E6933" w14:paraId="1C57B765" w14:textId="77777777" w:rsidTr="00E56EE6">
        <w:tc>
          <w:tcPr>
            <w:tcW w:w="9746" w:type="dxa"/>
            <w:shd w:val="clear" w:color="auto" w:fill="D0EAFF" w:themeFill="accent2" w:themeFillTint="1A"/>
          </w:tcPr>
          <w:p w14:paraId="05B3D03D" w14:textId="77777777" w:rsidR="005E6933" w:rsidRPr="00AD0AC3" w:rsidRDefault="005E6933" w:rsidP="00E56EE6">
            <w:pPr>
              <w:pStyle w:val="BodyText"/>
              <w:rPr>
                <w:b/>
                <w:bCs/>
              </w:rPr>
            </w:pPr>
            <w:r w:rsidRPr="00AD0AC3">
              <w:rPr>
                <w:b/>
                <w:bCs/>
              </w:rPr>
              <w:t>Consultation</w:t>
            </w:r>
          </w:p>
          <w:p w14:paraId="5E487259" w14:textId="1EF57828" w:rsidR="005E6933" w:rsidRDefault="005E6933" w:rsidP="00E56EE6">
            <w:pPr>
              <w:pStyle w:val="ListBullet"/>
              <w:jc w:val="both"/>
            </w:pPr>
            <w:r w:rsidRPr="007D35E9">
              <w:t>Con</w:t>
            </w:r>
            <w:r>
              <w:t>sult non-academic</w:t>
            </w:r>
            <w:r w:rsidR="00AC4EAD">
              <w:t xml:space="preserve"> </w:t>
            </w:r>
            <w:r w:rsidRPr="007D35E9">
              <w:t>end-user</w:t>
            </w:r>
            <w:r>
              <w:t>s</w:t>
            </w:r>
            <w:r w:rsidR="00AC4EAD">
              <w:t xml:space="preserve"> (particularly industry, but also the </w:t>
            </w:r>
            <w:r w:rsidR="00CB39B5">
              <w:t>public</w:t>
            </w:r>
            <w:r w:rsidR="00AC4EAD">
              <w:t xml:space="preserve">) </w:t>
            </w:r>
            <w:r w:rsidRPr="007D35E9">
              <w:t xml:space="preserve">during </w:t>
            </w:r>
            <w:r w:rsidR="00AC4EAD">
              <w:t xml:space="preserve">the proposed model’s development </w:t>
            </w:r>
            <w:r w:rsidRPr="007D35E9">
              <w:t xml:space="preserve">to ensure </w:t>
            </w:r>
            <w:r w:rsidR="00192800">
              <w:t>it meets the needs of a diverse range of users</w:t>
            </w:r>
            <w:r>
              <w:t>.</w:t>
            </w:r>
          </w:p>
        </w:tc>
      </w:tr>
      <w:tr w:rsidR="005E6933" w14:paraId="7CDBCD9C" w14:textId="77777777" w:rsidTr="00E56EE6">
        <w:tc>
          <w:tcPr>
            <w:tcW w:w="9746" w:type="dxa"/>
            <w:shd w:val="clear" w:color="auto" w:fill="D0EAFF" w:themeFill="accent2" w:themeFillTint="1A"/>
          </w:tcPr>
          <w:p w14:paraId="6C236937" w14:textId="77777777" w:rsidR="005E6933" w:rsidRPr="00AD0AC3" w:rsidRDefault="005E6933" w:rsidP="00E56EE6">
            <w:pPr>
              <w:pStyle w:val="BodyText"/>
              <w:rPr>
                <w:b/>
                <w:bCs/>
              </w:rPr>
            </w:pPr>
            <w:r w:rsidRPr="00AD0AC3">
              <w:rPr>
                <w:b/>
                <w:bCs/>
              </w:rPr>
              <w:t>Planning</w:t>
            </w:r>
          </w:p>
          <w:p w14:paraId="258866C8" w14:textId="21EBF242" w:rsidR="005E6933" w:rsidRDefault="005E6933" w:rsidP="00E56EE6">
            <w:pPr>
              <w:pStyle w:val="ListBullet"/>
              <w:jc w:val="both"/>
            </w:pPr>
            <w:r w:rsidRPr="007D35E9">
              <w:t xml:space="preserve">Consider </w:t>
            </w:r>
            <w:r>
              <w:t xml:space="preserve">the role of </w:t>
            </w:r>
            <w:r w:rsidRPr="007D35E9">
              <w:t xml:space="preserve">communications and engagement </w:t>
            </w:r>
            <w:r>
              <w:t>in the model to</w:t>
            </w:r>
            <w:r w:rsidRPr="007D35E9">
              <w:t xml:space="preserve"> support</w:t>
            </w:r>
            <w:r>
              <w:t xml:space="preserve"> use of </w:t>
            </w:r>
            <w:r w:rsidR="00192800">
              <w:t>openly accessible journal articles.</w:t>
            </w:r>
            <w:r w:rsidRPr="007D35E9">
              <w:t xml:space="preserve"> </w:t>
            </w:r>
          </w:p>
        </w:tc>
      </w:tr>
    </w:tbl>
    <w:p w14:paraId="176BDA67" w14:textId="77777777" w:rsidR="005E6933" w:rsidRPr="00DC0176" w:rsidRDefault="005E6933" w:rsidP="00A47B69">
      <w:pPr>
        <w:pStyle w:val="BodyText"/>
      </w:pPr>
    </w:p>
    <w:p w14:paraId="1FA6574B" w14:textId="77777777" w:rsidR="005E6933" w:rsidRPr="00563DEE" w:rsidRDefault="005E6933" w:rsidP="005E6933">
      <w:pPr>
        <w:pStyle w:val="Heading1"/>
        <w:rPr>
          <w:rFonts w:asciiTheme="minorHAnsi" w:hAnsiTheme="minorHAnsi" w:cstheme="minorHAnsi"/>
        </w:rPr>
      </w:pPr>
      <w:r w:rsidRPr="00563DEE">
        <w:rPr>
          <w:rFonts w:asciiTheme="minorHAnsi" w:hAnsiTheme="minorHAnsi" w:cstheme="minorHAnsi"/>
        </w:rPr>
        <w:br w:type="page"/>
      </w:r>
      <w:bookmarkStart w:id="66" w:name="_Toc87629941"/>
      <w:r w:rsidRPr="00563DEE">
        <w:rPr>
          <w:rFonts w:asciiTheme="minorHAnsi" w:hAnsiTheme="minorHAnsi" w:cstheme="minorHAnsi"/>
        </w:rPr>
        <w:lastRenderedPageBreak/>
        <w:t>The way forward</w:t>
      </w:r>
      <w:bookmarkEnd w:id="66"/>
    </w:p>
    <w:p w14:paraId="4B6FA2B9" w14:textId="3ACBA391" w:rsidR="005E6933" w:rsidRDefault="005E6933" w:rsidP="00A47B69">
      <w:pPr>
        <w:pStyle w:val="BodyText"/>
      </w:pPr>
      <w:r>
        <w:t xml:space="preserve">As the </w:t>
      </w:r>
      <w:r w:rsidRPr="00563DEE">
        <w:t xml:space="preserve">first stage in </w:t>
      </w:r>
      <w:r>
        <w:t xml:space="preserve">the development of a </w:t>
      </w:r>
      <w:r w:rsidRPr="00821DA9">
        <w:t>national open access strategy for Australia</w:t>
      </w:r>
      <w:r>
        <w:t xml:space="preserve">, this prospective analysis aims to help understand the issues that will require detailed analysis to understand model design and </w:t>
      </w:r>
      <w:r w:rsidR="00192800">
        <w:t xml:space="preserve">financing </w:t>
      </w:r>
      <w:r>
        <w:t xml:space="preserve">options. </w:t>
      </w:r>
    </w:p>
    <w:p w14:paraId="14C2822E" w14:textId="24052252" w:rsidR="005E6933" w:rsidRDefault="005E6933" w:rsidP="00A47B69">
      <w:pPr>
        <w:pStyle w:val="BodyText"/>
      </w:pPr>
      <w:r>
        <w:t xml:space="preserve">To help inform future activities, this chapter summarises potential considerations and actions that may </w:t>
      </w:r>
      <w:r w:rsidRPr="00563DEE">
        <w:t xml:space="preserve">help to address </w:t>
      </w:r>
      <w:r>
        <w:t>the questions and themes raised through consultations (see Chapter 4). These include near-term next steps</w:t>
      </w:r>
      <w:r w:rsidR="00437DB9">
        <w:t xml:space="preserve"> (Chapter 5.1)</w:t>
      </w:r>
      <w:r>
        <w:t xml:space="preserve">, </w:t>
      </w:r>
      <w:r w:rsidR="00437DB9">
        <w:t>potential metrics for measuring s</w:t>
      </w:r>
      <w:r>
        <w:t xml:space="preserve">uccess </w:t>
      </w:r>
      <w:r w:rsidR="00437DB9">
        <w:t xml:space="preserve">(Chapter 5.2) </w:t>
      </w:r>
      <w:r>
        <w:t>and broader considerations for the future</w:t>
      </w:r>
      <w:r w:rsidR="00437DB9">
        <w:t xml:space="preserve"> (Chapter 5.3)</w:t>
      </w:r>
      <w:r>
        <w:t>.</w:t>
      </w:r>
    </w:p>
    <w:p w14:paraId="3E82AC77" w14:textId="77777777" w:rsidR="005E6933" w:rsidRPr="00563DEE" w:rsidRDefault="005E6933" w:rsidP="005E6933">
      <w:pPr>
        <w:pStyle w:val="Heading2"/>
        <w:jc w:val="both"/>
        <w:rPr>
          <w:rFonts w:asciiTheme="minorHAnsi" w:eastAsia="Courier New" w:hAnsiTheme="minorHAnsi" w:cstheme="minorHAnsi"/>
        </w:rPr>
      </w:pPr>
      <w:bookmarkStart w:id="67" w:name="_Toc84493548"/>
      <w:bookmarkStart w:id="68" w:name="_Toc84493551"/>
      <w:bookmarkStart w:id="69" w:name="_Ref86409999"/>
      <w:bookmarkStart w:id="70" w:name="_Toc87629942"/>
      <w:bookmarkEnd w:id="67"/>
      <w:bookmarkEnd w:id="68"/>
      <w:r>
        <w:rPr>
          <w:rFonts w:asciiTheme="minorHAnsi" w:eastAsia="Courier New" w:hAnsiTheme="minorHAnsi" w:cstheme="minorHAnsi"/>
        </w:rPr>
        <w:t>Next steps</w:t>
      </w:r>
      <w:bookmarkEnd w:id="69"/>
      <w:bookmarkEnd w:id="70"/>
    </w:p>
    <w:p w14:paraId="4C9A7CBC" w14:textId="32ABA047" w:rsidR="00A46995" w:rsidRPr="00B5460B" w:rsidRDefault="00EA0656" w:rsidP="00A47B69">
      <w:pPr>
        <w:pStyle w:val="BodyText"/>
      </w:pPr>
      <w:r w:rsidRPr="00C43D5B">
        <w:t>A</w:t>
      </w:r>
      <w:r w:rsidR="005E6933" w:rsidRPr="00C43D5B">
        <w:t>dditional</w:t>
      </w:r>
      <w:r w:rsidR="005E6933">
        <w:t xml:space="preserve"> </w:t>
      </w:r>
      <w:r w:rsidR="005E6933" w:rsidRPr="00C43D5B">
        <w:t>analysis</w:t>
      </w:r>
      <w:r w:rsidR="005E6933">
        <w:t xml:space="preserve">, broad </w:t>
      </w:r>
      <w:r w:rsidR="005E6933" w:rsidRPr="00C43D5B">
        <w:t xml:space="preserve">consultation, </w:t>
      </w:r>
      <w:r w:rsidR="005E6933" w:rsidRPr="001421B8">
        <w:t xml:space="preserve">and </w:t>
      </w:r>
      <w:r w:rsidR="005E6933" w:rsidRPr="00785157">
        <w:t>strategic</w:t>
      </w:r>
      <w:r w:rsidR="005E6933" w:rsidRPr="00C43D5B">
        <w:t xml:space="preserve"> planning</w:t>
      </w:r>
      <w:r>
        <w:rPr>
          <w:b/>
          <w:bCs/>
        </w:rPr>
        <w:t xml:space="preserve"> </w:t>
      </w:r>
      <w:r>
        <w:t xml:space="preserve">will be necessary to address the </w:t>
      </w:r>
      <w:r w:rsidR="001479D9">
        <w:t>proposed model’s</w:t>
      </w:r>
      <w:r>
        <w:t xml:space="preserve"> </w:t>
      </w:r>
      <w:r w:rsidR="00833F84">
        <w:t xml:space="preserve">outstanding </w:t>
      </w:r>
      <w:r>
        <w:t>design considerations</w:t>
      </w:r>
      <w:r w:rsidR="00F559BC">
        <w:t>,</w:t>
      </w:r>
      <w:r w:rsidR="00833F84">
        <w:t xml:space="preserve"> </w:t>
      </w:r>
      <w:r w:rsidR="007F24F9">
        <w:t xml:space="preserve">and to support the </w:t>
      </w:r>
      <w:r w:rsidR="007F24F9" w:rsidRPr="007E5492">
        <w:t>develop</w:t>
      </w:r>
      <w:r w:rsidR="007F24F9">
        <w:t xml:space="preserve">ment of </w:t>
      </w:r>
      <w:r w:rsidR="007F24F9" w:rsidRPr="007E5492">
        <w:t>a comprehensive business case</w:t>
      </w:r>
      <w:r w:rsidR="007F24F9">
        <w:t xml:space="preserve"> for </w:t>
      </w:r>
      <w:r w:rsidR="00C15486">
        <w:t xml:space="preserve">a </w:t>
      </w:r>
      <w:r w:rsidR="00C15486" w:rsidRPr="00821DA9">
        <w:t>national open access strategy</w:t>
      </w:r>
      <w:r w:rsidR="005E6933" w:rsidRPr="00C43D5B">
        <w:t>.</w:t>
      </w:r>
      <w:r w:rsidR="005E6933">
        <w:rPr>
          <w:b/>
          <w:bCs/>
        </w:rPr>
        <w:t xml:space="preserve"> </w:t>
      </w:r>
      <w:r w:rsidR="00B5460B">
        <w:fldChar w:fldCharType="begin"/>
      </w:r>
      <w:r w:rsidR="00B5460B">
        <w:instrText xml:space="preserve"> REF _Ref86350113 \h </w:instrText>
      </w:r>
      <w:r w:rsidR="00B5460B">
        <w:fldChar w:fldCharType="separate"/>
      </w:r>
      <w:r w:rsidR="007E283B">
        <w:t xml:space="preserve">Table </w:t>
      </w:r>
      <w:r w:rsidR="007E283B">
        <w:rPr>
          <w:noProof/>
        </w:rPr>
        <w:t>6</w:t>
      </w:r>
      <w:r w:rsidR="00B5460B">
        <w:fldChar w:fldCharType="end"/>
      </w:r>
      <w:r w:rsidR="00B5460B">
        <w:t xml:space="preserve"> </w:t>
      </w:r>
      <w:r w:rsidR="00833F84">
        <w:t>summarises the ke</w:t>
      </w:r>
      <w:r w:rsidR="002A6F4D">
        <w:t>y</w:t>
      </w:r>
      <w:r w:rsidR="00833F84">
        <w:t xml:space="preserve"> </w:t>
      </w:r>
      <w:r>
        <w:t xml:space="preserve">issues </w:t>
      </w:r>
      <w:r w:rsidR="005E6933">
        <w:t xml:space="preserve">identified </w:t>
      </w:r>
      <w:r w:rsidR="000110C8">
        <w:t>through consultations and desktop research</w:t>
      </w:r>
      <w:r w:rsidR="005141CD">
        <w:t xml:space="preserve"> for consideration by the OCS</w:t>
      </w:r>
      <w:r w:rsidR="00833F84">
        <w:t xml:space="preserve">. </w:t>
      </w:r>
      <w:r w:rsidR="002A6F4D">
        <w:t>Additional details can be found in Chapter 4.</w:t>
      </w:r>
      <w:r w:rsidR="00437DB9">
        <w:t xml:space="preserve"> </w:t>
      </w:r>
      <w:r w:rsidR="00437DB9" w:rsidRPr="00563DEE">
        <w:t xml:space="preserve">While </w:t>
      </w:r>
      <w:r w:rsidR="00437DB9">
        <w:t>most</w:t>
      </w:r>
      <w:r w:rsidR="00437DB9" w:rsidRPr="00563DEE">
        <w:t xml:space="preserve"> of these actions </w:t>
      </w:r>
      <w:r w:rsidR="00437DB9">
        <w:t>could</w:t>
      </w:r>
      <w:r w:rsidR="00437DB9" w:rsidRPr="00563DEE">
        <w:t xml:space="preserve"> be undertaken by the OCS, it will be valuable to secure funding for a detailed design and evaluation of the proposed model. </w:t>
      </w:r>
    </w:p>
    <w:p w14:paraId="3777F40A" w14:textId="554AC5FD" w:rsidR="00B5460B" w:rsidRDefault="00B5460B" w:rsidP="0035559C">
      <w:pPr>
        <w:pStyle w:val="Caption"/>
      </w:pPr>
      <w:bookmarkStart w:id="71" w:name="_Ref86350113"/>
      <w:r>
        <w:t xml:space="preserve">Table </w:t>
      </w:r>
      <w:r w:rsidR="003B28D9">
        <w:fldChar w:fldCharType="begin"/>
      </w:r>
      <w:r w:rsidR="003B28D9">
        <w:instrText xml:space="preserve"> SEQ Table \* ARABIC </w:instrText>
      </w:r>
      <w:r w:rsidR="003B28D9">
        <w:fldChar w:fldCharType="separate"/>
      </w:r>
      <w:r w:rsidR="007E283B">
        <w:rPr>
          <w:noProof/>
        </w:rPr>
        <w:t>6</w:t>
      </w:r>
      <w:r w:rsidR="003B28D9">
        <w:rPr>
          <w:noProof/>
        </w:rPr>
        <w:fldChar w:fldCharType="end"/>
      </w:r>
      <w:bookmarkEnd w:id="71"/>
      <w:r>
        <w:t>: Key issues to be addressed as potential next steps</w:t>
      </w:r>
    </w:p>
    <w:tbl>
      <w:tblPr>
        <w:tblStyle w:val="ListTable3-Accent1"/>
        <w:tblW w:w="0" w:type="auto"/>
        <w:tblLook w:val="04A0" w:firstRow="1" w:lastRow="0" w:firstColumn="1" w:lastColumn="0" w:noHBand="0" w:noVBand="1"/>
      </w:tblPr>
      <w:tblGrid>
        <w:gridCol w:w="3114"/>
        <w:gridCol w:w="3074"/>
        <w:gridCol w:w="3440"/>
      </w:tblGrid>
      <w:tr w:rsidR="00EF20B3" w:rsidRPr="0016571D" w14:paraId="43AEB675" w14:textId="77777777" w:rsidTr="00EF20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606F5702" w14:textId="77777777" w:rsidR="00EF20B3" w:rsidRPr="004656EF" w:rsidRDefault="00EF20B3" w:rsidP="001479D9">
            <w:pPr>
              <w:pStyle w:val="ColumnHeading"/>
              <w:jc w:val="center"/>
              <w:rPr>
                <w:color w:val="auto"/>
              </w:rPr>
            </w:pPr>
            <w:r w:rsidRPr="004656EF">
              <w:rPr>
                <w:b/>
                <w:color w:val="auto"/>
              </w:rPr>
              <w:t>Analysis</w:t>
            </w:r>
          </w:p>
        </w:tc>
        <w:tc>
          <w:tcPr>
            <w:tcW w:w="3074" w:type="dxa"/>
          </w:tcPr>
          <w:p w14:paraId="2A69C47D" w14:textId="77777777" w:rsidR="00EF20B3" w:rsidRPr="004656EF" w:rsidRDefault="00EF20B3" w:rsidP="001479D9">
            <w:pPr>
              <w:pStyle w:val="ColumnHeading"/>
              <w:jc w:val="center"/>
              <w:cnfStyle w:val="100000000000" w:firstRow="1" w:lastRow="0" w:firstColumn="0" w:lastColumn="0" w:oddVBand="0" w:evenVBand="0" w:oddHBand="0" w:evenHBand="0" w:firstRowFirstColumn="0" w:firstRowLastColumn="0" w:lastRowFirstColumn="0" w:lastRowLastColumn="0"/>
              <w:rPr>
                <w:color w:val="auto"/>
              </w:rPr>
            </w:pPr>
            <w:r w:rsidRPr="004656EF">
              <w:rPr>
                <w:b/>
                <w:color w:val="auto"/>
              </w:rPr>
              <w:t>Consultation</w:t>
            </w:r>
          </w:p>
        </w:tc>
        <w:tc>
          <w:tcPr>
            <w:tcW w:w="3440" w:type="dxa"/>
          </w:tcPr>
          <w:p w14:paraId="36A3C44E" w14:textId="77777777" w:rsidR="00EF20B3" w:rsidRPr="004656EF" w:rsidRDefault="00EF20B3" w:rsidP="001479D9">
            <w:pPr>
              <w:pStyle w:val="ColumnHeading"/>
              <w:jc w:val="center"/>
              <w:cnfStyle w:val="100000000000" w:firstRow="1" w:lastRow="0" w:firstColumn="0" w:lastColumn="0" w:oddVBand="0" w:evenVBand="0" w:oddHBand="0" w:evenHBand="0" w:firstRowFirstColumn="0" w:firstRowLastColumn="0" w:lastRowFirstColumn="0" w:lastRowLastColumn="0"/>
              <w:rPr>
                <w:color w:val="auto"/>
              </w:rPr>
            </w:pPr>
            <w:r w:rsidRPr="004656EF">
              <w:rPr>
                <w:b/>
                <w:color w:val="auto"/>
              </w:rPr>
              <w:t>Planning</w:t>
            </w:r>
          </w:p>
        </w:tc>
      </w:tr>
      <w:tr w:rsidR="00EF20B3" w:rsidRPr="0016571D" w14:paraId="4FDB1CD2" w14:textId="77777777" w:rsidTr="00EF2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ACB572" w14:textId="77777777" w:rsidR="00EF20B3" w:rsidRPr="007D0402" w:rsidRDefault="00EF20B3" w:rsidP="00AA6A22">
            <w:pPr>
              <w:pStyle w:val="RowHeading"/>
              <w:jc w:val="both"/>
              <w:rPr>
                <w:b/>
                <w:bCs w:val="0"/>
              </w:rPr>
            </w:pPr>
            <w:r w:rsidRPr="007D0402">
              <w:rPr>
                <w:b/>
                <w:bCs w:val="0"/>
              </w:rPr>
              <w:t xml:space="preserve">Additional </w:t>
            </w:r>
            <w:r w:rsidRPr="00E667B2">
              <w:rPr>
                <w:b/>
                <w:bCs w:val="0"/>
              </w:rPr>
              <w:t>analysis will be critical to inform the development of a national open access strategy.</w:t>
            </w:r>
          </w:p>
          <w:p w14:paraId="6CB9AA7B" w14:textId="77777777" w:rsidR="00EF20B3" w:rsidRDefault="00EF20B3" w:rsidP="00E56EE6">
            <w:pPr>
              <w:pStyle w:val="TableText"/>
            </w:pPr>
            <w:r w:rsidRPr="007D0402">
              <w:rPr>
                <w:b w:val="0"/>
                <w:bCs w:val="0"/>
              </w:rPr>
              <w:t xml:space="preserve">Key issues that require further analysis include: </w:t>
            </w:r>
          </w:p>
          <w:p w14:paraId="29CE293F" w14:textId="77777777" w:rsidR="0066750F" w:rsidRPr="006056D6" w:rsidRDefault="0066750F" w:rsidP="0066750F">
            <w:pPr>
              <w:pStyle w:val="TableBullet"/>
              <w:jc w:val="left"/>
              <w:rPr>
                <w:b w:val="0"/>
                <w:bCs w:val="0"/>
              </w:rPr>
            </w:pPr>
            <w:r w:rsidRPr="006056D6">
              <w:rPr>
                <w:b w:val="0"/>
                <w:bCs w:val="0"/>
              </w:rPr>
              <w:t>Australian journal subscriptions</w:t>
            </w:r>
            <w:r>
              <w:rPr>
                <w:b w:val="0"/>
                <w:bCs w:val="0"/>
              </w:rPr>
              <w:t>, including read rates.</w:t>
            </w:r>
          </w:p>
          <w:p w14:paraId="65111367" w14:textId="77777777" w:rsidR="001F1F61" w:rsidRDefault="001F1F61" w:rsidP="001F1F61">
            <w:pPr>
              <w:pStyle w:val="TableBullet"/>
              <w:jc w:val="left"/>
            </w:pPr>
            <w:r w:rsidRPr="006056D6">
              <w:rPr>
                <w:b w:val="0"/>
                <w:bCs w:val="0"/>
              </w:rPr>
              <w:t>The number and characteristics of publishers that publish the long tail of Australian research output.</w:t>
            </w:r>
          </w:p>
          <w:p w14:paraId="5B223520" w14:textId="77777777" w:rsidR="00EF20B3" w:rsidRPr="00F55A81" w:rsidRDefault="00EF20B3" w:rsidP="0003737B">
            <w:pPr>
              <w:pStyle w:val="TableBullet"/>
              <w:jc w:val="left"/>
              <w:rPr>
                <w:b w:val="0"/>
                <w:bCs w:val="0"/>
              </w:rPr>
            </w:pPr>
            <w:r w:rsidRPr="00F55A81">
              <w:rPr>
                <w:b w:val="0"/>
                <w:bCs w:val="0"/>
              </w:rPr>
              <w:t>The expected cost of the proposed model.</w:t>
            </w:r>
          </w:p>
          <w:p w14:paraId="4A5CFD3E" w14:textId="77777777" w:rsidR="001F1F61" w:rsidRDefault="001F1F61" w:rsidP="001F1F61">
            <w:pPr>
              <w:pStyle w:val="TableBullet"/>
              <w:jc w:val="left"/>
            </w:pPr>
            <w:r w:rsidRPr="00F55A81">
              <w:rPr>
                <w:b w:val="0"/>
                <w:bCs w:val="0"/>
              </w:rPr>
              <w:t>The cost and benefit distribution of different funding approaches</w:t>
            </w:r>
            <w:r>
              <w:rPr>
                <w:b w:val="0"/>
                <w:bCs w:val="0"/>
              </w:rPr>
              <w:t>.</w:t>
            </w:r>
          </w:p>
          <w:p w14:paraId="6C6C0D96" w14:textId="77777777" w:rsidR="001F1F61" w:rsidRDefault="001F1F61" w:rsidP="001F1F61">
            <w:pPr>
              <w:pStyle w:val="TableBullet"/>
              <w:jc w:val="left"/>
            </w:pPr>
            <w:r w:rsidRPr="002A04B4">
              <w:rPr>
                <w:b w:val="0"/>
                <w:bCs w:val="0"/>
              </w:rPr>
              <w:t>T</w:t>
            </w:r>
            <w:r>
              <w:rPr>
                <w:b w:val="0"/>
                <w:bCs w:val="0"/>
              </w:rPr>
              <w:t xml:space="preserve">he impacts of the model on the costs and </w:t>
            </w:r>
            <w:r w:rsidRPr="002A04B4">
              <w:rPr>
                <w:b w:val="0"/>
                <w:bCs w:val="0"/>
              </w:rPr>
              <w:t>benefits</w:t>
            </w:r>
            <w:r w:rsidRPr="002A04B4" w:rsidDel="004436BC">
              <w:rPr>
                <w:b w:val="0"/>
                <w:bCs w:val="0"/>
              </w:rPr>
              <w:t xml:space="preserve"> </w:t>
            </w:r>
            <w:r w:rsidRPr="002A04B4">
              <w:rPr>
                <w:b w:val="0"/>
                <w:bCs w:val="0"/>
              </w:rPr>
              <w:t>associated with institutional repositories</w:t>
            </w:r>
            <w:r>
              <w:rPr>
                <w:b w:val="0"/>
                <w:bCs w:val="0"/>
              </w:rPr>
              <w:t>.</w:t>
            </w:r>
          </w:p>
          <w:p w14:paraId="32AAE18D" w14:textId="1D416F88" w:rsidR="00EF20B3" w:rsidRPr="006F6261" w:rsidRDefault="00EF20B3" w:rsidP="0003737B">
            <w:pPr>
              <w:pStyle w:val="TableBullet"/>
              <w:jc w:val="left"/>
              <w:rPr>
                <w:b w:val="0"/>
                <w:bCs w:val="0"/>
              </w:rPr>
            </w:pPr>
            <w:r w:rsidRPr="006F6261">
              <w:rPr>
                <w:b w:val="0"/>
                <w:bCs w:val="0"/>
              </w:rPr>
              <w:t xml:space="preserve">The options and costs associated with the development of a </w:t>
            </w:r>
            <w:r w:rsidR="001F1F61" w:rsidRPr="006F6261">
              <w:rPr>
                <w:b w:val="0"/>
                <w:bCs w:val="0"/>
              </w:rPr>
              <w:t xml:space="preserve">secure digital </w:t>
            </w:r>
            <w:r w:rsidRPr="006F6261">
              <w:rPr>
                <w:b w:val="0"/>
                <w:bCs w:val="0"/>
              </w:rPr>
              <w:t xml:space="preserve">portal for </w:t>
            </w:r>
            <w:r w:rsidR="001F1F61" w:rsidRPr="006F6261">
              <w:rPr>
                <w:b w:val="0"/>
                <w:bCs w:val="0"/>
              </w:rPr>
              <w:t>content</w:t>
            </w:r>
            <w:r w:rsidR="00F559BC" w:rsidRPr="006F6261">
              <w:rPr>
                <w:b w:val="0"/>
                <w:bCs w:val="0"/>
              </w:rPr>
              <w:t xml:space="preserve"> </w:t>
            </w:r>
            <w:r w:rsidRPr="006F6261">
              <w:rPr>
                <w:b w:val="0"/>
                <w:bCs w:val="0"/>
              </w:rPr>
              <w:t>access.</w:t>
            </w:r>
          </w:p>
        </w:tc>
        <w:tc>
          <w:tcPr>
            <w:tcW w:w="3074" w:type="dxa"/>
          </w:tcPr>
          <w:p w14:paraId="55AA6326" w14:textId="77777777" w:rsidR="00EF20B3" w:rsidRPr="007D0402" w:rsidRDefault="00EF20B3" w:rsidP="00AA6A22">
            <w:pPr>
              <w:pStyle w:val="TableText"/>
              <w:cnfStyle w:val="000000100000" w:firstRow="0" w:lastRow="0" w:firstColumn="0" w:lastColumn="0" w:oddVBand="0" w:evenVBand="0" w:oddHBand="1" w:evenHBand="0" w:firstRowFirstColumn="0" w:firstRowLastColumn="0" w:lastRowFirstColumn="0" w:lastRowLastColumn="0"/>
              <w:rPr>
                <w:b/>
                <w:bCs/>
              </w:rPr>
            </w:pPr>
            <w:r w:rsidRPr="007D0402">
              <w:rPr>
                <w:b/>
                <w:bCs/>
              </w:rPr>
              <w:t>Public consultation and ongoing engagement with key stakeholders will remain essential.</w:t>
            </w:r>
          </w:p>
          <w:p w14:paraId="04AA954E" w14:textId="77777777" w:rsidR="00EF20B3" w:rsidRDefault="00EF20B3" w:rsidP="00E56EE6">
            <w:pPr>
              <w:pStyle w:val="TableText"/>
              <w:cnfStyle w:val="000000100000" w:firstRow="0" w:lastRow="0" w:firstColumn="0" w:lastColumn="0" w:oddVBand="0" w:evenVBand="0" w:oddHBand="1" w:evenHBand="0" w:firstRowFirstColumn="0" w:firstRowLastColumn="0" w:lastRowFirstColumn="0" w:lastRowLastColumn="0"/>
            </w:pPr>
            <w:r>
              <w:t>Key issues that will need additional input from consultations include:</w:t>
            </w:r>
          </w:p>
          <w:p w14:paraId="1F2E856A" w14:textId="77777777" w:rsidR="00EF20B3" w:rsidRDefault="00EF20B3" w:rsidP="0003737B">
            <w:pPr>
              <w:pStyle w:val="TableBullet"/>
              <w:jc w:val="left"/>
              <w:cnfStyle w:val="000000100000" w:firstRow="0" w:lastRow="0" w:firstColumn="0" w:lastColumn="0" w:oddVBand="0" w:evenVBand="0" w:oddHBand="1" w:evenHBand="0" w:firstRowFirstColumn="0" w:firstRowLastColumn="0" w:lastRowFirstColumn="0" w:lastRowLastColumn="0"/>
            </w:pPr>
            <w:r>
              <w:t xml:space="preserve">The potential impact of the proposed model on competition in the academic publishing market and related legal implications. </w:t>
            </w:r>
          </w:p>
          <w:p w14:paraId="56C0F033" w14:textId="77777777" w:rsidR="001F1F61" w:rsidRDefault="001F1F61" w:rsidP="001F1F61">
            <w:pPr>
              <w:pStyle w:val="TableBullet"/>
              <w:jc w:val="left"/>
              <w:cnfStyle w:val="000000100000" w:firstRow="0" w:lastRow="0" w:firstColumn="0" w:lastColumn="0" w:oddVBand="0" w:evenVBand="0" w:oddHBand="1" w:evenHBand="0" w:firstRowFirstColumn="0" w:firstRowLastColumn="0" w:lastRowFirstColumn="0" w:lastRowLastColumn="0"/>
            </w:pPr>
            <w:r>
              <w:t>T</w:t>
            </w:r>
            <w:r w:rsidRPr="007E29B7">
              <w:t>he strengths and weaknesses of different funding approaches</w:t>
            </w:r>
            <w:r>
              <w:t xml:space="preserve"> and stakeholder implications and levels of support.</w:t>
            </w:r>
          </w:p>
          <w:p w14:paraId="42CBB350" w14:textId="77777777" w:rsidR="00EF20B3" w:rsidRDefault="00EF20B3" w:rsidP="0003737B">
            <w:pPr>
              <w:pStyle w:val="TableBullet"/>
              <w:jc w:val="left"/>
              <w:cnfStyle w:val="000000100000" w:firstRow="0" w:lastRow="0" w:firstColumn="0" w:lastColumn="0" w:oddVBand="0" w:evenVBand="0" w:oddHBand="1" w:evenHBand="0" w:firstRowFirstColumn="0" w:firstRowLastColumn="0" w:lastRowFirstColumn="0" w:lastRowLastColumn="0"/>
            </w:pPr>
            <w:r>
              <w:t xml:space="preserve">Appropriate definitions for eligible </w:t>
            </w:r>
            <w:r w:rsidRPr="00DF6C2E">
              <w:t xml:space="preserve">Australian users and Australian journal </w:t>
            </w:r>
            <w:r w:rsidR="007F1A8F" w:rsidRPr="00DF6C2E">
              <w:t>articles</w:t>
            </w:r>
            <w:r>
              <w:t>.</w:t>
            </w:r>
          </w:p>
          <w:p w14:paraId="1BAAD54A" w14:textId="77777777" w:rsidR="00EF20B3" w:rsidRDefault="00EF20B3" w:rsidP="0003737B">
            <w:pPr>
              <w:pStyle w:val="TableBullet"/>
              <w:jc w:val="left"/>
              <w:cnfStyle w:val="000000100000" w:firstRow="0" w:lastRow="0" w:firstColumn="0" w:lastColumn="0" w:oddVBand="0" w:evenVBand="0" w:oddHBand="1" w:evenHBand="0" w:firstRowFirstColumn="0" w:firstRowLastColumn="0" w:lastRowFirstColumn="0" w:lastRowLastColumn="0"/>
            </w:pPr>
            <w:r>
              <w:t>Appropriate licensing options for journal articles.</w:t>
            </w:r>
          </w:p>
          <w:p w14:paraId="3AD8D7CC" w14:textId="374CC17B" w:rsidR="00EF20B3" w:rsidRPr="00885757" w:rsidRDefault="00EF20B3" w:rsidP="0003737B">
            <w:pPr>
              <w:pStyle w:val="TableBullet"/>
              <w:jc w:val="left"/>
              <w:cnfStyle w:val="000000100000" w:firstRow="0" w:lastRow="0" w:firstColumn="0" w:lastColumn="0" w:oddVBand="0" w:evenVBand="0" w:oddHBand="1" w:evenHBand="0" w:firstRowFirstColumn="0" w:firstRowLastColumn="0" w:lastRowFirstColumn="0" w:lastRowLastColumn="0"/>
            </w:pPr>
            <w:r>
              <w:t>End-</w:t>
            </w:r>
            <w:r w:rsidR="001F1F61">
              <w:t>users’</w:t>
            </w:r>
            <w:r>
              <w:t xml:space="preserve"> needs and their support for the proposed model.</w:t>
            </w:r>
          </w:p>
        </w:tc>
        <w:tc>
          <w:tcPr>
            <w:tcW w:w="3440" w:type="dxa"/>
          </w:tcPr>
          <w:p w14:paraId="3D51D719" w14:textId="77777777" w:rsidR="00EF20B3" w:rsidRDefault="00EF20B3" w:rsidP="00AA6A22">
            <w:pPr>
              <w:pStyle w:val="RowHeading"/>
              <w:jc w:val="both"/>
              <w:cnfStyle w:val="000000100000" w:firstRow="0" w:lastRow="0" w:firstColumn="0" w:lastColumn="0" w:oddVBand="0" w:evenVBand="0" w:oddHBand="1" w:evenHBand="0" w:firstRowFirstColumn="0" w:firstRowLastColumn="0" w:lastRowFirstColumn="0" w:lastRowLastColumn="0"/>
            </w:pPr>
            <w:r>
              <w:t>Many of the design considerations will only be addressed through strategic planning.</w:t>
            </w:r>
          </w:p>
          <w:p w14:paraId="07B5A23E" w14:textId="77777777" w:rsidR="00EF20B3" w:rsidRDefault="00EF20B3" w:rsidP="00E56EE6">
            <w:pPr>
              <w:pStyle w:val="TableText"/>
              <w:cnfStyle w:val="000000100000" w:firstRow="0" w:lastRow="0" w:firstColumn="0" w:lastColumn="0" w:oddVBand="0" w:evenVBand="0" w:oddHBand="1" w:evenHBand="0" w:firstRowFirstColumn="0" w:firstRowLastColumn="0" w:lastRowFirstColumn="0" w:lastRowLastColumn="0"/>
            </w:pPr>
            <w:r w:rsidRPr="0036306D">
              <w:t xml:space="preserve">Key issues </w:t>
            </w:r>
            <w:r>
              <w:t>that require additional</w:t>
            </w:r>
            <w:r w:rsidRPr="0036306D">
              <w:t xml:space="preserve"> consider</w:t>
            </w:r>
            <w:r>
              <w:t>ation and planning</w:t>
            </w:r>
            <w:r w:rsidRPr="0036306D">
              <w:t xml:space="preserve"> include: </w:t>
            </w:r>
          </w:p>
          <w:p w14:paraId="5E1DD4ED" w14:textId="77777777" w:rsidR="00EF20B3" w:rsidRDefault="00EF20B3" w:rsidP="0003737B">
            <w:pPr>
              <w:pStyle w:val="TableBullet"/>
              <w:jc w:val="left"/>
              <w:cnfStyle w:val="000000100000" w:firstRow="0" w:lastRow="0" w:firstColumn="0" w:lastColumn="0" w:oddVBand="0" w:evenVBand="0" w:oddHBand="1" w:evenHBand="0" w:firstRowFirstColumn="0" w:firstRowLastColumn="0" w:lastRowFirstColumn="0" w:lastRowLastColumn="0"/>
            </w:pPr>
            <w:r>
              <w:t>An appropriate governance model for the</w:t>
            </w:r>
            <w:r w:rsidR="00EE3A15">
              <w:t xml:space="preserve"> proposed</w:t>
            </w:r>
            <w:r>
              <w:t xml:space="preserve"> implementation body.</w:t>
            </w:r>
          </w:p>
          <w:p w14:paraId="397E6EFA" w14:textId="77777777" w:rsidR="001F1F61" w:rsidRDefault="001F1F61" w:rsidP="001F1F61">
            <w:pPr>
              <w:pStyle w:val="TableBullet"/>
              <w:jc w:val="left"/>
              <w:cnfStyle w:val="000000100000" w:firstRow="0" w:lastRow="0" w:firstColumn="0" w:lastColumn="0" w:oddVBand="0" w:evenVBand="0" w:oddHBand="1" w:evenHBand="0" w:firstRowFirstColumn="0" w:firstRowLastColumn="0" w:lastRowFirstColumn="0" w:lastRowLastColumn="0"/>
            </w:pPr>
            <w:r>
              <w:t>Flexibility to include diverse publishers and be responsive to changes in the publishing sector.</w:t>
            </w:r>
          </w:p>
          <w:p w14:paraId="42742F5B" w14:textId="25DA4829" w:rsidR="001F1F61" w:rsidRDefault="006E64B3" w:rsidP="001F1F61">
            <w:pPr>
              <w:pStyle w:val="TableBullet"/>
              <w:jc w:val="left"/>
              <w:cnfStyle w:val="000000100000" w:firstRow="0" w:lastRow="0" w:firstColumn="0" w:lastColumn="0" w:oddVBand="0" w:evenVBand="0" w:oddHBand="1" w:evenHBand="0" w:firstRowFirstColumn="0" w:firstRowLastColumn="0" w:lastRowFirstColumn="0" w:lastRowLastColumn="0"/>
            </w:pPr>
            <w:r w:rsidRPr="006E64B3">
              <w:t>Enhancing Australia’s ability to negotiate standard, open access terms with publishers</w:t>
            </w:r>
            <w:r w:rsidR="001F1F61">
              <w:t>.</w:t>
            </w:r>
          </w:p>
          <w:p w14:paraId="7E499B49" w14:textId="77777777" w:rsidR="001F1F61" w:rsidRDefault="001F1F61" w:rsidP="001F1F61">
            <w:pPr>
              <w:pStyle w:val="TableBullet"/>
              <w:jc w:val="left"/>
              <w:cnfStyle w:val="000000100000" w:firstRow="0" w:lastRow="0" w:firstColumn="0" w:lastColumn="0" w:oddVBand="0" w:evenVBand="0" w:oddHBand="1" w:evenHBand="0" w:firstRowFirstColumn="0" w:firstRowLastColumn="0" w:lastRowFirstColumn="0" w:lastRowLastColumn="0"/>
            </w:pPr>
            <w:r>
              <w:t>Possible additional funding contributions, including from broader stakeholder groups such as industry.</w:t>
            </w:r>
          </w:p>
          <w:p w14:paraId="78EA4EBA" w14:textId="77777777" w:rsidR="00EF20B3" w:rsidRPr="005B367F" w:rsidRDefault="00EF20B3" w:rsidP="0003737B">
            <w:pPr>
              <w:pStyle w:val="TableBullet"/>
              <w:jc w:val="left"/>
              <w:cnfStyle w:val="000000100000" w:firstRow="0" w:lastRow="0" w:firstColumn="0" w:lastColumn="0" w:oddVBand="0" w:evenVBand="0" w:oddHBand="1" w:evenHBand="0" w:firstRowFirstColumn="0" w:firstRowLastColumn="0" w:lastRowFirstColumn="0" w:lastRowLastColumn="0"/>
            </w:pPr>
            <w:r>
              <w:t>C</w:t>
            </w:r>
            <w:r w:rsidRPr="00302135">
              <w:t xml:space="preserve">ommunications and engagement to support uptake and use of </w:t>
            </w:r>
            <w:r w:rsidR="001F1F61" w:rsidRPr="00302135">
              <w:t>information</w:t>
            </w:r>
            <w:r w:rsidR="00F559BC" w:rsidRPr="00302135">
              <w:t xml:space="preserve"> </w:t>
            </w:r>
            <w:r w:rsidRPr="00302135">
              <w:t xml:space="preserve">available through </w:t>
            </w:r>
            <w:r>
              <w:t>the proposed model</w:t>
            </w:r>
            <w:r w:rsidRPr="00302135">
              <w:t>.</w:t>
            </w:r>
          </w:p>
        </w:tc>
      </w:tr>
    </w:tbl>
    <w:p w14:paraId="457140C4" w14:textId="77777777" w:rsidR="0016571D" w:rsidRDefault="0016571D" w:rsidP="00A47B69">
      <w:pPr>
        <w:pStyle w:val="BodyText"/>
      </w:pPr>
    </w:p>
    <w:p w14:paraId="778119F9" w14:textId="77777777" w:rsidR="005E6933" w:rsidRPr="00563DEE" w:rsidRDefault="005E6933" w:rsidP="005E6933">
      <w:pPr>
        <w:pStyle w:val="Heading2"/>
        <w:jc w:val="both"/>
        <w:rPr>
          <w:rFonts w:asciiTheme="minorHAnsi" w:eastAsia="Courier New" w:hAnsiTheme="minorHAnsi" w:cstheme="minorHAnsi"/>
        </w:rPr>
      </w:pPr>
      <w:bookmarkStart w:id="72" w:name="_Toc87629943"/>
      <w:bookmarkStart w:id="73" w:name="_Ref84432306"/>
      <w:bookmarkStart w:id="74" w:name="_Ref84491477"/>
      <w:bookmarkStart w:id="75" w:name="_Ref85537836"/>
      <w:r w:rsidRPr="00563DEE">
        <w:rPr>
          <w:rFonts w:asciiTheme="minorHAnsi" w:eastAsia="Courier New" w:hAnsiTheme="minorHAnsi" w:cstheme="minorHAnsi"/>
        </w:rPr>
        <w:lastRenderedPageBreak/>
        <w:t>Measuring success</w:t>
      </w:r>
      <w:bookmarkEnd w:id="72"/>
    </w:p>
    <w:p w14:paraId="2ECE4FB5" w14:textId="4DBEDF70" w:rsidR="005E6933" w:rsidRDefault="005E6933" w:rsidP="00A47B69">
      <w:pPr>
        <w:pStyle w:val="BodyText"/>
      </w:pPr>
      <w:r>
        <w:t>This section describes potential metrics that could be used to monitor the successful implementation of the proposed model. Four themes of metrics have been identified based on the stated objectives of the proposed model</w:t>
      </w:r>
      <w:r w:rsidR="00257419">
        <w:t xml:space="preserve"> (</w:t>
      </w:r>
      <w:r w:rsidR="00257419">
        <w:fldChar w:fldCharType="begin"/>
      </w:r>
      <w:r w:rsidR="00257419">
        <w:instrText xml:space="preserve"> REF _Ref87946954 \h </w:instrText>
      </w:r>
      <w:r w:rsidR="00257419">
        <w:fldChar w:fldCharType="separate"/>
      </w:r>
      <w:r w:rsidR="007E283B" w:rsidRPr="00563DEE">
        <w:t xml:space="preserve">Table </w:t>
      </w:r>
      <w:r w:rsidR="007E283B">
        <w:rPr>
          <w:noProof/>
        </w:rPr>
        <w:t>7</w:t>
      </w:r>
      <w:r w:rsidR="00257419">
        <w:fldChar w:fldCharType="end"/>
      </w:r>
      <w:r w:rsidR="00257419">
        <w:t>)</w:t>
      </w:r>
      <w:r>
        <w:t xml:space="preserve">. Potential quantitative and qualitative metrics for each of these themes were identified through consultations and literature review. They are designed to inform further consideration of how the proposed model’s performance could be </w:t>
      </w:r>
      <w:r w:rsidRPr="00563DEE">
        <w:t>best measured</w:t>
      </w:r>
      <w:r>
        <w:t xml:space="preserve"> and are by no means exhaustive</w:t>
      </w:r>
      <w:r w:rsidRPr="00563DEE">
        <w:t>.</w:t>
      </w:r>
      <w:r>
        <w:t xml:space="preserve"> Where possible, appropriate baseline data</w:t>
      </w:r>
      <w:r w:rsidR="00F559BC">
        <w:t xml:space="preserve">, </w:t>
      </w:r>
      <w:r>
        <w:t>and potentially targets</w:t>
      </w:r>
      <w:r w:rsidR="00F559BC">
        <w:t>,</w:t>
      </w:r>
      <w:r>
        <w:t xml:space="preserve"> would need to be determined for each chosen metric. </w:t>
      </w:r>
    </w:p>
    <w:p w14:paraId="3BD49C1C" w14:textId="4D864F84" w:rsidR="005E6933" w:rsidRPr="00563DEE" w:rsidRDefault="005E6933" w:rsidP="00A47B69">
      <w:pPr>
        <w:pStyle w:val="Caption"/>
      </w:pPr>
      <w:bookmarkStart w:id="76" w:name="_Ref87946954"/>
      <w:r w:rsidRPr="00563DEE">
        <w:t xml:space="preserve">Table </w:t>
      </w:r>
      <w:r w:rsidR="003B28D9">
        <w:fldChar w:fldCharType="begin"/>
      </w:r>
      <w:r w:rsidR="003B28D9">
        <w:instrText xml:space="preserve"> SEQ Table \* ARABIC </w:instrText>
      </w:r>
      <w:r w:rsidR="003B28D9">
        <w:fldChar w:fldCharType="separate"/>
      </w:r>
      <w:r w:rsidR="007E283B">
        <w:rPr>
          <w:noProof/>
        </w:rPr>
        <w:t>7</w:t>
      </w:r>
      <w:r w:rsidR="003B28D9">
        <w:rPr>
          <w:noProof/>
        </w:rPr>
        <w:fldChar w:fldCharType="end"/>
      </w:r>
      <w:bookmarkEnd w:id="76"/>
      <w:r w:rsidRPr="00563DEE">
        <w:t xml:space="preserve">: </w:t>
      </w:r>
      <w:r w:rsidRPr="00563DEE">
        <w:rPr>
          <w:rStyle w:val="Italics"/>
          <w:i w:val="0"/>
          <w:iCs/>
        </w:rPr>
        <w:t>Objectives and associated metric</w:t>
      </w:r>
      <w:r>
        <w:rPr>
          <w:rStyle w:val="Italics"/>
          <w:i w:val="0"/>
          <w:iCs/>
        </w:rPr>
        <w:t xml:space="preserve"> themes</w:t>
      </w:r>
      <w:r w:rsidRPr="00563DEE">
        <w:rPr>
          <w:rStyle w:val="Italics"/>
          <w:i w:val="0"/>
          <w:iCs/>
        </w:rPr>
        <w:t xml:space="preserve"> suggested for the proposed model</w:t>
      </w:r>
    </w:p>
    <w:tbl>
      <w:tblPr>
        <w:tblStyle w:val="ListTable3-Accent1"/>
        <w:tblW w:w="9864" w:type="dxa"/>
        <w:tblLook w:val="04A0" w:firstRow="1" w:lastRow="0" w:firstColumn="1" w:lastColumn="0" w:noHBand="0" w:noVBand="1"/>
      </w:tblPr>
      <w:tblGrid>
        <w:gridCol w:w="5949"/>
        <w:gridCol w:w="3915"/>
      </w:tblGrid>
      <w:tr w:rsidR="005E6933" w:rsidRPr="007D35E9" w14:paraId="33DE6DF6" w14:textId="77777777" w:rsidTr="00FD70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49" w:type="dxa"/>
          </w:tcPr>
          <w:p w14:paraId="6675B157" w14:textId="77777777" w:rsidR="005E6933" w:rsidRPr="004656EF" w:rsidRDefault="005E6933" w:rsidP="00C7094B">
            <w:pPr>
              <w:pStyle w:val="ColumnHeading"/>
              <w:rPr>
                <w:color w:val="auto"/>
              </w:rPr>
            </w:pPr>
            <w:r w:rsidRPr="004656EF">
              <w:rPr>
                <w:b/>
                <w:color w:val="auto"/>
              </w:rPr>
              <w:t>Objectives</w:t>
            </w:r>
          </w:p>
        </w:tc>
        <w:tc>
          <w:tcPr>
            <w:tcW w:w="3915" w:type="dxa"/>
          </w:tcPr>
          <w:p w14:paraId="4C214845" w14:textId="77777777" w:rsidR="005E6933" w:rsidRPr="004656EF"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color w:val="auto"/>
              </w:rPr>
            </w:pPr>
            <w:r w:rsidRPr="004656EF">
              <w:rPr>
                <w:b/>
                <w:color w:val="auto"/>
              </w:rPr>
              <w:t xml:space="preserve">Theme </w:t>
            </w:r>
          </w:p>
        </w:tc>
      </w:tr>
      <w:tr w:rsidR="005E6933" w:rsidRPr="007D35E9" w14:paraId="06326289" w14:textId="77777777" w:rsidTr="00FD7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2D499C" w14:textId="77777777" w:rsidR="005E6933" w:rsidRPr="007D35E9" w:rsidRDefault="005E6933" w:rsidP="00054830">
            <w:pPr>
              <w:pStyle w:val="RowHeading"/>
            </w:pPr>
            <w:r w:rsidRPr="007D35E9">
              <w:rPr>
                <w:b/>
              </w:rPr>
              <w:t>1. Improve Australia’s return on investment in the research sector</w:t>
            </w:r>
          </w:p>
        </w:tc>
        <w:tc>
          <w:tcPr>
            <w:tcW w:w="3915" w:type="dxa"/>
          </w:tcPr>
          <w:p w14:paraId="1F6DDE4F" w14:textId="5298C4C8"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Coverage</w:t>
            </w:r>
            <w:r w:rsidRPr="007D35E9">
              <w:t xml:space="preserve"> (5.</w:t>
            </w:r>
            <w:r w:rsidR="007F1E87">
              <w:t>2</w:t>
            </w:r>
            <w:r w:rsidRPr="007D35E9">
              <w:t>.1)</w:t>
            </w:r>
          </w:p>
          <w:p w14:paraId="54F64142" w14:textId="66C68C33"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Cost (5.</w:t>
            </w:r>
            <w:r w:rsidR="007F1E87">
              <w:t>2</w:t>
            </w:r>
            <w:r w:rsidRPr="007D35E9">
              <w:t xml:space="preserve">.2) </w:t>
            </w:r>
          </w:p>
        </w:tc>
      </w:tr>
      <w:tr w:rsidR="005E6933" w:rsidRPr="007D35E9" w14:paraId="46138E91" w14:textId="77777777" w:rsidTr="00FD700E">
        <w:tc>
          <w:tcPr>
            <w:cnfStyle w:val="001000000000" w:firstRow="0" w:lastRow="0" w:firstColumn="1" w:lastColumn="0" w:oddVBand="0" w:evenVBand="0" w:oddHBand="0" w:evenHBand="0" w:firstRowFirstColumn="0" w:firstRowLastColumn="0" w:lastRowFirstColumn="0" w:lastRowLastColumn="0"/>
            <w:tcW w:w="5949" w:type="dxa"/>
          </w:tcPr>
          <w:p w14:paraId="55FAE847" w14:textId="77777777" w:rsidR="005E6933" w:rsidRPr="007D35E9" w:rsidRDefault="005E6933" w:rsidP="00054830">
            <w:pPr>
              <w:pStyle w:val="RowHeading"/>
            </w:pPr>
            <w:r w:rsidRPr="007D35E9">
              <w:rPr>
                <w:b/>
              </w:rPr>
              <w:t>2. Maintain Australia’s global position in science, research, and innovation</w:t>
            </w:r>
          </w:p>
        </w:tc>
        <w:tc>
          <w:tcPr>
            <w:tcW w:w="3915" w:type="dxa"/>
          </w:tcPr>
          <w:p w14:paraId="15ADC2B6" w14:textId="58509FD6"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Research and innovation (5.</w:t>
            </w:r>
            <w:r w:rsidR="007F1E87">
              <w:t>2</w:t>
            </w:r>
            <w:r w:rsidRPr="007D35E9">
              <w:t>.3)</w:t>
            </w:r>
          </w:p>
        </w:tc>
      </w:tr>
      <w:tr w:rsidR="005E6933" w:rsidRPr="007D35E9" w14:paraId="707606A3" w14:textId="77777777" w:rsidTr="00FD7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513155" w14:textId="77777777" w:rsidR="005E6933" w:rsidRPr="007D35E9" w:rsidRDefault="005E6933" w:rsidP="00054830">
            <w:pPr>
              <w:pStyle w:val="RowHeading"/>
            </w:pPr>
            <w:r w:rsidRPr="007D35E9">
              <w:rPr>
                <w:b/>
              </w:rPr>
              <w:t>3. Increase industry and government access to leverage science and research investment to support economic recovery and growth</w:t>
            </w:r>
          </w:p>
        </w:tc>
        <w:tc>
          <w:tcPr>
            <w:tcW w:w="3915" w:type="dxa"/>
          </w:tcPr>
          <w:p w14:paraId="00DE6FDC" w14:textId="2DD4D64C"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Usage</w:t>
            </w:r>
            <w:r>
              <w:t xml:space="preserve"> and impact</w:t>
            </w:r>
            <w:r w:rsidRPr="007D35E9">
              <w:t xml:space="preserve"> (5.</w:t>
            </w:r>
            <w:r w:rsidR="007F1E87">
              <w:t>2</w:t>
            </w:r>
            <w:r w:rsidRPr="007D35E9">
              <w:t>.4)</w:t>
            </w:r>
          </w:p>
        </w:tc>
      </w:tr>
    </w:tbl>
    <w:p w14:paraId="7AE99280" w14:textId="77777777" w:rsidR="005E6933" w:rsidRPr="00563DEE" w:rsidRDefault="005E6933" w:rsidP="005E6933">
      <w:pPr>
        <w:pStyle w:val="Heading3"/>
        <w:jc w:val="both"/>
        <w:rPr>
          <w:rFonts w:asciiTheme="minorHAnsi" w:hAnsiTheme="minorHAnsi" w:cstheme="minorHAnsi"/>
        </w:rPr>
      </w:pPr>
      <w:r>
        <w:rPr>
          <w:rFonts w:asciiTheme="minorHAnsi" w:hAnsiTheme="minorHAnsi" w:cstheme="minorHAnsi"/>
        </w:rPr>
        <w:t>Coverage</w:t>
      </w:r>
    </w:p>
    <w:p w14:paraId="6DA62478" w14:textId="522315E4" w:rsidR="005E6933" w:rsidRPr="00563DEE" w:rsidRDefault="005E6933" w:rsidP="00A47B69">
      <w:pPr>
        <w:pStyle w:val="BodyText"/>
      </w:pPr>
      <w:r w:rsidRPr="00563DEE">
        <w:t xml:space="preserve">Broadly, </w:t>
      </w:r>
      <w:r>
        <w:t xml:space="preserve">the implementation </w:t>
      </w:r>
      <w:r w:rsidRPr="00563DEE">
        <w:t xml:space="preserve">of the </w:t>
      </w:r>
      <w:r>
        <w:t xml:space="preserve">proposed </w:t>
      </w:r>
      <w:r w:rsidRPr="00563DEE">
        <w:t xml:space="preserve">model </w:t>
      </w:r>
      <w:r>
        <w:t>can</w:t>
      </w:r>
      <w:r w:rsidRPr="00563DEE">
        <w:t xml:space="preserve"> be </w:t>
      </w:r>
      <w:r w:rsidR="001E248E">
        <w:t>measured</w:t>
      </w:r>
      <w:r w:rsidR="001E248E" w:rsidRPr="00563DEE">
        <w:t xml:space="preserve"> </w:t>
      </w:r>
      <w:r w:rsidRPr="00563DEE">
        <w:t>through the</w:t>
      </w:r>
      <w:r>
        <w:t xml:space="preserve"> </w:t>
      </w:r>
      <w:r w:rsidR="001E248E">
        <w:t xml:space="preserve">coverage of its </w:t>
      </w:r>
      <w:r>
        <w:t>read</w:t>
      </w:r>
      <w:r w:rsidR="004D16A8">
        <w:t>-</w:t>
      </w:r>
      <w:r>
        <w:t>and</w:t>
      </w:r>
      <w:r w:rsidR="004D16A8">
        <w:t>-</w:t>
      </w:r>
      <w:r>
        <w:t xml:space="preserve">publish agreements. This includes both the </w:t>
      </w:r>
      <w:r w:rsidR="001E248E">
        <w:t>number</w:t>
      </w:r>
      <w:r w:rsidR="001E248E" w:rsidRPr="00563DEE">
        <w:t xml:space="preserve"> </w:t>
      </w:r>
      <w:r w:rsidRPr="00563DEE">
        <w:t xml:space="preserve">of journal </w:t>
      </w:r>
      <w:r w:rsidR="001E248E">
        <w:t xml:space="preserve">articles </w:t>
      </w:r>
      <w:r>
        <w:t xml:space="preserve">that </w:t>
      </w:r>
      <w:r w:rsidR="001E248E">
        <w:t>are</w:t>
      </w:r>
      <w:r>
        <w:t xml:space="preserve"> openly accessible</w:t>
      </w:r>
      <w:r w:rsidR="001E248E">
        <w:t>,</w:t>
      </w:r>
      <w:r>
        <w:t xml:space="preserve"> </w:t>
      </w:r>
      <w:r w:rsidRPr="00563DEE">
        <w:t xml:space="preserve">and the percentage of Australian journal articles that are published </w:t>
      </w:r>
      <w:r>
        <w:t xml:space="preserve">as </w:t>
      </w:r>
      <w:r w:rsidRPr="00563DEE">
        <w:t xml:space="preserve">open access. </w:t>
      </w:r>
    </w:p>
    <w:tbl>
      <w:tblPr>
        <w:tblStyle w:val="ListTable3-Accent1"/>
        <w:tblW w:w="9864" w:type="dxa"/>
        <w:tblLook w:val="04A0" w:firstRow="1" w:lastRow="0" w:firstColumn="1" w:lastColumn="0" w:noHBand="0" w:noVBand="1"/>
      </w:tblPr>
      <w:tblGrid>
        <w:gridCol w:w="2263"/>
        <w:gridCol w:w="7601"/>
      </w:tblGrid>
      <w:tr w:rsidR="005E6933" w:rsidRPr="007D35E9" w14:paraId="76E1AA21" w14:textId="77777777" w:rsidTr="00076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19D2060F" w14:textId="77777777" w:rsidR="005E6933" w:rsidRPr="004656EF" w:rsidRDefault="005E6933" w:rsidP="00C7094B">
            <w:pPr>
              <w:pStyle w:val="ColumnHeading"/>
              <w:rPr>
                <w:b/>
                <w:color w:val="auto"/>
              </w:rPr>
            </w:pPr>
            <w:r w:rsidRPr="004656EF">
              <w:rPr>
                <w:b/>
                <w:color w:val="auto"/>
              </w:rPr>
              <w:t>Measure</w:t>
            </w:r>
          </w:p>
        </w:tc>
        <w:tc>
          <w:tcPr>
            <w:tcW w:w="7601" w:type="dxa"/>
          </w:tcPr>
          <w:p w14:paraId="293F27AC" w14:textId="77777777" w:rsidR="005E6933" w:rsidRPr="004656EF"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4656EF">
              <w:rPr>
                <w:b/>
                <w:color w:val="auto"/>
              </w:rPr>
              <w:t>Example Metrics and Description</w:t>
            </w:r>
          </w:p>
        </w:tc>
      </w:tr>
      <w:tr w:rsidR="005E6933" w:rsidRPr="007D35E9" w14:paraId="3D76AD7F"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A489A1E" w14:textId="7BD472C5" w:rsidR="005E6933" w:rsidRPr="00B900F6" w:rsidRDefault="005E6933" w:rsidP="00054830">
            <w:pPr>
              <w:pStyle w:val="RowHeading"/>
              <w:rPr>
                <w:b/>
                <w:bCs w:val="0"/>
              </w:rPr>
            </w:pPr>
            <w:r w:rsidRPr="00B900F6">
              <w:rPr>
                <w:b/>
                <w:bCs w:val="0"/>
              </w:rPr>
              <w:t xml:space="preserve">Read coverage of </w:t>
            </w:r>
            <w:r w:rsidR="0008406D" w:rsidRPr="00B900F6">
              <w:rPr>
                <w:b/>
              </w:rPr>
              <w:t>agreement</w:t>
            </w:r>
            <w:r w:rsidR="0008406D">
              <w:rPr>
                <w:b/>
              </w:rPr>
              <w:t>s</w:t>
            </w:r>
          </w:p>
        </w:tc>
        <w:tc>
          <w:tcPr>
            <w:tcW w:w="7601" w:type="dxa"/>
          </w:tcPr>
          <w:p w14:paraId="2043F338" w14:textId="17E7B49F" w:rsidR="0008406D" w:rsidRPr="00887BE3" w:rsidRDefault="0008406D" w:rsidP="0008406D">
            <w:pPr>
              <w:pStyle w:val="TableText"/>
              <w:cnfStyle w:val="000000100000" w:firstRow="0" w:lastRow="0" w:firstColumn="0" w:lastColumn="0" w:oddVBand="0" w:evenVBand="0" w:oddHBand="1" w:evenHBand="0" w:firstRowFirstColumn="0" w:firstRowLastColumn="0" w:lastRowFirstColumn="0" w:lastRowLastColumn="0"/>
              <w:rPr>
                <w:b/>
                <w:bCs/>
              </w:rPr>
            </w:pPr>
            <w:r w:rsidRPr="00887BE3">
              <w:rPr>
                <w:b/>
                <w:bCs/>
              </w:rPr>
              <w:t>Number</w:t>
            </w:r>
            <w:r w:rsidR="001E248E">
              <w:rPr>
                <w:b/>
                <w:bCs/>
              </w:rPr>
              <w:t xml:space="preserve"> and percentage</w:t>
            </w:r>
            <w:r w:rsidRPr="00887BE3">
              <w:rPr>
                <w:b/>
                <w:bCs/>
              </w:rPr>
              <w:t xml:space="preserve"> of publishers, journals, and journal articles available to read under national agreements.</w:t>
            </w:r>
          </w:p>
          <w:p w14:paraId="69D6645D" w14:textId="2BD43DE1" w:rsidR="0008406D" w:rsidRPr="001B152D" w:rsidRDefault="0008406D" w:rsidP="0008406D">
            <w:pPr>
              <w:pStyle w:val="TableText"/>
              <w:cnfStyle w:val="000000100000" w:firstRow="0" w:lastRow="0" w:firstColumn="0" w:lastColumn="0" w:oddVBand="0" w:evenVBand="0" w:oddHBand="1" w:evenHBand="0" w:firstRowFirstColumn="0" w:firstRowLastColumn="0" w:lastRowFirstColumn="0" w:lastRowLastColumn="0"/>
            </w:pPr>
            <w:r w:rsidRPr="001B152D">
              <w:t xml:space="preserve">The number of journals and number of articles </w:t>
            </w:r>
            <w:r w:rsidR="001E248E">
              <w:t xml:space="preserve">covered by national </w:t>
            </w:r>
            <w:r w:rsidRPr="001B152D">
              <w:t>agreement</w:t>
            </w:r>
            <w:r>
              <w:t>s</w:t>
            </w:r>
            <w:r w:rsidRPr="001B152D">
              <w:t xml:space="preserve"> </w:t>
            </w:r>
            <w:r>
              <w:t xml:space="preserve">could be used to </w:t>
            </w:r>
            <w:r w:rsidRPr="001B152D">
              <w:t xml:space="preserve">indicate the extent to which the </w:t>
            </w:r>
            <w:r>
              <w:t>proposed model</w:t>
            </w:r>
            <w:r w:rsidRPr="001B152D">
              <w:t xml:space="preserve"> has achieved the aim of </w:t>
            </w:r>
            <w:r>
              <w:t>increasing</w:t>
            </w:r>
            <w:r w:rsidRPr="001B152D">
              <w:t xml:space="preserve"> journal access.</w:t>
            </w:r>
          </w:p>
          <w:p w14:paraId="594B6BE2" w14:textId="1FC55A12"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1B152D">
              <w:t xml:space="preserve">The </w:t>
            </w:r>
            <w:r>
              <w:t>variety of publisher sizes, disciplines and business models could also be used to monitor</w:t>
            </w:r>
            <w:r w:rsidRPr="001B152D">
              <w:t xml:space="preserve"> the bibliodiversity of the </w:t>
            </w:r>
            <w:r w:rsidR="0008406D">
              <w:t>proposed</w:t>
            </w:r>
            <w:r w:rsidR="0008406D" w:rsidRPr="001B152D">
              <w:t xml:space="preserve"> </w:t>
            </w:r>
            <w:r>
              <w:t>model</w:t>
            </w:r>
            <w:r w:rsidRPr="001B152D">
              <w:t xml:space="preserve">. This data could be used to demonstrate the extent to which </w:t>
            </w:r>
            <w:r w:rsidR="0008406D">
              <w:t xml:space="preserve">proposed </w:t>
            </w:r>
            <w:r w:rsidR="0008406D" w:rsidRPr="001B152D">
              <w:t>agreement</w:t>
            </w:r>
            <w:r w:rsidR="0008406D">
              <w:t>s</w:t>
            </w:r>
            <w:r w:rsidR="0008406D" w:rsidRPr="001B152D">
              <w:t xml:space="preserve"> cover</w:t>
            </w:r>
            <w:r w:rsidRPr="001B152D">
              <w:t xml:space="preserve"> the long</w:t>
            </w:r>
            <w:r w:rsidR="00EF3EFF">
              <w:t xml:space="preserve">-tailed </w:t>
            </w:r>
            <w:r w:rsidR="00B34692">
              <w:t>distribution</w:t>
            </w:r>
            <w:r w:rsidR="00EF3EFF">
              <w:t xml:space="preserve"> curve of publishers of Austra</w:t>
            </w:r>
            <w:r w:rsidR="00B34692">
              <w:t>lia</w:t>
            </w:r>
            <w:r w:rsidR="00EF3EFF">
              <w:t xml:space="preserve">n journal articles (see </w:t>
            </w:r>
            <w:r w:rsidR="00B34692">
              <w:fldChar w:fldCharType="begin"/>
            </w:r>
            <w:r w:rsidR="00B34692">
              <w:instrText xml:space="preserve"> REF _Ref83829564 \h </w:instrText>
            </w:r>
            <w:r w:rsidR="00B34692">
              <w:fldChar w:fldCharType="separate"/>
            </w:r>
            <w:r w:rsidR="007E283B" w:rsidRPr="00563DEE">
              <w:t xml:space="preserve">Figure </w:t>
            </w:r>
            <w:r w:rsidR="007E283B">
              <w:rPr>
                <w:noProof/>
              </w:rPr>
              <w:t>4</w:t>
            </w:r>
            <w:r w:rsidR="00B34692">
              <w:fldChar w:fldCharType="end"/>
            </w:r>
            <w:r w:rsidR="00B34692">
              <w:t>).</w:t>
            </w:r>
            <w:r w:rsidR="00EF3EFF">
              <w:t xml:space="preserve"> </w:t>
            </w:r>
          </w:p>
        </w:tc>
      </w:tr>
      <w:tr w:rsidR="005E6933" w:rsidRPr="007D35E9" w14:paraId="3E9DBA85" w14:textId="77777777" w:rsidTr="00076358">
        <w:tc>
          <w:tcPr>
            <w:cnfStyle w:val="001000000000" w:firstRow="0" w:lastRow="0" w:firstColumn="1" w:lastColumn="0" w:oddVBand="0" w:evenVBand="0" w:oddHBand="0" w:evenHBand="0" w:firstRowFirstColumn="0" w:firstRowLastColumn="0" w:lastRowFirstColumn="0" w:lastRowLastColumn="0"/>
            <w:tcW w:w="2263" w:type="dxa"/>
          </w:tcPr>
          <w:p w14:paraId="0CEAA64D" w14:textId="6C2EA5AA" w:rsidR="005E6933" w:rsidRPr="007D35E9" w:rsidRDefault="005E6933" w:rsidP="00054830">
            <w:pPr>
              <w:pStyle w:val="RowHeading"/>
              <w:rPr>
                <w:b/>
              </w:rPr>
            </w:pPr>
            <w:r>
              <w:rPr>
                <w:b/>
              </w:rPr>
              <w:t xml:space="preserve">Publication coverage of the </w:t>
            </w:r>
            <w:r w:rsidR="0008406D">
              <w:rPr>
                <w:b/>
              </w:rPr>
              <w:t>agreements</w:t>
            </w:r>
          </w:p>
        </w:tc>
        <w:tc>
          <w:tcPr>
            <w:tcW w:w="7601" w:type="dxa"/>
          </w:tcPr>
          <w:p w14:paraId="549654B5" w14:textId="77777777" w:rsidR="005E6933" w:rsidRPr="00887BE3" w:rsidRDefault="005E6933" w:rsidP="00054830">
            <w:pPr>
              <w:pStyle w:val="TableText"/>
              <w:cnfStyle w:val="000000000000" w:firstRow="0" w:lastRow="0" w:firstColumn="0" w:lastColumn="0" w:oddVBand="0" w:evenVBand="0" w:oddHBand="0" w:evenHBand="0" w:firstRowFirstColumn="0" w:firstRowLastColumn="0" w:lastRowFirstColumn="0" w:lastRowLastColumn="0"/>
              <w:rPr>
                <w:b/>
              </w:rPr>
            </w:pPr>
            <w:r w:rsidRPr="00887BE3">
              <w:rPr>
                <w:b/>
              </w:rPr>
              <w:t>Number and percentage of Australian journal articles that are open access</w:t>
            </w:r>
          </w:p>
          <w:p w14:paraId="44C7C357" w14:textId="263C779A"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rsidRPr="007D35E9">
              <w:t xml:space="preserve">This metric </w:t>
            </w:r>
            <w:r w:rsidR="0008406D">
              <w:t xml:space="preserve">could help </w:t>
            </w:r>
            <w:r w:rsidR="0008406D" w:rsidRPr="007D35E9">
              <w:t>indicate</w:t>
            </w:r>
            <w:r w:rsidRPr="007D35E9">
              <w:t xml:space="preserve"> the progress that the </w:t>
            </w:r>
            <w:r w:rsidR="0008406D">
              <w:t xml:space="preserve">proposed </w:t>
            </w:r>
            <w:r w:rsidRPr="007D35E9">
              <w:t xml:space="preserve">model has made in achieving open access status for Australian </w:t>
            </w:r>
            <w:r>
              <w:t>journal articles</w:t>
            </w:r>
            <w:r w:rsidRPr="007D35E9">
              <w:t xml:space="preserve">. It can also be used to identify potential open access </w:t>
            </w:r>
            <w:r w:rsidR="0008406D" w:rsidRPr="007D35E9">
              <w:t>disparit</w:t>
            </w:r>
            <w:r w:rsidR="0008406D">
              <w:t>ies</w:t>
            </w:r>
            <w:r w:rsidRPr="007D35E9">
              <w:t xml:space="preserve"> between disciplines as </w:t>
            </w:r>
            <w:r w:rsidR="0008406D">
              <w:t>implementation</w:t>
            </w:r>
            <w:r w:rsidRPr="007D35E9">
              <w:t xml:space="preserve"> occurs. Segmenting this metric by institution could also show which institutions are receiving </w:t>
            </w:r>
            <w:r w:rsidR="0008406D">
              <w:t xml:space="preserve">the </w:t>
            </w:r>
            <w:r w:rsidRPr="007D35E9">
              <w:t xml:space="preserve">most value from </w:t>
            </w:r>
            <w:r>
              <w:t>having the costs of APCs covered</w:t>
            </w:r>
            <w:r w:rsidRPr="007D35E9">
              <w:t xml:space="preserve">. </w:t>
            </w:r>
          </w:p>
        </w:tc>
      </w:tr>
    </w:tbl>
    <w:p w14:paraId="2D5246B1" w14:textId="77777777" w:rsidR="00903DE7" w:rsidRDefault="00903DE7" w:rsidP="00597B45">
      <w:pPr>
        <w:pStyle w:val="BodyText"/>
      </w:pPr>
    </w:p>
    <w:p w14:paraId="5A88B38C" w14:textId="77777777" w:rsidR="00903DE7" w:rsidRDefault="00903DE7">
      <w:pPr>
        <w:spacing w:before="0" w:after="0" w:line="240" w:lineRule="auto"/>
        <w:rPr>
          <w:rFonts w:asciiTheme="minorHAnsi" w:eastAsiaTheme="majorEastAsia" w:hAnsiTheme="minorHAnsi" w:cstheme="minorHAnsi"/>
          <w:b/>
          <w:bCs/>
          <w:color w:val="auto"/>
          <w:sz w:val="26"/>
          <w:szCs w:val="26"/>
        </w:rPr>
      </w:pPr>
      <w:r>
        <w:rPr>
          <w:rFonts w:asciiTheme="minorHAnsi" w:hAnsiTheme="minorHAnsi" w:cstheme="minorHAnsi"/>
        </w:rPr>
        <w:br w:type="page"/>
      </w:r>
    </w:p>
    <w:p w14:paraId="440958F5" w14:textId="486EB7A9" w:rsidR="005E6933" w:rsidRPr="00563DEE" w:rsidRDefault="005E6933" w:rsidP="005E6933">
      <w:pPr>
        <w:pStyle w:val="Heading3"/>
        <w:rPr>
          <w:rFonts w:asciiTheme="minorHAnsi" w:hAnsiTheme="minorHAnsi" w:cstheme="minorHAnsi"/>
        </w:rPr>
      </w:pPr>
      <w:r w:rsidRPr="00563DEE">
        <w:rPr>
          <w:rFonts w:asciiTheme="minorHAnsi" w:hAnsiTheme="minorHAnsi" w:cstheme="minorHAnsi"/>
        </w:rPr>
        <w:lastRenderedPageBreak/>
        <w:t>Cost</w:t>
      </w:r>
    </w:p>
    <w:p w14:paraId="717E84F2" w14:textId="3CB09BEF" w:rsidR="00FE62A6" w:rsidRPr="00563DEE" w:rsidRDefault="00FE62A6" w:rsidP="00FE62A6">
      <w:pPr>
        <w:pStyle w:val="BodyText"/>
      </w:pPr>
      <w:r w:rsidRPr="00563DEE">
        <w:t xml:space="preserve">The </w:t>
      </w:r>
      <w:r>
        <w:t xml:space="preserve">proposed model </w:t>
      </w:r>
      <w:r w:rsidRPr="00563DEE">
        <w:t xml:space="preserve">aims to improve Australia’s return on investment in the research sector. </w:t>
      </w:r>
      <w:r>
        <w:t xml:space="preserve">Comparing the </w:t>
      </w:r>
      <w:r w:rsidR="00E6141A">
        <w:t xml:space="preserve">increased coverage </w:t>
      </w:r>
      <w:r w:rsidR="00976302">
        <w:t xml:space="preserve">and costs of </w:t>
      </w:r>
      <w:r w:rsidR="00E6141A">
        <w:t xml:space="preserve">the </w:t>
      </w:r>
      <w:r w:rsidR="00020689">
        <w:t xml:space="preserve">proposed </w:t>
      </w:r>
      <w:r>
        <w:t>model</w:t>
      </w:r>
      <w:r w:rsidR="00E6141A">
        <w:t xml:space="preserve"> </w:t>
      </w:r>
      <w:r w:rsidR="00870B7D">
        <w:t>against the</w:t>
      </w:r>
      <w:r w:rsidR="00B34692">
        <w:t xml:space="preserve"> cost of</w:t>
      </w:r>
      <w:r>
        <w:t xml:space="preserve"> </w:t>
      </w:r>
      <w:r w:rsidR="006C34AE">
        <w:t xml:space="preserve">historical </w:t>
      </w:r>
      <w:r w:rsidR="002D7407">
        <w:t xml:space="preserve">Australian publishing agreements </w:t>
      </w:r>
      <w:r w:rsidR="00870B7D">
        <w:t>can</w:t>
      </w:r>
      <w:r w:rsidR="002D7407">
        <w:t xml:space="preserve"> </w:t>
      </w:r>
      <w:r w:rsidR="00870B7D">
        <w:t>provide</w:t>
      </w:r>
      <w:r>
        <w:t xml:space="preserve"> a </w:t>
      </w:r>
      <w:r w:rsidR="00870B7D">
        <w:t xml:space="preserve">simple </w:t>
      </w:r>
      <w:r>
        <w:t>measure of its return on investment</w:t>
      </w:r>
      <w:r w:rsidR="001E248E">
        <w:t>.</w:t>
      </w:r>
      <w:r>
        <w:t xml:space="preserve"> </w:t>
      </w:r>
      <w:r w:rsidR="001E248E">
        <w:t>O</w:t>
      </w:r>
      <w:r>
        <w:t>ther metrics relating to the potential benefits of open access are considered in 5.</w:t>
      </w:r>
      <w:r w:rsidR="00D956C0">
        <w:t>2</w:t>
      </w:r>
      <w:r>
        <w:t xml:space="preserve">.4. Qualitative analysis of the expenditure and funding distribution may also help monitor the equity of the model. </w:t>
      </w:r>
    </w:p>
    <w:tbl>
      <w:tblPr>
        <w:tblStyle w:val="ListTable3-Accent1"/>
        <w:tblW w:w="9864" w:type="dxa"/>
        <w:tblLook w:val="04A0" w:firstRow="1" w:lastRow="0" w:firstColumn="1" w:lastColumn="0" w:noHBand="0" w:noVBand="1"/>
      </w:tblPr>
      <w:tblGrid>
        <w:gridCol w:w="2263"/>
        <w:gridCol w:w="7601"/>
      </w:tblGrid>
      <w:tr w:rsidR="005E6933" w:rsidRPr="007D35E9" w14:paraId="1E2F8B74" w14:textId="77777777" w:rsidTr="00076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502D4007" w14:textId="77777777" w:rsidR="005E6933" w:rsidRPr="004656EF" w:rsidRDefault="005E6933" w:rsidP="00C7094B">
            <w:pPr>
              <w:pStyle w:val="ColumnHeading"/>
              <w:rPr>
                <w:b/>
                <w:color w:val="auto"/>
              </w:rPr>
            </w:pPr>
            <w:r w:rsidRPr="004656EF">
              <w:rPr>
                <w:b/>
                <w:color w:val="auto"/>
              </w:rPr>
              <w:t>Measure</w:t>
            </w:r>
          </w:p>
        </w:tc>
        <w:tc>
          <w:tcPr>
            <w:tcW w:w="7601" w:type="dxa"/>
          </w:tcPr>
          <w:p w14:paraId="72FE3B22" w14:textId="77777777" w:rsidR="005E6933" w:rsidRPr="004656EF"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4656EF">
              <w:rPr>
                <w:b/>
                <w:color w:val="auto"/>
              </w:rPr>
              <w:t>Example Metrics and Description</w:t>
            </w:r>
          </w:p>
        </w:tc>
      </w:tr>
      <w:tr w:rsidR="005E6933" w:rsidRPr="007D35E9" w14:paraId="49642B18"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059D9C" w14:textId="77777777" w:rsidR="005E6933" w:rsidRPr="007D35E9" w:rsidRDefault="005E6933" w:rsidP="00054830">
            <w:pPr>
              <w:pStyle w:val="RowHeading"/>
              <w:rPr>
                <w:b/>
              </w:rPr>
            </w:pPr>
            <w:r>
              <w:rPr>
                <w:b/>
              </w:rPr>
              <w:t>Expenditure on agreements</w:t>
            </w:r>
          </w:p>
        </w:tc>
        <w:tc>
          <w:tcPr>
            <w:tcW w:w="7601" w:type="dxa"/>
          </w:tcPr>
          <w:p w14:paraId="6F7C338C" w14:textId="77777777" w:rsidR="005E6933" w:rsidRPr="00D24D7D" w:rsidRDefault="005E6933" w:rsidP="00054830">
            <w:pPr>
              <w:pStyle w:val="TableText"/>
              <w:cnfStyle w:val="000000100000" w:firstRow="0" w:lastRow="0" w:firstColumn="0" w:lastColumn="0" w:oddVBand="0" w:evenVBand="0" w:oddHBand="1" w:evenHBand="0" w:firstRowFirstColumn="0" w:firstRowLastColumn="0" w:lastRowFirstColumn="0" w:lastRowLastColumn="0"/>
              <w:rPr>
                <w:b/>
              </w:rPr>
            </w:pPr>
            <w:r w:rsidRPr="00D24D7D">
              <w:rPr>
                <w:b/>
              </w:rPr>
              <w:t>Total expenditure on read-and-publish agreements</w:t>
            </w:r>
          </w:p>
          <w:p w14:paraId="6B022752" w14:textId="41045D06" w:rsidR="00284508" w:rsidRDefault="00F36E49" w:rsidP="00DA55BE">
            <w:pPr>
              <w:pStyle w:val="TableText"/>
              <w:cnfStyle w:val="000000100000" w:firstRow="0" w:lastRow="0" w:firstColumn="0" w:lastColumn="0" w:oddVBand="0" w:evenVBand="0" w:oddHBand="1" w:evenHBand="0" w:firstRowFirstColumn="0" w:firstRowLastColumn="0" w:lastRowFirstColumn="0" w:lastRowLastColumn="0"/>
            </w:pPr>
            <w:r>
              <w:t xml:space="preserve">Tracking </w:t>
            </w:r>
            <w:r w:rsidR="005E6933">
              <w:t xml:space="preserve">total expenditure </w:t>
            </w:r>
            <w:r w:rsidR="0048000C">
              <w:t xml:space="preserve">on read-and-publish agreements </w:t>
            </w:r>
            <w:r>
              <w:t xml:space="preserve">will </w:t>
            </w:r>
            <w:r w:rsidR="000D7EBE">
              <w:t xml:space="preserve">be important to </w:t>
            </w:r>
            <w:r w:rsidR="00673D1E">
              <w:t xml:space="preserve">contextualise the coverage (and benefits) they provide. </w:t>
            </w:r>
          </w:p>
          <w:p w14:paraId="0AD285D0" w14:textId="6A2EA6F4" w:rsidR="006C234E" w:rsidRPr="007D35E9" w:rsidRDefault="00673D1E" w:rsidP="00DA55BE">
            <w:pPr>
              <w:pStyle w:val="TableText"/>
              <w:cnfStyle w:val="000000100000" w:firstRow="0" w:lastRow="0" w:firstColumn="0" w:lastColumn="0" w:oddVBand="0" w:evenVBand="0" w:oddHBand="1" w:evenHBand="0" w:firstRowFirstColumn="0" w:firstRowLastColumn="0" w:lastRowFirstColumn="0" w:lastRowLastColumn="0"/>
            </w:pPr>
            <w:r>
              <w:t>Tracking</w:t>
            </w:r>
            <w:r w:rsidR="00284508">
              <w:t xml:space="preserve"> </w:t>
            </w:r>
            <w:r>
              <w:t xml:space="preserve">related </w:t>
            </w:r>
            <w:r w:rsidR="0048000C">
              <w:t xml:space="preserve">expenses that occur outside the agreement will also be important to understanding </w:t>
            </w:r>
            <w:r w:rsidR="005E6933">
              <w:t>the impact of the</w:t>
            </w:r>
            <w:r w:rsidR="005E6933" w:rsidRPr="007D35E9">
              <w:t xml:space="preserve"> </w:t>
            </w:r>
            <w:r w:rsidR="005E6933">
              <w:t>proposed model’s implementation on the overall cost of academic subscriptions and publishing for Australian stakeholders</w:t>
            </w:r>
            <w:r w:rsidR="005E6933" w:rsidRPr="007D35E9">
              <w:t>.</w:t>
            </w:r>
            <w:r>
              <w:t xml:space="preserve"> </w:t>
            </w:r>
          </w:p>
        </w:tc>
      </w:tr>
      <w:tr w:rsidR="005E6933" w:rsidRPr="007D35E9" w14:paraId="1B3C0683" w14:textId="77777777" w:rsidTr="00076358">
        <w:tc>
          <w:tcPr>
            <w:cnfStyle w:val="001000000000" w:firstRow="0" w:lastRow="0" w:firstColumn="1" w:lastColumn="0" w:oddVBand="0" w:evenVBand="0" w:oddHBand="0" w:evenHBand="0" w:firstRowFirstColumn="0" w:firstRowLastColumn="0" w:lastRowFirstColumn="0" w:lastRowLastColumn="0"/>
            <w:tcW w:w="2263" w:type="dxa"/>
          </w:tcPr>
          <w:p w14:paraId="22D609D8" w14:textId="088E2B2F" w:rsidR="005E6933" w:rsidRPr="007D35E9" w:rsidRDefault="00B74425" w:rsidP="00054830">
            <w:pPr>
              <w:pStyle w:val="RowHeading"/>
              <w:rPr>
                <w:b/>
              </w:rPr>
            </w:pPr>
            <w:r>
              <w:rPr>
                <w:b/>
              </w:rPr>
              <w:t>Payment</w:t>
            </w:r>
            <w:r w:rsidRPr="007D35E9">
              <w:rPr>
                <w:b/>
              </w:rPr>
              <w:t xml:space="preserve"> </w:t>
            </w:r>
            <w:r w:rsidR="005E6933" w:rsidRPr="007D35E9">
              <w:rPr>
                <w:b/>
              </w:rPr>
              <w:t>distribution</w:t>
            </w:r>
          </w:p>
        </w:tc>
        <w:tc>
          <w:tcPr>
            <w:tcW w:w="7601" w:type="dxa"/>
          </w:tcPr>
          <w:p w14:paraId="084459F2" w14:textId="377C9AAD" w:rsidR="005E6933" w:rsidRPr="00D24D7D" w:rsidRDefault="005E6933" w:rsidP="00054830">
            <w:pPr>
              <w:pStyle w:val="TableText"/>
              <w:cnfStyle w:val="000000000000" w:firstRow="0" w:lastRow="0" w:firstColumn="0" w:lastColumn="0" w:oddVBand="0" w:evenVBand="0" w:oddHBand="0" w:evenHBand="0" w:firstRowFirstColumn="0" w:firstRowLastColumn="0" w:lastRowFirstColumn="0" w:lastRowLastColumn="0"/>
              <w:rPr>
                <w:b/>
              </w:rPr>
            </w:pPr>
            <w:r w:rsidRPr="00D24D7D">
              <w:rPr>
                <w:b/>
              </w:rPr>
              <w:t xml:space="preserve">Distribution of </w:t>
            </w:r>
            <w:r w:rsidR="00B74425">
              <w:rPr>
                <w:b/>
              </w:rPr>
              <w:t>payments</w:t>
            </w:r>
            <w:r w:rsidR="00B74425" w:rsidRPr="00D24D7D">
              <w:rPr>
                <w:b/>
              </w:rPr>
              <w:t xml:space="preserve"> </w:t>
            </w:r>
            <w:r w:rsidRPr="00D24D7D">
              <w:rPr>
                <w:b/>
              </w:rPr>
              <w:t>to publishers</w:t>
            </w:r>
          </w:p>
          <w:p w14:paraId="413B4E6A" w14:textId="07F919A3"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rsidRPr="007D35E9">
              <w:t xml:space="preserve">Tracking the </w:t>
            </w:r>
            <w:r w:rsidR="00B74425">
              <w:t>value of payments</w:t>
            </w:r>
            <w:r w:rsidRPr="007D35E9">
              <w:t xml:space="preserve"> distributed amongst publishers under the </w:t>
            </w:r>
            <w:r>
              <w:t>proposed model could</w:t>
            </w:r>
            <w:r w:rsidRPr="007D35E9">
              <w:t xml:space="preserve"> be useful for demonstrating where funding is being concentrated, who is receiving the greatest benefit, and how much of the funding is being directed to publishers outside of Australia.</w:t>
            </w:r>
          </w:p>
        </w:tc>
      </w:tr>
      <w:tr w:rsidR="005E6933" w:rsidRPr="007D35E9" w14:paraId="401C2C35"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D2866F" w14:textId="77777777" w:rsidR="005E6933" w:rsidRPr="007D35E9" w:rsidRDefault="005E6933" w:rsidP="00054830">
            <w:pPr>
              <w:pStyle w:val="RowHeading"/>
              <w:rPr>
                <w:b/>
              </w:rPr>
            </w:pPr>
            <w:r>
              <w:rPr>
                <w:b/>
              </w:rPr>
              <w:t>Funding distribution</w:t>
            </w:r>
          </w:p>
        </w:tc>
        <w:tc>
          <w:tcPr>
            <w:tcW w:w="7601" w:type="dxa"/>
          </w:tcPr>
          <w:p w14:paraId="6F7C4F06" w14:textId="77777777" w:rsidR="005E6933" w:rsidRPr="00D24D7D" w:rsidRDefault="005E6933" w:rsidP="00054830">
            <w:pPr>
              <w:pStyle w:val="TableText"/>
              <w:cnfStyle w:val="000000100000" w:firstRow="0" w:lastRow="0" w:firstColumn="0" w:lastColumn="0" w:oddVBand="0" w:evenVBand="0" w:oddHBand="1" w:evenHBand="0" w:firstRowFirstColumn="0" w:firstRowLastColumn="0" w:lastRowFirstColumn="0" w:lastRowLastColumn="0"/>
              <w:rPr>
                <w:b/>
              </w:rPr>
            </w:pPr>
            <w:r w:rsidRPr="00D24D7D">
              <w:rPr>
                <w:b/>
              </w:rPr>
              <w:t xml:space="preserve">Distribution of </w:t>
            </w:r>
            <w:r w:rsidR="00B74425">
              <w:rPr>
                <w:b/>
              </w:rPr>
              <w:t xml:space="preserve">funding </w:t>
            </w:r>
            <w:r w:rsidRPr="00D24D7D">
              <w:rPr>
                <w:b/>
              </w:rPr>
              <w:t xml:space="preserve">contributions from stakeholders </w:t>
            </w:r>
          </w:p>
          <w:p w14:paraId="0EF09F4E" w14:textId="77777777" w:rsidR="005E6933" w:rsidRPr="00960042" w:rsidRDefault="005E6933" w:rsidP="00054830">
            <w:pPr>
              <w:pStyle w:val="TableText"/>
              <w:cnfStyle w:val="000000100000" w:firstRow="0" w:lastRow="0" w:firstColumn="0" w:lastColumn="0" w:oddVBand="0" w:evenVBand="0" w:oddHBand="1" w:evenHBand="0" w:firstRowFirstColumn="0" w:firstRowLastColumn="0" w:lastRowFirstColumn="0" w:lastRowLastColumn="0"/>
              <w:rPr>
                <w:b/>
                <w:bCs/>
              </w:rPr>
            </w:pPr>
            <w:r w:rsidRPr="007D35E9">
              <w:t xml:space="preserve">Tracking the </w:t>
            </w:r>
            <w:r>
              <w:t>funding contributions</w:t>
            </w:r>
            <w:r w:rsidRPr="007D35E9">
              <w:t xml:space="preserve"> from </w:t>
            </w:r>
            <w:r>
              <w:t>stakeholders</w:t>
            </w:r>
            <w:r w:rsidRPr="007D35E9">
              <w:t xml:space="preserve"> </w:t>
            </w:r>
            <w:r>
              <w:t xml:space="preserve">could </w:t>
            </w:r>
            <w:r w:rsidRPr="007D35E9">
              <w:t>be important to determine which institut</w:t>
            </w:r>
            <w:r>
              <w:t>ions</w:t>
            </w:r>
            <w:r w:rsidRPr="007D35E9">
              <w:t xml:space="preserve"> are bearing </w:t>
            </w:r>
            <w:r>
              <w:t>a</w:t>
            </w:r>
            <w:r w:rsidRPr="007D35E9">
              <w:t xml:space="preserve"> greater or lesser proportion of the costs.</w:t>
            </w:r>
          </w:p>
        </w:tc>
      </w:tr>
    </w:tbl>
    <w:p w14:paraId="13D8C1ED" w14:textId="5891CB54" w:rsidR="005E6933" w:rsidRPr="00563DEE" w:rsidRDefault="005E6933" w:rsidP="005E6933">
      <w:pPr>
        <w:pStyle w:val="Heading3"/>
        <w:rPr>
          <w:rFonts w:asciiTheme="minorHAnsi" w:hAnsiTheme="minorHAnsi" w:cstheme="minorHAnsi"/>
        </w:rPr>
      </w:pPr>
      <w:r w:rsidRPr="00563DEE">
        <w:rPr>
          <w:rFonts w:asciiTheme="minorHAnsi" w:hAnsiTheme="minorHAnsi" w:cstheme="minorHAnsi"/>
        </w:rPr>
        <w:t xml:space="preserve">Research and innovation </w:t>
      </w:r>
    </w:p>
    <w:p w14:paraId="7D945E50" w14:textId="77777777" w:rsidR="005E6933" w:rsidRPr="00563DEE" w:rsidRDefault="005E6933" w:rsidP="00A47B69">
      <w:pPr>
        <w:pStyle w:val="BodyText"/>
      </w:pPr>
      <w:r w:rsidRPr="00563DEE">
        <w:t xml:space="preserve">The </w:t>
      </w:r>
      <w:r>
        <w:t>proposed model</w:t>
      </w:r>
      <w:r w:rsidRPr="00563DEE">
        <w:t xml:space="preserve"> seeks to maintain Australia’s global position in science, research, and innovation. Measuring improved outcomes from research and the connection between research and innovation will be important to demonstrate the achievement of this goal. It </w:t>
      </w:r>
      <w:r>
        <w:t>may</w:t>
      </w:r>
      <w:r w:rsidRPr="00563DEE">
        <w:t xml:space="preserve"> also be important to monitor other measures of Australia’s research performance</w:t>
      </w:r>
      <w:r>
        <w:t>,</w:t>
      </w:r>
      <w:r w:rsidRPr="00563DEE">
        <w:t xml:space="preserve"> such as publication rates</w:t>
      </w:r>
      <w:r>
        <w:t>,</w:t>
      </w:r>
      <w:r w:rsidRPr="00563DEE">
        <w:t xml:space="preserve"> to ensure there are no unforeseen negative impacts on Australian research.  </w:t>
      </w:r>
    </w:p>
    <w:tbl>
      <w:tblPr>
        <w:tblStyle w:val="ListTable3-Accent1"/>
        <w:tblW w:w="9864" w:type="dxa"/>
        <w:tblLook w:val="04A0" w:firstRow="1" w:lastRow="0" w:firstColumn="1" w:lastColumn="0" w:noHBand="0" w:noVBand="1"/>
      </w:tblPr>
      <w:tblGrid>
        <w:gridCol w:w="2263"/>
        <w:gridCol w:w="7601"/>
      </w:tblGrid>
      <w:tr w:rsidR="005E6933" w:rsidRPr="007D35E9" w14:paraId="720F74D4" w14:textId="77777777" w:rsidTr="00076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3FF30C43" w14:textId="77777777" w:rsidR="005E6933" w:rsidRPr="004656EF" w:rsidRDefault="005E6933" w:rsidP="00C7094B">
            <w:pPr>
              <w:pStyle w:val="ColumnHeading"/>
              <w:rPr>
                <w:b/>
                <w:color w:val="auto"/>
              </w:rPr>
            </w:pPr>
            <w:r w:rsidRPr="004656EF">
              <w:rPr>
                <w:b/>
                <w:color w:val="auto"/>
              </w:rPr>
              <w:t>Measure</w:t>
            </w:r>
          </w:p>
        </w:tc>
        <w:tc>
          <w:tcPr>
            <w:tcW w:w="7601" w:type="dxa"/>
          </w:tcPr>
          <w:p w14:paraId="6A2A4113" w14:textId="77777777" w:rsidR="005E6933" w:rsidRPr="004656EF"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4656EF">
              <w:rPr>
                <w:b/>
                <w:color w:val="auto"/>
              </w:rPr>
              <w:t>Example Metrics and Description</w:t>
            </w:r>
          </w:p>
        </w:tc>
      </w:tr>
      <w:tr w:rsidR="005E6933" w:rsidRPr="007D35E9" w14:paraId="4DF0B45C"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01DDAE" w14:textId="00F016E0" w:rsidR="005E6933" w:rsidRPr="007D35E9" w:rsidRDefault="00FA1C8F" w:rsidP="00054830">
            <w:pPr>
              <w:pStyle w:val="RowHeading"/>
              <w:rPr>
                <w:b/>
              </w:rPr>
            </w:pPr>
            <w:r w:rsidRPr="007D35E9">
              <w:rPr>
                <w:b/>
              </w:rPr>
              <w:t xml:space="preserve"> </w:t>
            </w:r>
            <w:r>
              <w:rPr>
                <w:b/>
              </w:rPr>
              <w:t>C</w:t>
            </w:r>
            <w:r w:rsidR="005E6933" w:rsidRPr="007D35E9">
              <w:rPr>
                <w:b/>
              </w:rPr>
              <w:t>itation impact</w:t>
            </w:r>
          </w:p>
        </w:tc>
        <w:tc>
          <w:tcPr>
            <w:tcW w:w="7601" w:type="dxa"/>
          </w:tcPr>
          <w:p w14:paraId="20A22F02" w14:textId="0643D116" w:rsidR="005E6933" w:rsidRPr="00D24D7D" w:rsidRDefault="005E6933" w:rsidP="00054830">
            <w:pPr>
              <w:pStyle w:val="TableText"/>
              <w:cnfStyle w:val="000000100000" w:firstRow="0" w:lastRow="0" w:firstColumn="0" w:lastColumn="0" w:oddVBand="0" w:evenVBand="0" w:oddHBand="1" w:evenHBand="0" w:firstRowFirstColumn="0" w:firstRowLastColumn="0" w:lastRowFirstColumn="0" w:lastRowLastColumn="0"/>
              <w:rPr>
                <w:b/>
              </w:rPr>
            </w:pPr>
            <w:r w:rsidRPr="00D24D7D">
              <w:rPr>
                <w:b/>
              </w:rPr>
              <w:t>Citations of articles by discipline and sector</w:t>
            </w:r>
          </w:p>
          <w:p w14:paraId="08F22E8E"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7D35E9">
              <w:t xml:space="preserve">Increased accessibility of Australian research may result in increased rates of citation. Measuring the citation rates for Australian research globally could demonstrate the </w:t>
            </w:r>
            <w:r w:rsidRPr="008C50BD">
              <w:t>in</w:t>
            </w:r>
            <w:r w:rsidRPr="00D874D1">
              <w:t xml:space="preserve">creased </w:t>
            </w:r>
            <w:r w:rsidRPr="00D874D1">
              <w:rPr>
                <w:szCs w:val="24"/>
              </w:rPr>
              <w:t xml:space="preserve">use </w:t>
            </w:r>
            <w:r w:rsidRPr="007D35E9">
              <w:t>of Australian research</w:t>
            </w:r>
            <w:r>
              <w:t>. Further analysis should be conducted to understand the most appropriate citation metric(s) to measure. For example, normalised citation impact, citation rates by sector (</w:t>
            </w:r>
            <w:r w:rsidRPr="007D35E9">
              <w:t>academia, industry, government</w:t>
            </w:r>
            <w:r>
              <w:t>, etc.</w:t>
            </w:r>
            <w:r w:rsidRPr="007D35E9">
              <w:t>)</w:t>
            </w:r>
            <w:r>
              <w:t xml:space="preserve"> or the timeliness of citations</w:t>
            </w:r>
            <w:r w:rsidRPr="007D35E9">
              <w:t>.</w:t>
            </w:r>
          </w:p>
        </w:tc>
      </w:tr>
      <w:tr w:rsidR="005E6933" w:rsidRPr="007D35E9" w14:paraId="66B750FE" w14:textId="77777777" w:rsidTr="00076358">
        <w:tc>
          <w:tcPr>
            <w:cnfStyle w:val="001000000000" w:firstRow="0" w:lastRow="0" w:firstColumn="1" w:lastColumn="0" w:oddVBand="0" w:evenVBand="0" w:oddHBand="0" w:evenHBand="0" w:firstRowFirstColumn="0" w:firstRowLastColumn="0" w:lastRowFirstColumn="0" w:lastRowLastColumn="0"/>
            <w:tcW w:w="2263" w:type="dxa"/>
          </w:tcPr>
          <w:p w14:paraId="2643FECC" w14:textId="77777777" w:rsidR="005E6933" w:rsidRPr="007D35E9" w:rsidRDefault="005E6933" w:rsidP="00054830">
            <w:pPr>
              <w:pStyle w:val="RowHeading"/>
              <w:rPr>
                <w:b/>
              </w:rPr>
            </w:pPr>
            <w:r>
              <w:rPr>
                <w:b/>
              </w:rPr>
              <w:t>Research c</w:t>
            </w:r>
            <w:r w:rsidRPr="007D35E9">
              <w:rPr>
                <w:b/>
              </w:rPr>
              <w:t xml:space="preserve">ollaboration </w:t>
            </w:r>
          </w:p>
        </w:tc>
        <w:tc>
          <w:tcPr>
            <w:tcW w:w="7601" w:type="dxa"/>
          </w:tcPr>
          <w:p w14:paraId="199295A1" w14:textId="2AE20732" w:rsidR="005E6933" w:rsidRPr="00D24D7D" w:rsidRDefault="00FA1C8F" w:rsidP="00054830">
            <w:pPr>
              <w:pStyle w:val="TableText"/>
              <w:cnfStyle w:val="000000000000" w:firstRow="0" w:lastRow="0" w:firstColumn="0" w:lastColumn="0" w:oddVBand="0" w:evenVBand="0" w:oddHBand="0" w:evenHBand="0" w:firstRowFirstColumn="0" w:firstRowLastColumn="0" w:lastRowFirstColumn="0" w:lastRowLastColumn="0"/>
              <w:rPr>
                <w:b/>
              </w:rPr>
            </w:pPr>
            <w:r>
              <w:rPr>
                <w:b/>
              </w:rPr>
              <w:t>C</w:t>
            </w:r>
            <w:r w:rsidRPr="00D24D7D">
              <w:rPr>
                <w:b/>
              </w:rPr>
              <w:t xml:space="preserve">ollaboration rates </w:t>
            </w:r>
            <w:r>
              <w:rPr>
                <w:b/>
              </w:rPr>
              <w:t>for d</w:t>
            </w:r>
            <w:r w:rsidR="005E6933" w:rsidRPr="00D24D7D">
              <w:rPr>
                <w:b/>
              </w:rPr>
              <w:t xml:space="preserve">omestic and international research </w:t>
            </w:r>
          </w:p>
          <w:p w14:paraId="2782F9D6" w14:textId="42A65970"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t xml:space="preserve">Research collaborations and their </w:t>
            </w:r>
            <w:r w:rsidR="00BB61B7">
              <w:t>impacts</w:t>
            </w:r>
            <w:r>
              <w:t xml:space="preserve"> are difficult to measure. However, it would be valuable to monitor co-publication rates to see if the proposed model has any impact on them. This may </w:t>
            </w:r>
            <w:r w:rsidR="00FA1C8F">
              <w:t>demonstrate</w:t>
            </w:r>
            <w:r>
              <w:t xml:space="preserve"> how Australian research expertise and investments are being leveraged</w:t>
            </w:r>
            <w:r w:rsidR="00FA1C8F">
              <w:t>,</w:t>
            </w:r>
            <w:r>
              <w:t xml:space="preserve"> and the potential role that open access plays in supporting collaboration. </w:t>
            </w:r>
          </w:p>
        </w:tc>
      </w:tr>
    </w:tbl>
    <w:p w14:paraId="5F24732F" w14:textId="77777777" w:rsidR="00FD700E" w:rsidRDefault="00FD700E" w:rsidP="00FD700E">
      <w:pPr>
        <w:pStyle w:val="BodyText"/>
      </w:pPr>
      <w:bookmarkStart w:id="77" w:name="_Ref86400162"/>
    </w:p>
    <w:p w14:paraId="21AB20B4" w14:textId="240E9986" w:rsidR="005E6933" w:rsidRPr="00563DEE" w:rsidRDefault="005E6933" w:rsidP="005E6933">
      <w:pPr>
        <w:pStyle w:val="Heading3"/>
        <w:rPr>
          <w:rFonts w:asciiTheme="minorHAnsi" w:hAnsiTheme="minorHAnsi" w:cstheme="minorHAnsi"/>
        </w:rPr>
      </w:pPr>
      <w:bookmarkStart w:id="78" w:name="_Ref86412321"/>
      <w:r w:rsidRPr="00563DEE">
        <w:rPr>
          <w:rFonts w:asciiTheme="minorHAnsi" w:hAnsiTheme="minorHAnsi" w:cstheme="minorHAnsi"/>
        </w:rPr>
        <w:lastRenderedPageBreak/>
        <w:t>Usage</w:t>
      </w:r>
      <w:r>
        <w:rPr>
          <w:rFonts w:asciiTheme="minorHAnsi" w:hAnsiTheme="minorHAnsi" w:cstheme="minorHAnsi"/>
        </w:rPr>
        <w:t xml:space="preserve"> and impact</w:t>
      </w:r>
      <w:bookmarkEnd w:id="77"/>
      <w:bookmarkEnd w:id="78"/>
    </w:p>
    <w:p w14:paraId="3D12599B" w14:textId="77777777" w:rsidR="005E6933" w:rsidRPr="00563DEE" w:rsidRDefault="005E6933" w:rsidP="00A47B69">
      <w:pPr>
        <w:pStyle w:val="BodyText"/>
      </w:pPr>
      <w:r w:rsidRPr="00563DEE">
        <w:t>The</w:t>
      </w:r>
      <w:r>
        <w:t xml:space="preserve"> proposed model</w:t>
      </w:r>
      <w:r w:rsidRPr="00563DEE">
        <w:t xml:space="preserve"> aims to increase industry and government access to leverage science and research investment to support economic recovery and growth.</w:t>
      </w:r>
    </w:p>
    <w:tbl>
      <w:tblPr>
        <w:tblStyle w:val="ListTable3-Accent1"/>
        <w:tblW w:w="9864" w:type="dxa"/>
        <w:tblLook w:val="04A0" w:firstRow="1" w:lastRow="0" w:firstColumn="1" w:lastColumn="0" w:noHBand="0" w:noVBand="1"/>
      </w:tblPr>
      <w:tblGrid>
        <w:gridCol w:w="2263"/>
        <w:gridCol w:w="7601"/>
      </w:tblGrid>
      <w:tr w:rsidR="005E6933" w:rsidRPr="007D35E9" w14:paraId="473D6E68" w14:textId="77777777" w:rsidTr="00076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04045C57" w14:textId="77777777" w:rsidR="005E6933" w:rsidRPr="00C45E21" w:rsidRDefault="005E6933" w:rsidP="00C7094B">
            <w:pPr>
              <w:pStyle w:val="ColumnHeading"/>
              <w:rPr>
                <w:b/>
                <w:color w:val="auto"/>
              </w:rPr>
            </w:pPr>
            <w:r w:rsidRPr="00C45E21">
              <w:rPr>
                <w:b/>
                <w:color w:val="auto"/>
              </w:rPr>
              <w:t>Measure</w:t>
            </w:r>
          </w:p>
        </w:tc>
        <w:tc>
          <w:tcPr>
            <w:tcW w:w="7601" w:type="dxa"/>
          </w:tcPr>
          <w:p w14:paraId="36571E98"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Example Metrics and Description</w:t>
            </w:r>
          </w:p>
        </w:tc>
      </w:tr>
      <w:tr w:rsidR="005E6933" w:rsidRPr="007D35E9" w14:paraId="5791D28B" w14:textId="77777777" w:rsidTr="00076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C166AC" w14:textId="77777777" w:rsidR="005E6933" w:rsidRPr="007D35E9" w:rsidRDefault="005E6933" w:rsidP="00054830">
            <w:pPr>
              <w:pStyle w:val="RowHeading"/>
              <w:rPr>
                <w:b/>
              </w:rPr>
            </w:pPr>
            <w:r w:rsidRPr="007D35E9">
              <w:rPr>
                <w:b/>
              </w:rPr>
              <w:t>System users</w:t>
            </w:r>
          </w:p>
        </w:tc>
        <w:tc>
          <w:tcPr>
            <w:tcW w:w="7601" w:type="dxa"/>
          </w:tcPr>
          <w:p w14:paraId="088C94A0" w14:textId="77777777" w:rsidR="005E6933" w:rsidRPr="00D24D7D" w:rsidRDefault="005E6933" w:rsidP="00054830">
            <w:pPr>
              <w:pStyle w:val="TableText"/>
              <w:cnfStyle w:val="000000100000" w:firstRow="0" w:lastRow="0" w:firstColumn="0" w:lastColumn="0" w:oddVBand="0" w:evenVBand="0" w:oddHBand="1" w:evenHBand="0" w:firstRowFirstColumn="0" w:firstRowLastColumn="0" w:lastRowFirstColumn="0" w:lastRowLastColumn="0"/>
              <w:rPr>
                <w:b/>
              </w:rPr>
            </w:pPr>
            <w:r w:rsidRPr="00D24D7D">
              <w:rPr>
                <w:b/>
              </w:rPr>
              <w:t>Number of registered/active users from industry/government/public</w:t>
            </w:r>
          </w:p>
          <w:p w14:paraId="142E8430" w14:textId="094910B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7D35E9">
              <w:t xml:space="preserve">Data related to the number and activity of different user types accessing journal articles </w:t>
            </w:r>
            <w:r w:rsidR="00FA1C8F">
              <w:t>covered by the model</w:t>
            </w:r>
            <w:r w:rsidRPr="007D35E9">
              <w:t xml:space="preserve"> </w:t>
            </w:r>
            <w:r>
              <w:t xml:space="preserve">could be </w:t>
            </w:r>
            <w:r w:rsidRPr="007D35E9">
              <w:t xml:space="preserve">an important measure of the </w:t>
            </w:r>
            <w:r>
              <w:t xml:space="preserve">proposed </w:t>
            </w:r>
            <w:r w:rsidRPr="007D35E9">
              <w:t>model’s success. This data could be provided by publishers as part of agreement</w:t>
            </w:r>
            <w:r>
              <w:t>s</w:t>
            </w:r>
            <w:r w:rsidRPr="007D35E9">
              <w:t xml:space="preserve">, or it could be tracked through </w:t>
            </w:r>
            <w:r>
              <w:t xml:space="preserve">a </w:t>
            </w:r>
            <w:r w:rsidRPr="007D35E9">
              <w:t>digital platform.</w:t>
            </w:r>
          </w:p>
        </w:tc>
      </w:tr>
      <w:tr w:rsidR="005E6933" w:rsidRPr="007D35E9" w14:paraId="1B850960" w14:textId="77777777" w:rsidTr="00076358">
        <w:tc>
          <w:tcPr>
            <w:cnfStyle w:val="001000000000" w:firstRow="0" w:lastRow="0" w:firstColumn="1" w:lastColumn="0" w:oddVBand="0" w:evenVBand="0" w:oddHBand="0" w:evenHBand="0" w:firstRowFirstColumn="0" w:firstRowLastColumn="0" w:lastRowFirstColumn="0" w:lastRowLastColumn="0"/>
            <w:tcW w:w="2263" w:type="dxa"/>
          </w:tcPr>
          <w:p w14:paraId="104705AD" w14:textId="77777777" w:rsidR="005E6933" w:rsidRPr="007D35E9" w:rsidRDefault="005E6933" w:rsidP="00054830">
            <w:pPr>
              <w:pStyle w:val="RowHeading"/>
              <w:rPr>
                <w:b/>
              </w:rPr>
            </w:pPr>
            <w:r w:rsidRPr="007D35E9">
              <w:rPr>
                <w:b/>
              </w:rPr>
              <w:t>Access rates</w:t>
            </w:r>
          </w:p>
        </w:tc>
        <w:tc>
          <w:tcPr>
            <w:tcW w:w="7601" w:type="dxa"/>
          </w:tcPr>
          <w:p w14:paraId="0FB175E6" w14:textId="77777777" w:rsidR="005E6933" w:rsidRPr="00D24D7D" w:rsidRDefault="005E6933" w:rsidP="00054830">
            <w:pPr>
              <w:pStyle w:val="TableText"/>
              <w:cnfStyle w:val="000000000000" w:firstRow="0" w:lastRow="0" w:firstColumn="0" w:lastColumn="0" w:oddVBand="0" w:evenVBand="0" w:oddHBand="0" w:evenHBand="0" w:firstRowFirstColumn="0" w:firstRowLastColumn="0" w:lastRowFirstColumn="0" w:lastRowLastColumn="0"/>
              <w:rPr>
                <w:b/>
              </w:rPr>
            </w:pPr>
            <w:r w:rsidRPr="00D24D7D">
              <w:rPr>
                <w:b/>
              </w:rPr>
              <w:t xml:space="preserve">Number and frequency of access instances per user </w:t>
            </w:r>
          </w:p>
          <w:p w14:paraId="2604A6F0" w14:textId="15DCE621"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rsidRPr="007D35E9">
              <w:t>Rates of access to journal articles could act as an indicator for the value that the proposed model provides</w:t>
            </w:r>
            <w:r>
              <w:t xml:space="preserve"> across different types of users</w:t>
            </w:r>
            <w:r w:rsidRPr="007D35E9">
              <w:t xml:space="preserve">. </w:t>
            </w:r>
            <w:r>
              <w:t xml:space="preserve"> Users could be segmented by group – such as government, industry, research and public – to determine which groups are drawing most value from the system. Access rates are</w:t>
            </w:r>
            <w:r w:rsidRPr="007D35E9">
              <w:t xml:space="preserve"> already used by publishers to track both successful and unsuccessful attempts at accessing articles. This data could be provided by publishers as part of agreement</w:t>
            </w:r>
            <w:r w:rsidR="0026480C">
              <w:t>s</w:t>
            </w:r>
            <w:r w:rsidRPr="007D35E9">
              <w:t xml:space="preserve"> or tracked through </w:t>
            </w:r>
            <w:r w:rsidR="008E7933">
              <w:t>a</w:t>
            </w:r>
            <w:r w:rsidRPr="007D35E9">
              <w:t xml:space="preserve"> digital platform.</w:t>
            </w:r>
          </w:p>
        </w:tc>
      </w:tr>
    </w:tbl>
    <w:p w14:paraId="4DAE9174" w14:textId="24BE7461" w:rsidR="006F04F7" w:rsidRDefault="005E6933" w:rsidP="00AF06BF">
      <w:pPr>
        <w:pStyle w:val="BodyText"/>
      </w:pPr>
      <w:r>
        <w:rPr>
          <w:bCs/>
        </w:rPr>
        <w:t xml:space="preserve">Usage metrics alone cannot be used to monitor the full impact of the proposed model. However, </w:t>
      </w:r>
      <w:r>
        <w:t xml:space="preserve">it is very difficult to </w:t>
      </w:r>
      <w:r w:rsidRPr="00563DEE">
        <w:t>substantiat</w:t>
      </w:r>
      <w:r>
        <w:t>e</w:t>
      </w:r>
      <w:r w:rsidRPr="00563DEE">
        <w:t xml:space="preserve"> </w:t>
      </w:r>
      <w:r w:rsidRPr="00563DEE" w:rsidDel="00AF3B38">
        <w:t>connection</w:t>
      </w:r>
      <w:r w:rsidR="00206DED">
        <w:t>s</w:t>
      </w:r>
      <w:r w:rsidRPr="00563DEE">
        <w:t xml:space="preserve"> between </w:t>
      </w:r>
      <w:r>
        <w:t>open access</w:t>
      </w:r>
      <w:r w:rsidRPr="00563DEE">
        <w:t xml:space="preserve"> implementation and </w:t>
      </w:r>
      <w:r>
        <w:t xml:space="preserve">its potential </w:t>
      </w:r>
      <w:r w:rsidRPr="00563DEE">
        <w:t>broader impacts</w:t>
      </w:r>
      <w:r>
        <w:t xml:space="preserve"> and further analysis will be required to determine suitable metrics.</w:t>
      </w:r>
      <w:r w:rsidR="006F04F7">
        <w:t xml:space="preserve"> Another approach could be to use case studies to help demonstrate value. Future analysis could consider s</w:t>
      </w:r>
      <w:r w:rsidR="006F04F7" w:rsidRPr="00761A47">
        <w:t xml:space="preserve">urveying users and collecting testimonials to </w:t>
      </w:r>
      <w:r w:rsidR="006F04F7">
        <w:t xml:space="preserve">help </w:t>
      </w:r>
      <w:r w:rsidR="006F04F7" w:rsidRPr="00761A47">
        <w:t xml:space="preserve">understand how stakeholders have benefitted from using </w:t>
      </w:r>
      <w:r w:rsidR="006F04F7">
        <w:t xml:space="preserve">open access </w:t>
      </w:r>
      <w:r w:rsidR="006F04F7" w:rsidRPr="00761A47">
        <w:t>to solve problems and innovate</w:t>
      </w:r>
      <w:r w:rsidR="006F04F7">
        <w:t>.</w:t>
      </w:r>
      <w:r w:rsidR="006F04F7" w:rsidRPr="00761A47">
        <w:t xml:space="preserve"> </w:t>
      </w:r>
    </w:p>
    <w:p w14:paraId="4DA7CC5C" w14:textId="093F3CE4" w:rsidR="00AF3B38" w:rsidRDefault="00AF06BF" w:rsidP="00A47B69">
      <w:pPr>
        <w:pStyle w:val="BodyText"/>
        <w:rPr>
          <w:bCs/>
        </w:rPr>
      </w:pPr>
      <w:r>
        <w:t>I</w:t>
      </w:r>
      <w:r w:rsidR="005E6933">
        <w:t>t</w:t>
      </w:r>
      <w:r w:rsidR="005E6933" w:rsidDel="00AF06BF">
        <w:t xml:space="preserve"> </w:t>
      </w:r>
      <w:r>
        <w:t xml:space="preserve">may also </w:t>
      </w:r>
      <w:r w:rsidR="005E6933">
        <w:t xml:space="preserve">be valuable to </w:t>
      </w:r>
      <w:r>
        <w:t xml:space="preserve">explore </w:t>
      </w:r>
      <w:r w:rsidR="005E6933">
        <w:t xml:space="preserve">measures </w:t>
      </w:r>
      <w:r>
        <w:t xml:space="preserve">that can indicate </w:t>
      </w:r>
      <w:r w:rsidR="005E6933">
        <w:t xml:space="preserve">the </w:t>
      </w:r>
      <w:r w:rsidR="005E6933" w:rsidRPr="00563DEE">
        <w:t xml:space="preserve">impacts </w:t>
      </w:r>
      <w:r w:rsidR="005E6933">
        <w:t xml:space="preserve">of open access </w:t>
      </w:r>
      <w:r w:rsidR="005E6933" w:rsidRPr="00563DEE">
        <w:t>on public awareness and use of scien</w:t>
      </w:r>
      <w:r w:rsidR="005E6933">
        <w:t xml:space="preserve">tific </w:t>
      </w:r>
      <w:r w:rsidR="005E6933" w:rsidRPr="00563DEE">
        <w:t>information</w:t>
      </w:r>
      <w:r w:rsidR="005E6933">
        <w:t>. For example, Altmetrics monitors</w:t>
      </w:r>
      <w:r w:rsidR="005E6933" w:rsidRPr="00563DEE">
        <w:t xml:space="preserve"> the citation of </w:t>
      </w:r>
      <w:r w:rsidR="005E6933">
        <w:t xml:space="preserve">publications </w:t>
      </w:r>
      <w:r w:rsidR="005E6933" w:rsidRPr="00563DEE">
        <w:t>in news articles and on social media</w:t>
      </w:r>
      <w:r w:rsidR="005E6933">
        <w:t xml:space="preserve"> to </w:t>
      </w:r>
      <w:r w:rsidR="005E6933" w:rsidRPr="00563DEE">
        <w:t>provide a set of metrics that can be used as measures of attention, dissemination, influence</w:t>
      </w:r>
      <w:r w:rsidR="005E6933">
        <w:t>,</w:t>
      </w:r>
      <w:r w:rsidR="005E6933" w:rsidRPr="00563DEE">
        <w:t xml:space="preserve"> and impact.</w:t>
      </w:r>
      <w:r w:rsidR="00AF3B38" w:rsidRPr="00AF3B38">
        <w:rPr>
          <w:bCs/>
        </w:rPr>
        <w:t xml:space="preserve"> </w:t>
      </w:r>
    </w:p>
    <w:p w14:paraId="0DA2C424" w14:textId="51DCDD47" w:rsidR="005E6933" w:rsidRDefault="005E6933" w:rsidP="00A47B69">
      <w:pPr>
        <w:pStyle w:val="BodyText"/>
      </w:pPr>
    </w:p>
    <w:p w14:paraId="384B52C6" w14:textId="653C33FB" w:rsidR="005E6933" w:rsidRPr="00563DEE" w:rsidRDefault="005E6933" w:rsidP="005E6933">
      <w:pPr>
        <w:pStyle w:val="Heading2"/>
        <w:rPr>
          <w:rFonts w:asciiTheme="minorHAnsi" w:hAnsiTheme="minorHAnsi" w:cstheme="minorHAnsi"/>
        </w:rPr>
      </w:pPr>
      <w:bookmarkStart w:id="79" w:name="_Ref86400252"/>
      <w:bookmarkStart w:id="80" w:name="_Toc87629944"/>
      <w:r w:rsidRPr="00563DEE">
        <w:rPr>
          <w:rFonts w:asciiTheme="minorHAnsi" w:hAnsiTheme="minorHAnsi" w:cstheme="minorHAnsi"/>
        </w:rPr>
        <w:t>Broader considerations</w:t>
      </w:r>
      <w:bookmarkEnd w:id="73"/>
      <w:bookmarkEnd w:id="74"/>
      <w:bookmarkEnd w:id="75"/>
      <w:bookmarkEnd w:id="79"/>
      <w:bookmarkEnd w:id="80"/>
    </w:p>
    <w:p w14:paraId="3CB34A86" w14:textId="43A12BF7" w:rsidR="005E6933" w:rsidRPr="00563DEE" w:rsidRDefault="005E6933" w:rsidP="0003737B">
      <w:pPr>
        <w:pStyle w:val="BodyText"/>
      </w:pPr>
      <w:r w:rsidRPr="00563DEE">
        <w:t xml:space="preserve">The proposed Australian model could be a significant step towards solving systemic challenges in academic publishing. </w:t>
      </w:r>
      <w:r w:rsidR="004E6F6E">
        <w:t>However</w:t>
      </w:r>
      <w:r w:rsidRPr="00563DEE">
        <w:t xml:space="preserve">, the proposed model does not capture all considerations raised by stakeholders related to researcher incentives, open science, </w:t>
      </w:r>
      <w:r>
        <w:t>i</w:t>
      </w:r>
      <w:r w:rsidRPr="009425F6">
        <w:t>ndependent bibliometrics</w:t>
      </w:r>
      <w:r w:rsidR="00AF3B38">
        <w:t>, and inclusion of</w:t>
      </w:r>
      <w:r w:rsidRPr="00563DEE">
        <w:t xml:space="preserve"> monographs and non-traditional research outputs. For the purposes of this report, these considerations are out of scope </w:t>
      </w:r>
      <w:r w:rsidR="00AF3B38">
        <w:t>but</w:t>
      </w:r>
      <w:r w:rsidR="00AF3B38" w:rsidRPr="00563DEE">
        <w:t xml:space="preserve"> </w:t>
      </w:r>
      <w:r w:rsidRPr="00563DEE">
        <w:t>could be considered over the long term. Actions and considerations include:</w:t>
      </w:r>
    </w:p>
    <w:p w14:paraId="453ED34B" w14:textId="17D76848" w:rsidR="005E6933" w:rsidRPr="007D35E9" w:rsidRDefault="005E6933" w:rsidP="0003737B">
      <w:pPr>
        <w:pStyle w:val="ListBullet"/>
        <w:jc w:val="both"/>
      </w:pPr>
      <w:r w:rsidRPr="007D35E9">
        <w:rPr>
          <w:b/>
        </w:rPr>
        <w:t>Research</w:t>
      </w:r>
      <w:r>
        <w:rPr>
          <w:b/>
        </w:rPr>
        <w:t>er</w:t>
      </w:r>
      <w:r w:rsidRPr="007D35E9">
        <w:rPr>
          <w:b/>
        </w:rPr>
        <w:t xml:space="preserve"> incentives:</w:t>
      </w:r>
      <w:r w:rsidRPr="007D35E9">
        <w:t xml:space="preserve"> Researchers are</w:t>
      </w:r>
      <w:r w:rsidR="002223BD">
        <w:t xml:space="preserve"> typically</w:t>
      </w:r>
      <w:r w:rsidRPr="007D35E9">
        <w:t xml:space="preserve"> incentivised to publish in prestigious, high impact factor journals. </w:t>
      </w:r>
      <w:r w:rsidR="00721B59">
        <w:t>Consideration should be given as to how this impacts the transition to open access.</w:t>
      </w:r>
      <w:r w:rsidRPr="007D35E9">
        <w:t xml:space="preserve"> </w:t>
      </w:r>
      <w:r w:rsidRPr="00060884">
        <w:t>Some</w:t>
      </w:r>
      <w:r w:rsidRPr="007D35E9">
        <w:t xml:space="preserve"> </w:t>
      </w:r>
      <w:r w:rsidR="00B229D9">
        <w:t>stakeholders</w:t>
      </w:r>
      <w:r w:rsidR="00B229D9" w:rsidRPr="007D35E9">
        <w:t xml:space="preserve"> </w:t>
      </w:r>
      <w:r w:rsidRPr="007D35E9">
        <w:t xml:space="preserve">suggested </w:t>
      </w:r>
      <w:r>
        <w:t>that alternative career or performance incentives may be needed</w:t>
      </w:r>
      <w:r w:rsidR="00AF3B38">
        <w:t>,</w:t>
      </w:r>
      <w:r>
        <w:t xml:space="preserve"> such as</w:t>
      </w:r>
      <w:r w:rsidRPr="007D35E9">
        <w:t xml:space="preserve"> adopting the recommendations of the San Francisco Declaration on Research Assessment (DORA), which recommends that stakeholders</w:t>
      </w:r>
      <w:r w:rsidR="002223BD">
        <w:t xml:space="preserve"> should</w:t>
      </w:r>
      <w:r w:rsidRPr="007D35E9">
        <w:t xml:space="preserve"> ‘not use journal-based metrics, such as Journal Impact Factors, as a </w:t>
      </w:r>
      <w:r w:rsidRPr="00D06744">
        <w:t>surrogate</w:t>
      </w:r>
      <w:r w:rsidRPr="007D35E9">
        <w:t xml:space="preserve"> measure of the quality of individual </w:t>
      </w:r>
      <w:r w:rsidRPr="007D35E9">
        <w:lastRenderedPageBreak/>
        <w:t>research articles, to assess an individual scientist’s contributions, or in hiring, promotion, or funding decisions.’</w:t>
      </w:r>
      <w:r w:rsidRPr="00563DEE">
        <w:rPr>
          <w:rStyle w:val="FootnoteReference"/>
          <w:rFonts w:cstheme="minorHAnsi"/>
        </w:rPr>
        <w:footnoteReference w:id="115"/>
      </w:r>
    </w:p>
    <w:p w14:paraId="163CAB35" w14:textId="1C44C2B8" w:rsidR="005E6933" w:rsidRDefault="005E6933" w:rsidP="0003737B">
      <w:pPr>
        <w:pStyle w:val="ListBullet"/>
        <w:jc w:val="both"/>
      </w:pPr>
      <w:r w:rsidRPr="007D35E9">
        <w:rPr>
          <w:b/>
        </w:rPr>
        <w:t xml:space="preserve">Open science: </w:t>
      </w:r>
      <w:r w:rsidRPr="007D35E9">
        <w:t xml:space="preserve">Many stakeholders emphasised the opportunity to improve transparency and reproducibility of scientific research, by considering how </w:t>
      </w:r>
      <w:r w:rsidRPr="00060884">
        <w:t>Australia</w:t>
      </w:r>
      <w:r w:rsidRPr="007D35E9">
        <w:t xml:space="preserve"> can support open science. Open science refers to the movement to make elements of research that are not typically included in journal publications openly available for discussion and use. Th</w:t>
      </w:r>
      <w:r w:rsidR="00AF3B38">
        <w:t>ese elements</w:t>
      </w:r>
      <w:r w:rsidRPr="007D35E9">
        <w:t xml:space="preserve"> can include unpublished research, data sets, software tools, and other materials. </w:t>
      </w:r>
      <w:r w:rsidR="008B6F6D">
        <w:t>Suitable r</w:t>
      </w:r>
      <w:r w:rsidRPr="007D35E9" w:rsidDel="002A76FF">
        <w:t xml:space="preserve">epositories, </w:t>
      </w:r>
      <w:r w:rsidR="008B6F6D">
        <w:t>including</w:t>
      </w:r>
      <w:r w:rsidRPr="007D35E9" w:rsidDel="002A76FF">
        <w:t xml:space="preserve"> new systems like the UK’s Octopus platform</w:t>
      </w:r>
      <w:r w:rsidR="008B6F6D">
        <w:t>,</w:t>
      </w:r>
      <w:r w:rsidRPr="00563DEE" w:rsidDel="002A76FF">
        <w:rPr>
          <w:rStyle w:val="FootnoteReference"/>
          <w:rFonts w:cstheme="minorHAnsi"/>
        </w:rPr>
        <w:footnoteReference w:id="116"/>
      </w:r>
      <w:r w:rsidRPr="007D35E9" w:rsidDel="002A76FF">
        <w:t xml:space="preserve"> will be critical to facilitating open science.</w:t>
      </w:r>
      <w:r w:rsidR="005A3A93" w:rsidRPr="005A3A93">
        <w:t xml:space="preserve"> </w:t>
      </w:r>
      <w:r w:rsidR="005A3A93">
        <w:t xml:space="preserve">It should be noted that UNESCO has drafted a recommendation </w:t>
      </w:r>
      <w:r w:rsidR="00A248EE">
        <w:t>that is designed to set standards for open science</w:t>
      </w:r>
      <w:r w:rsidR="00DE007A">
        <w:t xml:space="preserve">, which </w:t>
      </w:r>
      <w:r w:rsidR="00DE007A" w:rsidRPr="00DE007A">
        <w:t>will be put forward for adoption by UNESCO’s General Conference in November 2021</w:t>
      </w:r>
      <w:r w:rsidR="005A3A93">
        <w:t>.</w:t>
      </w:r>
      <w:r w:rsidR="005A3A93">
        <w:rPr>
          <w:rStyle w:val="FootnoteReference"/>
        </w:rPr>
        <w:footnoteReference w:id="117"/>
      </w:r>
    </w:p>
    <w:p w14:paraId="3080C441" w14:textId="001FBEFD" w:rsidR="005E6933" w:rsidRPr="007D35E9" w:rsidRDefault="005E6933" w:rsidP="0003737B">
      <w:pPr>
        <w:pStyle w:val="ListBullet"/>
        <w:jc w:val="both"/>
      </w:pPr>
      <w:r>
        <w:rPr>
          <w:b/>
        </w:rPr>
        <w:t>Independent bibliometrics:</w:t>
      </w:r>
      <w:r>
        <w:t xml:space="preserve"> </w:t>
      </w:r>
      <w:r w:rsidR="00D745DD">
        <w:t>Further analysis is require</w:t>
      </w:r>
      <w:r w:rsidR="00BD3BC3">
        <w:t>d</w:t>
      </w:r>
      <w:r w:rsidR="00D745DD">
        <w:t xml:space="preserve"> to understand </w:t>
      </w:r>
      <w:r w:rsidR="00F5714F">
        <w:t>stakeholder</w:t>
      </w:r>
      <w:r w:rsidR="00E43FDE">
        <w:t xml:space="preserve"> </w:t>
      </w:r>
      <w:r>
        <w:t>concern</w:t>
      </w:r>
      <w:r w:rsidR="00D745DD">
        <w:t>s</w:t>
      </w:r>
      <w:r>
        <w:t xml:space="preserve"> that databases, aggregators, search systems and metrics used to interface with research content are concentrated to a small number of commercial vendors. For example, Clarivate’s Web of Science was the exclusive source of citation data used to assess the quality of Australian research in the 2018 ERA.</w:t>
      </w:r>
      <w:r>
        <w:rPr>
          <w:rStyle w:val="FootnoteReference"/>
        </w:rPr>
        <w:footnoteReference w:id="118"/>
      </w:r>
      <w:r>
        <w:t xml:space="preserve"> Stakeholders warned that relying on commercial systems to access Australia’s research may lock in higher costs, impede innovation in research assessment, and create a lack of transparency (e.g., how research is ranked in search results). These stakeholders recommended developing independent, open, and free bibliometric infrastructure to </w:t>
      </w:r>
      <w:r w:rsidR="00EE0B79">
        <w:t xml:space="preserve">manage </w:t>
      </w:r>
      <w:r>
        <w:t>analytics, search</w:t>
      </w:r>
      <w:r w:rsidR="00AF3B38">
        <w:t xml:space="preserve"> functions</w:t>
      </w:r>
      <w:r>
        <w:t>, and scholar profiles.</w:t>
      </w:r>
    </w:p>
    <w:p w14:paraId="053714DA" w14:textId="77777777" w:rsidR="0092698B" w:rsidRPr="007423DE" w:rsidRDefault="00AF3B38" w:rsidP="00387C6D">
      <w:pPr>
        <w:pStyle w:val="ListBullet"/>
        <w:jc w:val="both"/>
      </w:pPr>
      <w:bookmarkStart w:id="81" w:name="_Ref84518865"/>
      <w:r>
        <w:rPr>
          <w:b/>
          <w:bCs/>
        </w:rPr>
        <w:t>M</w:t>
      </w:r>
      <w:r w:rsidR="005E6933" w:rsidRPr="007D35E9">
        <w:rPr>
          <w:b/>
          <w:bCs/>
        </w:rPr>
        <w:t xml:space="preserve">onographs and other research outputs: </w:t>
      </w:r>
      <w:r w:rsidR="005E6933" w:rsidRPr="007D35E9">
        <w:t>While monographs are deemed out of scope for the proposed model, they are an important research output in the humanities, arts</w:t>
      </w:r>
      <w:r w:rsidR="005E6933">
        <w:t>,</w:t>
      </w:r>
      <w:r w:rsidR="005E6933" w:rsidRPr="007D35E9">
        <w:t xml:space="preserve"> and social sciences. Stakeholders recommended planning </w:t>
      </w:r>
      <w:r w:rsidR="005E6933" w:rsidRPr="00060884">
        <w:t>ahead</w:t>
      </w:r>
      <w:r w:rsidR="005E6933" w:rsidRPr="007D35E9">
        <w:t xml:space="preserve"> for the potential inclusion of monographs and more diverse research outputs as part of </w:t>
      </w:r>
      <w:r w:rsidR="005E6933">
        <w:t xml:space="preserve">a future </w:t>
      </w:r>
      <w:r w:rsidR="005E6933" w:rsidRPr="00D565C5">
        <w:t>national open access strategy</w:t>
      </w:r>
      <w:r w:rsidR="005E6933" w:rsidRPr="007D35E9">
        <w:t>. Evidence from the UK</w:t>
      </w:r>
      <w:r w:rsidR="005E6933">
        <w:t>,</w:t>
      </w:r>
      <w:r w:rsidR="005E6933" w:rsidRPr="00563DEE">
        <w:rPr>
          <w:rStyle w:val="FootnoteReference"/>
          <w:rFonts w:cstheme="minorHAnsi"/>
        </w:rPr>
        <w:footnoteReference w:id="119"/>
      </w:r>
      <w:r w:rsidR="005E6933" w:rsidRPr="007D35E9">
        <w:t xml:space="preserve"> which plans to include monographs under the UKRI’s open access polices from 2024</w:t>
      </w:r>
      <w:r w:rsidR="005E6933">
        <w:t>,</w:t>
      </w:r>
      <w:r w:rsidR="005E6933" w:rsidRPr="00563DEE">
        <w:rPr>
          <w:rStyle w:val="FootnoteReference"/>
          <w:rFonts w:cstheme="minorHAnsi"/>
        </w:rPr>
        <w:footnoteReference w:id="120"/>
      </w:r>
      <w:r w:rsidR="005E6933" w:rsidRPr="007D35E9">
        <w:t xml:space="preserve"> may help to inform</w:t>
      </w:r>
      <w:r w:rsidR="005E6933">
        <w:t xml:space="preserve"> </w:t>
      </w:r>
      <w:r w:rsidR="005E6933" w:rsidRPr="007D35E9">
        <w:t xml:space="preserve">how </w:t>
      </w:r>
      <w:r w:rsidR="005E6933">
        <w:t>this can be managed</w:t>
      </w:r>
      <w:r w:rsidR="005E6933" w:rsidRPr="007D35E9">
        <w:t>.</w:t>
      </w:r>
      <w:bookmarkEnd w:id="81"/>
      <w:r w:rsidR="005E6933" w:rsidRPr="007D35E9">
        <w:t xml:space="preserve"> </w:t>
      </w:r>
    </w:p>
    <w:p w14:paraId="6451491F" w14:textId="77777777" w:rsidR="0092698B" w:rsidRDefault="0092698B" w:rsidP="0092698B">
      <w:pPr>
        <w:pStyle w:val="ListBullet"/>
        <w:numPr>
          <w:ilvl w:val="0"/>
          <w:numId w:val="0"/>
        </w:numPr>
        <w:jc w:val="both"/>
        <w:rPr>
          <w:b/>
          <w:bCs/>
        </w:rPr>
      </w:pPr>
    </w:p>
    <w:p w14:paraId="29B9CF5C" w14:textId="77777777" w:rsidR="0092698B" w:rsidRDefault="0092698B">
      <w:pPr>
        <w:spacing w:before="0" w:after="0" w:line="240" w:lineRule="auto"/>
        <w:rPr>
          <w:b/>
          <w:bCs/>
          <w:szCs w:val="20"/>
        </w:rPr>
      </w:pPr>
      <w:r>
        <w:rPr>
          <w:b/>
          <w:bCs/>
        </w:rPr>
        <w:br w:type="page"/>
      </w:r>
    </w:p>
    <w:p w14:paraId="53345178" w14:textId="5F506183" w:rsidR="005E6933" w:rsidRPr="0092698B" w:rsidRDefault="005E6933" w:rsidP="0092698B">
      <w:pPr>
        <w:pStyle w:val="Heading1notnumbered"/>
        <w:rPr>
          <w:b/>
        </w:rPr>
      </w:pPr>
      <w:bookmarkStart w:id="82" w:name="_Toc87629945"/>
      <w:r w:rsidRPr="00387C6D">
        <w:lastRenderedPageBreak/>
        <w:t>Appendix A: Consulted organisations</w:t>
      </w:r>
      <w:bookmarkEnd w:id="82"/>
    </w:p>
    <w:p w14:paraId="19265697" w14:textId="0BDF7F2D" w:rsidR="005E6933" w:rsidRPr="007D35E9" w:rsidRDefault="005E6933" w:rsidP="0003737B">
      <w:pPr>
        <w:jc w:val="both"/>
      </w:pPr>
      <w:r>
        <w:t xml:space="preserve">The table below lists the stakeholders that provided input to the development of this report through consultations or </w:t>
      </w:r>
      <w:r w:rsidRPr="00D22968">
        <w:t>written submissions</w:t>
      </w:r>
      <w:r w:rsidR="00C3157C">
        <w:t>,</w:t>
      </w:r>
      <w:r w:rsidRPr="00D22968">
        <w:rPr>
          <w:rStyle w:val="FootnoteReference"/>
          <w:rFonts w:asciiTheme="minorHAnsi" w:hAnsiTheme="minorHAnsi"/>
        </w:rPr>
        <w:footnoteReference w:id="121"/>
      </w:r>
      <w:r w:rsidRPr="00D22968">
        <w:t xml:space="preserve"> and</w:t>
      </w:r>
      <w:r w:rsidRPr="00096B63">
        <w:t xml:space="preserve"> </w:t>
      </w:r>
      <w:r w:rsidRPr="004D6EE4">
        <w:t>describes</w:t>
      </w:r>
      <w:r w:rsidRPr="00051295">
        <w:t xml:space="preserve"> each stakeholder group’s</w:t>
      </w:r>
      <w:r w:rsidRPr="008A6B86">
        <w:t xml:space="preserve"> </w:t>
      </w:r>
      <w:r w:rsidRPr="008F7A2E">
        <w:t>(high level) roles</w:t>
      </w:r>
      <w:r w:rsidRPr="00556EA6">
        <w:t xml:space="preserve"> within the publishing ecosystem</w:t>
      </w:r>
      <w:r w:rsidRPr="005C0C9C">
        <w:t xml:space="preserve">. </w:t>
      </w:r>
      <w:r w:rsidRPr="00420037">
        <w:t xml:space="preserve">In parallel to </w:t>
      </w:r>
      <w:r w:rsidR="00C3157C">
        <w:t>this</w:t>
      </w:r>
      <w:r w:rsidRPr="00420037">
        <w:t xml:space="preserve"> prospective analysis, the OCS has been involved in broader open access </w:t>
      </w:r>
      <w:r w:rsidRPr="00647957">
        <w:t xml:space="preserve">consultations with key stakeholders. </w:t>
      </w:r>
      <w:r w:rsidRPr="00020D93">
        <w:t xml:space="preserve">These have not been included in the table below. </w:t>
      </w:r>
    </w:p>
    <w:tbl>
      <w:tblPr>
        <w:tblStyle w:val="ListTable3-Accent1"/>
        <w:tblW w:w="9668" w:type="dxa"/>
        <w:tblBorders>
          <w:insideH w:val="single" w:sz="4" w:space="0" w:color="00A9CE" w:themeColor="accent1"/>
        </w:tblBorders>
        <w:tblLook w:val="06A0" w:firstRow="1" w:lastRow="0" w:firstColumn="1" w:lastColumn="0" w:noHBand="1" w:noVBand="1"/>
      </w:tblPr>
      <w:tblGrid>
        <w:gridCol w:w="1447"/>
        <w:gridCol w:w="3543"/>
        <w:gridCol w:w="4678"/>
      </w:tblGrid>
      <w:tr w:rsidR="005E6933" w:rsidRPr="007D35E9" w14:paraId="71B34264" w14:textId="77777777" w:rsidTr="00A612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6ED4AB34" w14:textId="77777777" w:rsidR="005E6933" w:rsidRPr="00C45E21" w:rsidRDefault="005E6933" w:rsidP="00C7094B">
            <w:pPr>
              <w:pStyle w:val="ColumnHeading"/>
              <w:rPr>
                <w:b/>
                <w:color w:val="auto"/>
              </w:rPr>
            </w:pPr>
            <w:r w:rsidRPr="00C45E21">
              <w:rPr>
                <w:b/>
                <w:color w:val="auto"/>
              </w:rPr>
              <w:t>Stakeholder group</w:t>
            </w:r>
          </w:p>
        </w:tc>
        <w:tc>
          <w:tcPr>
            <w:tcW w:w="3543" w:type="dxa"/>
          </w:tcPr>
          <w:p w14:paraId="6FB8ED9D"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 xml:space="preserve">role in academic publishing </w:t>
            </w:r>
          </w:p>
        </w:tc>
        <w:tc>
          <w:tcPr>
            <w:tcW w:w="4678" w:type="dxa"/>
          </w:tcPr>
          <w:p w14:paraId="24808677"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Consulted stakeholders</w:t>
            </w:r>
          </w:p>
        </w:tc>
      </w:tr>
      <w:tr w:rsidR="005E6933" w:rsidRPr="007D35E9" w14:paraId="75430A88" w14:textId="77777777" w:rsidTr="00A6128D">
        <w:tc>
          <w:tcPr>
            <w:cnfStyle w:val="001000000000" w:firstRow="0" w:lastRow="0" w:firstColumn="1" w:lastColumn="0" w:oddVBand="0" w:evenVBand="0" w:oddHBand="0" w:evenHBand="0" w:firstRowFirstColumn="0" w:firstRowLastColumn="0" w:lastRowFirstColumn="0" w:lastRowLastColumn="0"/>
            <w:tcW w:w="1447" w:type="dxa"/>
          </w:tcPr>
          <w:p w14:paraId="0506FB41" w14:textId="77777777" w:rsidR="005E6933" w:rsidRPr="007D35E9" w:rsidRDefault="005E6933" w:rsidP="00054830">
            <w:pPr>
              <w:pStyle w:val="RowHeading"/>
              <w:rPr>
                <w:b/>
              </w:rPr>
            </w:pPr>
            <w:r w:rsidRPr="007D35E9">
              <w:rPr>
                <w:b/>
              </w:rPr>
              <w:t>Research funders</w:t>
            </w:r>
          </w:p>
        </w:tc>
        <w:tc>
          <w:tcPr>
            <w:tcW w:w="3543" w:type="dxa"/>
          </w:tcPr>
          <w:p w14:paraId="77E1A914"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Fund public research directly, through research councils, and through research block grants. </w:t>
            </w:r>
          </w:p>
        </w:tc>
        <w:tc>
          <w:tcPr>
            <w:tcW w:w="4678" w:type="dxa"/>
          </w:tcPr>
          <w:p w14:paraId="27205483" w14:textId="77777777"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Australian Research Council (ARC)</w:t>
            </w:r>
          </w:p>
          <w:p w14:paraId="0567AC20"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National Health and Medical Research Council (NHMRC) </w:t>
            </w:r>
          </w:p>
        </w:tc>
      </w:tr>
      <w:tr w:rsidR="005E6933" w:rsidRPr="007D35E9" w14:paraId="207092CF" w14:textId="77777777" w:rsidTr="00A6128D">
        <w:tc>
          <w:tcPr>
            <w:cnfStyle w:val="001000000000" w:firstRow="0" w:lastRow="0" w:firstColumn="1" w:lastColumn="0" w:oddVBand="0" w:evenVBand="0" w:oddHBand="0" w:evenHBand="0" w:firstRowFirstColumn="0" w:firstRowLastColumn="0" w:lastRowFirstColumn="0" w:lastRowLastColumn="0"/>
            <w:tcW w:w="1447" w:type="dxa"/>
          </w:tcPr>
          <w:p w14:paraId="27F80B7A" w14:textId="77777777" w:rsidR="005E6933" w:rsidRPr="007D35E9" w:rsidRDefault="005E6933" w:rsidP="00054830">
            <w:pPr>
              <w:pStyle w:val="RowHeading"/>
              <w:rPr>
                <w:b/>
              </w:rPr>
            </w:pPr>
            <w:r w:rsidRPr="007D35E9">
              <w:rPr>
                <w:b/>
              </w:rPr>
              <w:t>Universities and research institutions</w:t>
            </w:r>
          </w:p>
        </w:tc>
        <w:tc>
          <w:tcPr>
            <w:tcW w:w="3543" w:type="dxa"/>
          </w:tcPr>
          <w:p w14:paraId="71DD1BC3"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Conduct and publish results of research projects. </w:t>
            </w:r>
          </w:p>
          <w:p w14:paraId="4A7EFCE1"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Create intellectual property (IP) through results and outcomes of research.</w:t>
            </w:r>
          </w:p>
          <w:p w14:paraId="04B81317"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Undertake peer-reviews of academic publications.</w:t>
            </w:r>
          </w:p>
          <w:p w14:paraId="24C11A8C"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Maintain institutional repositories.</w:t>
            </w:r>
          </w:p>
        </w:tc>
        <w:tc>
          <w:tcPr>
            <w:tcW w:w="4678" w:type="dxa"/>
          </w:tcPr>
          <w:p w14:paraId="1EBE64B6" w14:textId="77777777" w:rsidR="004A77EC" w:rsidRPr="00541AF7" w:rsidRDefault="004A77EC" w:rsidP="004A77EC">
            <w:pPr>
              <w:pStyle w:val="TableBullet"/>
              <w:cnfStyle w:val="000000000000" w:firstRow="0" w:lastRow="0" w:firstColumn="0" w:lastColumn="0" w:oddVBand="0" w:evenVBand="0" w:oddHBand="0" w:evenHBand="0" w:firstRowFirstColumn="0" w:firstRowLastColumn="0" w:lastRowFirstColumn="0" w:lastRowLastColumn="0"/>
            </w:pPr>
            <w:r>
              <w:t>ARC Centre of Excellence for Automated Decision-Making and Society (ADM+S)*</w:t>
            </w:r>
          </w:p>
          <w:p w14:paraId="1F242163"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Curtin Open Knowledge Initiative (COKI)</w:t>
            </w:r>
          </w:p>
          <w:p w14:paraId="4821931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Queensland University of Technology (QUT)</w:t>
            </w:r>
          </w:p>
          <w:p w14:paraId="4B1538DE"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The University of Sydney</w:t>
            </w:r>
          </w:p>
          <w:p w14:paraId="0833701F" w14:textId="77777777" w:rsidR="005E6933" w:rsidRPr="000C3185"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Universities Australia</w:t>
            </w:r>
          </w:p>
          <w:p w14:paraId="38611613" w14:textId="77777777" w:rsidR="005E6933" w:rsidRPr="000C3185"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University of New South Wales (UNSW)*</w:t>
            </w:r>
          </w:p>
          <w:p w14:paraId="7F98B54F"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Walter and Eliza Hall Institute (WEHI)</w:t>
            </w:r>
          </w:p>
        </w:tc>
      </w:tr>
      <w:tr w:rsidR="005E6933" w:rsidRPr="007D35E9" w14:paraId="718EE917" w14:textId="77777777" w:rsidTr="00A6128D">
        <w:tc>
          <w:tcPr>
            <w:cnfStyle w:val="001000000000" w:firstRow="0" w:lastRow="0" w:firstColumn="1" w:lastColumn="0" w:oddVBand="0" w:evenVBand="0" w:oddHBand="0" w:evenHBand="0" w:firstRowFirstColumn="0" w:firstRowLastColumn="0" w:lastRowFirstColumn="0" w:lastRowLastColumn="0"/>
            <w:tcW w:w="1447" w:type="dxa"/>
          </w:tcPr>
          <w:p w14:paraId="19BCD376" w14:textId="77777777" w:rsidR="005E6933" w:rsidRPr="007D35E9" w:rsidRDefault="005E6933" w:rsidP="00054830">
            <w:pPr>
              <w:pStyle w:val="RowHeading"/>
              <w:rPr>
                <w:b/>
              </w:rPr>
            </w:pPr>
            <w:r w:rsidRPr="007D35E9">
              <w:rPr>
                <w:b/>
              </w:rPr>
              <w:t xml:space="preserve">Academic publishing </w:t>
            </w:r>
          </w:p>
        </w:tc>
        <w:tc>
          <w:tcPr>
            <w:tcW w:w="3543" w:type="dxa"/>
          </w:tcPr>
          <w:p w14:paraId="7C091B8C"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Provide publishing and related services including arranging peer reviews, formatting articles, hosting articles in online journals, and generating analytics.</w:t>
            </w:r>
          </w:p>
        </w:tc>
        <w:tc>
          <w:tcPr>
            <w:tcW w:w="4678" w:type="dxa"/>
          </w:tcPr>
          <w:p w14:paraId="0472C738"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Clarivate</w:t>
            </w:r>
          </w:p>
          <w:p w14:paraId="42515E79"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CSIRO Publishing</w:t>
            </w:r>
          </w:p>
          <w:p w14:paraId="46A22B76"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Elsevier </w:t>
            </w:r>
          </w:p>
          <w:p w14:paraId="566A3019"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Institute of Physics (IOP) Publishing</w:t>
            </w:r>
          </w:p>
          <w:p w14:paraId="42C40DF1"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Multidisciplinary Digital Publishing Institute (MDPI)</w:t>
            </w:r>
          </w:p>
          <w:p w14:paraId="7657AEBD" w14:textId="77777777"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Springer Nature</w:t>
            </w:r>
          </w:p>
          <w:p w14:paraId="1CD780D9" w14:textId="77777777" w:rsidR="005E6933" w:rsidRPr="00CB2B8A"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Taylor &amp; Francis*</w:t>
            </w:r>
          </w:p>
          <w:p w14:paraId="1276C5CC"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Wiley </w:t>
            </w:r>
          </w:p>
        </w:tc>
      </w:tr>
      <w:tr w:rsidR="005E6933" w:rsidRPr="007D35E9" w14:paraId="4F7E0F31" w14:textId="77777777" w:rsidTr="00A6128D">
        <w:tc>
          <w:tcPr>
            <w:cnfStyle w:val="001000000000" w:firstRow="0" w:lastRow="0" w:firstColumn="1" w:lastColumn="0" w:oddVBand="0" w:evenVBand="0" w:oddHBand="0" w:evenHBand="0" w:firstRowFirstColumn="0" w:firstRowLastColumn="0" w:lastRowFirstColumn="0" w:lastRowLastColumn="0"/>
            <w:tcW w:w="1447" w:type="dxa"/>
          </w:tcPr>
          <w:p w14:paraId="12910A39" w14:textId="77777777" w:rsidR="005E6933" w:rsidRPr="007D35E9" w:rsidRDefault="005E6933" w:rsidP="00054830">
            <w:pPr>
              <w:pStyle w:val="RowHeading"/>
              <w:rPr>
                <w:b/>
              </w:rPr>
            </w:pPr>
            <w:r w:rsidRPr="007D35E9">
              <w:rPr>
                <w:b/>
              </w:rPr>
              <w:t>Regulatory bodies</w:t>
            </w:r>
          </w:p>
        </w:tc>
        <w:tc>
          <w:tcPr>
            <w:tcW w:w="3543" w:type="dxa"/>
          </w:tcPr>
          <w:p w14:paraId="6141F1B7"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Governing authorities enforce compliance to relevant national laws and regulations.</w:t>
            </w:r>
          </w:p>
        </w:tc>
        <w:tc>
          <w:tcPr>
            <w:tcW w:w="4678" w:type="dxa"/>
          </w:tcPr>
          <w:p w14:paraId="39E2DE7C"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Australian Competition and Consumer Commission (ACCC)</w:t>
            </w:r>
          </w:p>
        </w:tc>
      </w:tr>
      <w:tr w:rsidR="005E6933" w:rsidRPr="007D35E9" w14:paraId="1ECAC0FB" w14:textId="77777777" w:rsidTr="00A6128D">
        <w:tc>
          <w:tcPr>
            <w:cnfStyle w:val="001000000000" w:firstRow="0" w:lastRow="0" w:firstColumn="1" w:lastColumn="0" w:oddVBand="0" w:evenVBand="0" w:oddHBand="0" w:evenHBand="0" w:firstRowFirstColumn="0" w:firstRowLastColumn="0" w:lastRowFirstColumn="0" w:lastRowLastColumn="0"/>
            <w:tcW w:w="1447" w:type="dxa"/>
          </w:tcPr>
          <w:p w14:paraId="3219A3F7" w14:textId="77777777" w:rsidR="005E6933" w:rsidRPr="007D35E9" w:rsidRDefault="005E6933" w:rsidP="00054830">
            <w:pPr>
              <w:pStyle w:val="RowHeading"/>
              <w:rPr>
                <w:b/>
              </w:rPr>
            </w:pPr>
            <w:r w:rsidRPr="007D35E9">
              <w:rPr>
                <w:b/>
              </w:rPr>
              <w:t xml:space="preserve">Industry </w:t>
            </w:r>
          </w:p>
        </w:tc>
        <w:tc>
          <w:tcPr>
            <w:tcW w:w="3543" w:type="dxa"/>
          </w:tcPr>
          <w:p w14:paraId="1CB41A6B"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May co-fund research for innovation purposes and use research to inform industrial R&amp;D and develop new products or services. </w:t>
            </w:r>
          </w:p>
        </w:tc>
        <w:tc>
          <w:tcPr>
            <w:tcW w:w="4678" w:type="dxa"/>
          </w:tcPr>
          <w:p w14:paraId="44662CA0"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Woodside</w:t>
            </w:r>
          </w:p>
        </w:tc>
      </w:tr>
      <w:tr w:rsidR="005E6933" w:rsidRPr="007D35E9" w14:paraId="3B19BB80" w14:textId="77777777" w:rsidTr="00A6128D">
        <w:tc>
          <w:tcPr>
            <w:cnfStyle w:val="001000000000" w:firstRow="0" w:lastRow="0" w:firstColumn="1" w:lastColumn="0" w:oddVBand="0" w:evenVBand="0" w:oddHBand="0" w:evenHBand="0" w:firstRowFirstColumn="0" w:firstRowLastColumn="0" w:lastRowFirstColumn="0" w:lastRowLastColumn="0"/>
            <w:tcW w:w="1447" w:type="dxa"/>
          </w:tcPr>
          <w:p w14:paraId="635A2244" w14:textId="77777777" w:rsidR="005E6933" w:rsidRPr="007D35E9" w:rsidRDefault="005E6933" w:rsidP="00054830">
            <w:pPr>
              <w:pStyle w:val="RowHeading"/>
              <w:rPr>
                <w:b/>
              </w:rPr>
            </w:pPr>
            <w:r w:rsidRPr="007D35E9">
              <w:rPr>
                <w:b/>
              </w:rPr>
              <w:t>Not-for-profits and advocacy groups</w:t>
            </w:r>
          </w:p>
        </w:tc>
        <w:tc>
          <w:tcPr>
            <w:tcW w:w="3543" w:type="dxa"/>
          </w:tcPr>
          <w:p w14:paraId="13E176AE"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Various peak bodies and advocacy groups associated </w:t>
            </w:r>
            <w:r w:rsidRPr="007D35E9">
              <w:rPr>
                <w:color w:val="000000" w:themeColor="text1"/>
              </w:rPr>
              <w:t>with</w:t>
            </w:r>
            <w:r w:rsidRPr="007D35E9">
              <w:t xml:space="preserve"> research, academic publishing, and industry. </w:t>
            </w:r>
          </w:p>
        </w:tc>
        <w:tc>
          <w:tcPr>
            <w:tcW w:w="4678" w:type="dxa"/>
          </w:tcPr>
          <w:p w14:paraId="4B929ADF"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Association of Learned and Professional Society Publishers (ALPSP) </w:t>
            </w:r>
          </w:p>
          <w:p w14:paraId="524C368D"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Australian Council of Learned Academies (ACOLA)</w:t>
            </w:r>
          </w:p>
          <w:p w14:paraId="50D59B62"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Australian Industry (AI) Group</w:t>
            </w:r>
          </w:p>
          <w:p w14:paraId="2DB6E87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lastRenderedPageBreak/>
              <w:t xml:space="preserve">Australian Library and Information Association (ALIA) </w:t>
            </w:r>
          </w:p>
          <w:p w14:paraId="5D015D0C"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Australian Publishers Association (APA)</w:t>
            </w:r>
          </w:p>
          <w:p w14:paraId="185B6F33"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Council of Australian University Librarians (CAUL)</w:t>
            </w:r>
          </w:p>
          <w:p w14:paraId="06C5C934"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cOAlition S</w:t>
            </w:r>
          </w:p>
          <w:p w14:paraId="6CC482E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Copyright Agency</w:t>
            </w:r>
          </w:p>
          <w:p w14:paraId="49DF3F99"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7D35E9">
              <w:t>Open Access Australasia</w:t>
            </w:r>
          </w:p>
          <w:p w14:paraId="14979C56"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Royal Australian College of General Practitioners (RACGP) </w:t>
            </w:r>
          </w:p>
          <w:p w14:paraId="17555B39"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STM Association</w:t>
            </w:r>
          </w:p>
          <w:p w14:paraId="4099543A" w14:textId="77777777"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Technology Council</w:t>
            </w:r>
          </w:p>
          <w:p w14:paraId="55410997" w14:textId="77777777" w:rsidR="005E6933" w:rsidRPr="00B54536"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Wikimedia Australia*</w:t>
            </w:r>
          </w:p>
        </w:tc>
      </w:tr>
    </w:tbl>
    <w:p w14:paraId="653AE894" w14:textId="77777777" w:rsidR="005E6933" w:rsidRPr="007D35E9" w:rsidRDefault="005E6933" w:rsidP="005E6933">
      <w:r w:rsidRPr="007D35E9">
        <w:lastRenderedPageBreak/>
        <w:br w:type="page"/>
      </w:r>
    </w:p>
    <w:p w14:paraId="1FF94FC2" w14:textId="77777777" w:rsidR="005E6933" w:rsidRPr="00563DEE" w:rsidRDefault="005E6933" w:rsidP="005E6933">
      <w:pPr>
        <w:pStyle w:val="Heading1notnumbered"/>
        <w:rPr>
          <w:rFonts w:asciiTheme="minorHAnsi" w:hAnsiTheme="minorHAnsi" w:cstheme="minorHAnsi"/>
        </w:rPr>
      </w:pPr>
      <w:bookmarkStart w:id="83" w:name="_Toc87629946"/>
      <w:r w:rsidRPr="00563DEE">
        <w:rPr>
          <w:rFonts w:asciiTheme="minorHAnsi" w:hAnsiTheme="minorHAnsi" w:cstheme="minorHAnsi"/>
        </w:rPr>
        <w:lastRenderedPageBreak/>
        <w:t>Appendix B: Journal subscription and open access publishing expenditure survey results</w:t>
      </w:r>
      <w:bookmarkEnd w:id="83"/>
    </w:p>
    <w:p w14:paraId="3A757EB9" w14:textId="77777777" w:rsidR="005E6933" w:rsidRPr="00563DEE" w:rsidRDefault="005E6933" w:rsidP="005E6933">
      <w:pPr>
        <w:pStyle w:val="Heading2notnumbered"/>
        <w:rPr>
          <w:rFonts w:asciiTheme="minorHAnsi" w:hAnsiTheme="minorHAnsi" w:cstheme="minorHAnsi"/>
        </w:rPr>
      </w:pPr>
      <w:bookmarkStart w:id="84" w:name="_Toc87628228"/>
      <w:bookmarkStart w:id="85" w:name="_Toc87629947"/>
      <w:r w:rsidRPr="00563DEE">
        <w:rPr>
          <w:rFonts w:asciiTheme="minorHAnsi" w:hAnsiTheme="minorHAnsi" w:cstheme="minorHAnsi"/>
        </w:rPr>
        <w:t>Methodology</w:t>
      </w:r>
      <w:bookmarkEnd w:id="84"/>
      <w:bookmarkEnd w:id="85"/>
    </w:p>
    <w:p w14:paraId="488B505B" w14:textId="53928B37" w:rsidR="005E6933" w:rsidRPr="00563DEE" w:rsidRDefault="005E6933" w:rsidP="00A47B69">
      <w:pPr>
        <w:pStyle w:val="BodyText"/>
      </w:pPr>
      <w:r w:rsidRPr="00563DEE">
        <w:t xml:space="preserve">The journal subscription and open access publishing expenditure survey was conducted to collect data relating to institutions and organisations’ subscription and publishing expenditure. The survey was jointly designed by CSIRO Futures and the OCS using the online survey platform </w:t>
      </w:r>
      <w:r w:rsidR="00F96744" w:rsidRPr="00563DEE">
        <w:t>SurveyMonkey</w:t>
      </w:r>
      <w:r w:rsidR="00F96744">
        <w:t xml:space="preserve"> and</w:t>
      </w:r>
      <w:r w:rsidRPr="00563DEE">
        <w:t xml:space="preserve"> distributed by the OCS to stakeholders via email. The survey was distributed to stakeholder</w:t>
      </w:r>
      <w:r>
        <w:t>s</w:t>
      </w:r>
      <w:r w:rsidRPr="00563DEE">
        <w:t xml:space="preserve"> </w:t>
      </w:r>
      <w:r>
        <w:t>from</w:t>
      </w:r>
      <w:r w:rsidRPr="00563DEE">
        <w:t xml:space="preserve"> the following groups: government, university, medical research institute, publicly funded research agency, and other (largely composed of health, education and non-profit organisations).</w:t>
      </w:r>
    </w:p>
    <w:p w14:paraId="23968209" w14:textId="77777777" w:rsidR="005E6933" w:rsidRPr="00563DEE" w:rsidRDefault="005E6933" w:rsidP="00A47B69">
      <w:pPr>
        <w:pStyle w:val="BodyText"/>
      </w:pPr>
      <w:r w:rsidRPr="00563DEE">
        <w:t>The survey response collection, data management and analysis were administered by CSIRO Futures. Analysis was conducted to summarise survey data and produce estimates for expenditure relating to APCs. Analysis methodology details are discussed in the survey results.</w:t>
      </w:r>
    </w:p>
    <w:p w14:paraId="600757FA" w14:textId="77777777" w:rsidR="005E6933" w:rsidRPr="00563DEE" w:rsidRDefault="005E6933" w:rsidP="005E6933">
      <w:pPr>
        <w:pStyle w:val="Heading2notnumbered"/>
        <w:rPr>
          <w:rFonts w:asciiTheme="minorHAnsi" w:hAnsiTheme="minorHAnsi" w:cstheme="minorHAnsi"/>
        </w:rPr>
      </w:pPr>
      <w:bookmarkStart w:id="86" w:name="_Toc87628229"/>
      <w:bookmarkStart w:id="87" w:name="_Toc87629948"/>
      <w:r w:rsidRPr="00563DEE">
        <w:rPr>
          <w:rFonts w:asciiTheme="minorHAnsi" w:hAnsiTheme="minorHAnsi" w:cstheme="minorHAnsi"/>
        </w:rPr>
        <w:t>Results</w:t>
      </w:r>
      <w:bookmarkEnd w:id="86"/>
      <w:bookmarkEnd w:id="87"/>
    </w:p>
    <w:p w14:paraId="14C70151" w14:textId="77777777" w:rsidR="005E6933" w:rsidRPr="00563DEE" w:rsidRDefault="005E6933" w:rsidP="005E6933">
      <w:pPr>
        <w:pStyle w:val="Heading3notnumbered"/>
        <w:rPr>
          <w:rFonts w:asciiTheme="minorHAnsi" w:hAnsiTheme="minorHAnsi" w:cstheme="minorHAnsi"/>
        </w:rPr>
      </w:pPr>
      <w:r w:rsidRPr="00563DEE">
        <w:rPr>
          <w:rFonts w:asciiTheme="minorHAnsi" w:hAnsiTheme="minorHAnsi" w:cstheme="minorHAnsi"/>
        </w:rPr>
        <w:t>Responses</w:t>
      </w:r>
    </w:p>
    <w:p w14:paraId="318A3EB1" w14:textId="77777777" w:rsidR="005E6933" w:rsidRPr="00563DEE" w:rsidRDefault="005E6933" w:rsidP="00A47B69">
      <w:pPr>
        <w:pStyle w:val="BodyText"/>
      </w:pPr>
      <w:r w:rsidRPr="00563DEE">
        <w:t xml:space="preserve">In total, there were 93 valid survey responses, of which 33% were universities, 19% were state and federal government, 12% were medical research institutes, and 6% were PFRAs. </w:t>
      </w:r>
      <w:r>
        <w:t xml:space="preserve">10% of respondents were in the </w:t>
      </w:r>
      <w:r w:rsidRPr="00563DEE">
        <w:t>'other' group</w:t>
      </w:r>
      <w:r>
        <w:t>,</w:t>
      </w:r>
      <w:r w:rsidRPr="00563DEE">
        <w:t xml:space="preserve"> composed </w:t>
      </w:r>
      <w:r>
        <w:t>of primarily</w:t>
      </w:r>
      <w:r w:rsidRPr="00563DEE">
        <w:t xml:space="preserve"> health, education and non-profit organisations.</w:t>
      </w:r>
    </w:p>
    <w:p w14:paraId="1F93E3F8" w14:textId="77777777" w:rsidR="005E6933" w:rsidRPr="00563DEE" w:rsidRDefault="005E6933" w:rsidP="00A47B69">
      <w:pPr>
        <w:pStyle w:val="BodyText"/>
      </w:pPr>
      <w:r w:rsidRPr="00563DEE">
        <w:t xml:space="preserve">While consultations identified some notable subscribers and authors in industry sectors such as energy and biotechnology, there </w:t>
      </w:r>
      <w:r w:rsidRPr="00A47B69">
        <w:t>were</w:t>
      </w:r>
      <w:r w:rsidRPr="00563DEE">
        <w:t xml:space="preserve"> no industry respondents to this survey. This is a knowledge gap that could be addressed in future work. </w:t>
      </w:r>
    </w:p>
    <w:p w14:paraId="079D6881" w14:textId="77777777" w:rsidR="005E6933" w:rsidRPr="00563DEE" w:rsidRDefault="005E6933" w:rsidP="00A47B69">
      <w:pPr>
        <w:pStyle w:val="Caption"/>
      </w:pPr>
      <w:r w:rsidRPr="00563DEE">
        <w:t xml:space="preserve">Table B1: Respondent breakdown </w:t>
      </w:r>
    </w:p>
    <w:tbl>
      <w:tblPr>
        <w:tblStyle w:val="ListTable3-Accent1"/>
        <w:tblW w:w="9628" w:type="dxa"/>
        <w:tblLook w:val="04A0" w:firstRow="1" w:lastRow="0" w:firstColumn="1" w:lastColumn="0" w:noHBand="0" w:noVBand="1"/>
      </w:tblPr>
      <w:tblGrid>
        <w:gridCol w:w="5490"/>
        <w:gridCol w:w="1593"/>
        <w:gridCol w:w="2545"/>
      </w:tblGrid>
      <w:tr w:rsidR="005E6933" w:rsidRPr="007D35E9" w14:paraId="132CE033" w14:textId="77777777" w:rsidTr="00076358">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5490" w:type="dxa"/>
            <w:hideMark/>
          </w:tcPr>
          <w:p w14:paraId="3CBED450" w14:textId="77777777" w:rsidR="005E6933" w:rsidRPr="00C45E21" w:rsidRDefault="005E6933" w:rsidP="00C7094B">
            <w:pPr>
              <w:pStyle w:val="ColumnHeading"/>
              <w:rPr>
                <w:b/>
                <w:color w:val="auto"/>
              </w:rPr>
            </w:pPr>
            <w:r w:rsidRPr="00C45E21">
              <w:rPr>
                <w:b/>
                <w:color w:val="auto"/>
              </w:rPr>
              <w:t>Stakeholder group</w:t>
            </w:r>
          </w:p>
        </w:tc>
        <w:tc>
          <w:tcPr>
            <w:tcW w:w="1593" w:type="dxa"/>
            <w:hideMark/>
          </w:tcPr>
          <w:p w14:paraId="7FE3C46B"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Count</w:t>
            </w:r>
          </w:p>
        </w:tc>
        <w:tc>
          <w:tcPr>
            <w:tcW w:w="2545" w:type="dxa"/>
          </w:tcPr>
          <w:p w14:paraId="5FF34863"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Percentage</w:t>
            </w:r>
          </w:p>
        </w:tc>
      </w:tr>
      <w:tr w:rsidR="005E6933" w:rsidRPr="007D35E9" w14:paraId="69E29934" w14:textId="77777777" w:rsidTr="0007635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3BA1BD06" w14:textId="77777777" w:rsidR="005E6933" w:rsidRPr="007D35E9" w:rsidRDefault="005E6933" w:rsidP="00054830">
            <w:pPr>
              <w:pStyle w:val="RowHeading"/>
              <w:rPr>
                <w:rFonts w:eastAsia="Courier New"/>
                <w:b/>
                <w:color w:val="000000" w:themeColor="text1"/>
              </w:rPr>
            </w:pPr>
            <w:r w:rsidRPr="007D35E9">
              <w:rPr>
                <w:b/>
              </w:rPr>
              <w:t>Government (federal)</w:t>
            </w:r>
          </w:p>
        </w:tc>
        <w:tc>
          <w:tcPr>
            <w:tcW w:w="1593" w:type="dxa"/>
            <w:noWrap/>
            <w:vAlign w:val="bottom"/>
          </w:tcPr>
          <w:p w14:paraId="46DD675F"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8</w:t>
            </w:r>
          </w:p>
        </w:tc>
        <w:tc>
          <w:tcPr>
            <w:tcW w:w="2545" w:type="dxa"/>
            <w:vAlign w:val="bottom"/>
          </w:tcPr>
          <w:p w14:paraId="36D37956" w14:textId="20F3995C"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9%</w:t>
            </w:r>
          </w:p>
        </w:tc>
      </w:tr>
      <w:tr w:rsidR="005E6933" w:rsidRPr="007D35E9" w14:paraId="7496D655" w14:textId="77777777" w:rsidTr="00076358">
        <w:trPr>
          <w:trHeight w:val="154"/>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351C4C3D" w14:textId="77777777" w:rsidR="005E6933" w:rsidRPr="007D35E9" w:rsidRDefault="005E6933" w:rsidP="00054830">
            <w:pPr>
              <w:pStyle w:val="RowHeading"/>
              <w:rPr>
                <w:rFonts w:eastAsia="Courier New"/>
                <w:b/>
                <w:color w:val="000000" w:themeColor="text1"/>
              </w:rPr>
            </w:pPr>
            <w:r w:rsidRPr="007D35E9">
              <w:rPr>
                <w:b/>
              </w:rPr>
              <w:t>Government (state)</w:t>
            </w:r>
          </w:p>
        </w:tc>
        <w:tc>
          <w:tcPr>
            <w:tcW w:w="1593" w:type="dxa"/>
            <w:noWrap/>
            <w:vAlign w:val="bottom"/>
          </w:tcPr>
          <w:p w14:paraId="19A58CAA"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10</w:t>
            </w:r>
          </w:p>
        </w:tc>
        <w:tc>
          <w:tcPr>
            <w:tcW w:w="2545" w:type="dxa"/>
            <w:vAlign w:val="bottom"/>
          </w:tcPr>
          <w:p w14:paraId="7F121AB0"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11%</w:t>
            </w:r>
          </w:p>
        </w:tc>
      </w:tr>
      <w:tr w:rsidR="005E6933" w:rsidRPr="007D35E9" w14:paraId="194430D9" w14:textId="77777777" w:rsidTr="0007635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59A97995" w14:textId="77777777" w:rsidR="005E6933" w:rsidRPr="007D35E9" w:rsidRDefault="005E6933" w:rsidP="00054830">
            <w:pPr>
              <w:pStyle w:val="RowHeading"/>
              <w:rPr>
                <w:rFonts w:eastAsia="Courier New"/>
                <w:b/>
                <w:color w:val="000000" w:themeColor="text1"/>
              </w:rPr>
            </w:pPr>
            <w:r w:rsidRPr="007D35E9">
              <w:rPr>
                <w:b/>
              </w:rPr>
              <w:t>University</w:t>
            </w:r>
          </w:p>
        </w:tc>
        <w:tc>
          <w:tcPr>
            <w:tcW w:w="1593" w:type="dxa"/>
            <w:noWrap/>
            <w:vAlign w:val="bottom"/>
          </w:tcPr>
          <w:p w14:paraId="55AA28F6"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31</w:t>
            </w:r>
          </w:p>
        </w:tc>
        <w:tc>
          <w:tcPr>
            <w:tcW w:w="2545" w:type="dxa"/>
            <w:vAlign w:val="bottom"/>
          </w:tcPr>
          <w:p w14:paraId="7BF24B6B"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33%</w:t>
            </w:r>
          </w:p>
        </w:tc>
      </w:tr>
      <w:tr w:rsidR="005E6933" w:rsidRPr="007D35E9" w14:paraId="0A7A4F07" w14:textId="77777777" w:rsidTr="00076358">
        <w:trPr>
          <w:trHeight w:val="159"/>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6812BABD" w14:textId="77777777" w:rsidR="005E6933" w:rsidRPr="007D35E9" w:rsidRDefault="005E6933" w:rsidP="00054830">
            <w:pPr>
              <w:pStyle w:val="RowHeading"/>
              <w:rPr>
                <w:rFonts w:eastAsia="Courier New"/>
                <w:b/>
                <w:color w:val="000000" w:themeColor="text1"/>
              </w:rPr>
            </w:pPr>
            <w:r w:rsidRPr="007D35E9">
              <w:rPr>
                <w:b/>
              </w:rPr>
              <w:t>Medical research institute</w:t>
            </w:r>
          </w:p>
        </w:tc>
        <w:tc>
          <w:tcPr>
            <w:tcW w:w="1593" w:type="dxa"/>
            <w:noWrap/>
            <w:vAlign w:val="bottom"/>
          </w:tcPr>
          <w:p w14:paraId="3192D08F"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11</w:t>
            </w:r>
          </w:p>
        </w:tc>
        <w:tc>
          <w:tcPr>
            <w:tcW w:w="2545" w:type="dxa"/>
            <w:vAlign w:val="bottom"/>
          </w:tcPr>
          <w:p w14:paraId="6857C701"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12%</w:t>
            </w:r>
          </w:p>
        </w:tc>
      </w:tr>
      <w:tr w:rsidR="005E6933" w:rsidRPr="007D35E9" w14:paraId="14F8880C" w14:textId="77777777" w:rsidTr="0007635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113674F8" w14:textId="77777777" w:rsidR="005E6933" w:rsidRPr="007D35E9" w:rsidRDefault="005E6933" w:rsidP="00054830">
            <w:pPr>
              <w:pStyle w:val="RowHeading"/>
              <w:rPr>
                <w:rFonts w:eastAsia="Courier New"/>
                <w:b/>
                <w:color w:val="000000" w:themeColor="text1"/>
              </w:rPr>
            </w:pPr>
            <w:r w:rsidRPr="007D35E9">
              <w:rPr>
                <w:b/>
              </w:rPr>
              <w:t>Publicly funded research agency (PFRA)</w:t>
            </w:r>
          </w:p>
        </w:tc>
        <w:tc>
          <w:tcPr>
            <w:tcW w:w="1593" w:type="dxa"/>
            <w:noWrap/>
            <w:vAlign w:val="bottom"/>
          </w:tcPr>
          <w:p w14:paraId="71321520"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6</w:t>
            </w:r>
          </w:p>
        </w:tc>
        <w:tc>
          <w:tcPr>
            <w:tcW w:w="2545" w:type="dxa"/>
            <w:vAlign w:val="bottom"/>
          </w:tcPr>
          <w:p w14:paraId="29614DF5"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6%</w:t>
            </w:r>
          </w:p>
        </w:tc>
      </w:tr>
      <w:tr w:rsidR="005E6933" w:rsidRPr="007D35E9" w14:paraId="069E8F31" w14:textId="77777777" w:rsidTr="00076358">
        <w:trPr>
          <w:trHeight w:val="154"/>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1D87F83F" w14:textId="77777777" w:rsidR="005E6933" w:rsidRPr="007D35E9" w:rsidRDefault="005E6933" w:rsidP="00054830">
            <w:pPr>
              <w:pStyle w:val="RowHeading"/>
              <w:rPr>
                <w:rFonts w:eastAsia="Courier New"/>
                <w:b/>
                <w:color w:val="000000" w:themeColor="text1"/>
              </w:rPr>
            </w:pPr>
            <w:r w:rsidRPr="007D35E9">
              <w:rPr>
                <w:b/>
              </w:rPr>
              <w:t>Health sector</w:t>
            </w:r>
          </w:p>
        </w:tc>
        <w:tc>
          <w:tcPr>
            <w:tcW w:w="1593" w:type="dxa"/>
            <w:noWrap/>
            <w:vAlign w:val="bottom"/>
          </w:tcPr>
          <w:p w14:paraId="044B5218"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18</w:t>
            </w:r>
          </w:p>
        </w:tc>
        <w:tc>
          <w:tcPr>
            <w:tcW w:w="2545" w:type="dxa"/>
            <w:vAlign w:val="bottom"/>
          </w:tcPr>
          <w:p w14:paraId="589927F4"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19%</w:t>
            </w:r>
          </w:p>
        </w:tc>
      </w:tr>
      <w:tr w:rsidR="005E6933" w:rsidRPr="007D35E9" w14:paraId="1E0A2A1F" w14:textId="77777777" w:rsidTr="0007635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490" w:type="dxa"/>
            <w:noWrap/>
            <w:vAlign w:val="bottom"/>
          </w:tcPr>
          <w:p w14:paraId="0BE7EC39" w14:textId="77777777" w:rsidR="005E6933" w:rsidRPr="007D35E9" w:rsidRDefault="005E6933" w:rsidP="00054830">
            <w:pPr>
              <w:pStyle w:val="RowHeading"/>
              <w:rPr>
                <w:rFonts w:eastAsia="Courier New"/>
                <w:b/>
                <w:color w:val="000000" w:themeColor="text1"/>
              </w:rPr>
            </w:pPr>
            <w:r w:rsidRPr="007D35E9">
              <w:rPr>
                <w:b/>
              </w:rPr>
              <w:t>Other</w:t>
            </w:r>
          </w:p>
        </w:tc>
        <w:tc>
          <w:tcPr>
            <w:tcW w:w="1593" w:type="dxa"/>
            <w:noWrap/>
            <w:vAlign w:val="bottom"/>
          </w:tcPr>
          <w:p w14:paraId="5B5DFAA2"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9</w:t>
            </w:r>
          </w:p>
        </w:tc>
        <w:tc>
          <w:tcPr>
            <w:tcW w:w="2545" w:type="dxa"/>
            <w:vAlign w:val="bottom"/>
          </w:tcPr>
          <w:p w14:paraId="3F64EDF8"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10%</w:t>
            </w:r>
          </w:p>
        </w:tc>
      </w:tr>
      <w:tr w:rsidR="005E6933" w:rsidRPr="007D35E9" w14:paraId="442E27C3" w14:textId="77777777" w:rsidTr="00076358">
        <w:trPr>
          <w:trHeight w:val="154"/>
        </w:trPr>
        <w:tc>
          <w:tcPr>
            <w:cnfStyle w:val="001000000000" w:firstRow="0" w:lastRow="0" w:firstColumn="1" w:lastColumn="0" w:oddVBand="0" w:evenVBand="0" w:oddHBand="0" w:evenHBand="0" w:firstRowFirstColumn="0" w:firstRowLastColumn="0" w:lastRowFirstColumn="0" w:lastRowLastColumn="0"/>
            <w:tcW w:w="5490" w:type="dxa"/>
            <w:noWrap/>
          </w:tcPr>
          <w:p w14:paraId="06FEB7BD" w14:textId="77777777" w:rsidR="005E6933" w:rsidRPr="007D35E9" w:rsidRDefault="005E6933" w:rsidP="00054830">
            <w:pPr>
              <w:pStyle w:val="RowHeading"/>
              <w:rPr>
                <w:rFonts w:eastAsia="Courier New"/>
                <w:b/>
              </w:rPr>
            </w:pPr>
            <w:r w:rsidRPr="007D35E9">
              <w:rPr>
                <w:b/>
              </w:rPr>
              <w:t>Total</w:t>
            </w:r>
          </w:p>
        </w:tc>
        <w:tc>
          <w:tcPr>
            <w:tcW w:w="1593" w:type="dxa"/>
            <w:noWrap/>
          </w:tcPr>
          <w:p w14:paraId="74DB8448"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93</w:t>
            </w:r>
          </w:p>
        </w:tc>
        <w:tc>
          <w:tcPr>
            <w:tcW w:w="2545" w:type="dxa"/>
          </w:tcPr>
          <w:p w14:paraId="246EA7F5"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p>
        </w:tc>
      </w:tr>
    </w:tbl>
    <w:p w14:paraId="39B841CD" w14:textId="77777777" w:rsidR="005E6933" w:rsidRPr="00563DEE" w:rsidRDefault="005E6933" w:rsidP="005E6933">
      <w:pPr>
        <w:pStyle w:val="Heading3notnumbered"/>
        <w:rPr>
          <w:rFonts w:asciiTheme="minorHAnsi" w:hAnsiTheme="minorHAnsi" w:cstheme="minorHAnsi"/>
        </w:rPr>
      </w:pPr>
      <w:r w:rsidRPr="00563DEE">
        <w:rPr>
          <w:rFonts w:asciiTheme="minorHAnsi" w:hAnsiTheme="minorHAnsi" w:cstheme="minorHAnsi"/>
        </w:rPr>
        <w:lastRenderedPageBreak/>
        <w:t xml:space="preserve">Journal subscriptions </w:t>
      </w:r>
    </w:p>
    <w:p w14:paraId="6CC126C4" w14:textId="77777777" w:rsidR="005E6933" w:rsidRPr="000418EF" w:rsidRDefault="005E6933" w:rsidP="00A47B69">
      <w:pPr>
        <w:pStyle w:val="BodyText"/>
      </w:pPr>
      <w:r w:rsidRPr="00563DEE">
        <w:t xml:space="preserve">For the purposes of this report, CAUL data is assumed to be more accurate for universities than the survey respondent data. The CAUL data for the 2020 subscription year </w:t>
      </w:r>
      <w:r>
        <w:t>indicated university libraries spent</w:t>
      </w:r>
      <w:r w:rsidRPr="00563DEE">
        <w:t xml:space="preserve"> $273.7 million</w:t>
      </w:r>
      <w:r>
        <w:t xml:space="preserve"> on both physical and digital journals</w:t>
      </w:r>
      <w:r w:rsidRPr="00563DEE">
        <w:t>.</w:t>
      </w:r>
    </w:p>
    <w:p w14:paraId="48F9307A" w14:textId="77777777" w:rsidR="005E6933" w:rsidRDefault="005E6933" w:rsidP="00A47B69">
      <w:pPr>
        <w:pStyle w:val="BodyText"/>
      </w:pPr>
      <w:r w:rsidRPr="00563DEE">
        <w:t xml:space="preserve">The survey identified approximately $25.0 million in </w:t>
      </w:r>
      <w:r>
        <w:t>journal subscription</w:t>
      </w:r>
      <w:r w:rsidRPr="00563DEE">
        <w:t xml:space="preserve"> expenditure from 39 organisations outside of the university sector.</w:t>
      </w:r>
    </w:p>
    <w:p w14:paraId="1AC59B27" w14:textId="77777777" w:rsidR="005E6933" w:rsidRPr="00563DEE" w:rsidRDefault="005E6933" w:rsidP="00A47B69">
      <w:pPr>
        <w:pStyle w:val="BodyText"/>
      </w:pPr>
      <w:r>
        <w:t>Additionally, the OCS provided data on journal subscriptions from an additional nine stakeholder groups not covered by the survey or the CAUL data (this consisted of federal government, state government and PFRA stakeholders). This came to $4.2 million. Note that while no specific year was provided for these expenditure figures, the most recent available year for this data can be assumed.</w:t>
      </w:r>
    </w:p>
    <w:p w14:paraId="29DDF10D" w14:textId="77777777" w:rsidR="005E6933" w:rsidRPr="00563DEE" w:rsidRDefault="005E6933" w:rsidP="00A47B69">
      <w:pPr>
        <w:pStyle w:val="BodyText"/>
      </w:pPr>
      <w:r w:rsidRPr="00563DEE">
        <w:t>Combining these data sets suggests approximately $</w:t>
      </w:r>
      <w:r>
        <w:t>302</w:t>
      </w:r>
      <w:r w:rsidRPr="00563DEE">
        <w:t>.</w:t>
      </w:r>
      <w:r>
        <w:t>9</w:t>
      </w:r>
      <w:r w:rsidRPr="00563DEE">
        <w:t xml:space="preserve"> million in journal subscription expenditure </w:t>
      </w:r>
      <w:r>
        <w:t>nationally</w:t>
      </w:r>
      <w:r w:rsidRPr="00563DEE">
        <w:t xml:space="preserve"> for 2020. This is considered a lower bound because the survey only sampled a portion of the non-university stakeholder groups.</w:t>
      </w:r>
    </w:p>
    <w:p w14:paraId="427536F2" w14:textId="77777777" w:rsidR="005E6933" w:rsidRPr="00563DEE" w:rsidRDefault="005E6933" w:rsidP="00A47B69">
      <w:pPr>
        <w:pStyle w:val="BodyText"/>
      </w:pPr>
      <w:r w:rsidRPr="00563DEE">
        <w:t xml:space="preserve">By far the largest average journal subscription spend was reported by the university category, at an average of $7.2 million in total journal subscription spend per university. </w:t>
      </w:r>
    </w:p>
    <w:p w14:paraId="25C9B6BC" w14:textId="77777777" w:rsidR="005E6933" w:rsidRPr="00563DEE" w:rsidRDefault="005E6933" w:rsidP="00A47B69">
      <w:pPr>
        <w:pStyle w:val="Caption"/>
        <w:rPr>
          <w:i/>
          <w:color w:val="000000" w:themeColor="text1"/>
        </w:rPr>
      </w:pPr>
      <w:r w:rsidRPr="00563DEE">
        <w:t>Table B2: Journal expenditure – CAUL data</w:t>
      </w:r>
      <w:r>
        <w:t>, OCS data</w:t>
      </w:r>
      <w:r w:rsidRPr="00563DEE">
        <w:t xml:space="preserve"> and survey data combined</w:t>
      </w:r>
    </w:p>
    <w:tbl>
      <w:tblPr>
        <w:tblStyle w:val="ListTable3-Accent1"/>
        <w:tblW w:w="0" w:type="auto"/>
        <w:tblLook w:val="04A0" w:firstRow="1" w:lastRow="0" w:firstColumn="1" w:lastColumn="0" w:noHBand="0" w:noVBand="1"/>
      </w:tblPr>
      <w:tblGrid>
        <w:gridCol w:w="2386"/>
        <w:gridCol w:w="1566"/>
        <w:gridCol w:w="2227"/>
        <w:gridCol w:w="3449"/>
      </w:tblGrid>
      <w:tr w:rsidR="005E6933" w:rsidRPr="007D35E9" w14:paraId="2A6DDFD2" w14:textId="77777777" w:rsidTr="00076358">
        <w:trPr>
          <w:cnfStyle w:val="100000000000" w:firstRow="1" w:lastRow="0" w:firstColumn="0" w:lastColumn="0" w:oddVBand="0" w:evenVBand="0" w:oddHBand="0" w:evenHBand="0" w:firstRowFirstColumn="0" w:firstRowLastColumn="0" w:lastRowFirstColumn="0" w:lastRowLastColumn="0"/>
          <w:trHeight w:val="453"/>
        </w:trPr>
        <w:tc>
          <w:tcPr>
            <w:cnfStyle w:val="001000000100" w:firstRow="0" w:lastRow="0" w:firstColumn="1" w:lastColumn="0" w:oddVBand="0" w:evenVBand="0" w:oddHBand="0" w:evenHBand="0" w:firstRowFirstColumn="1" w:firstRowLastColumn="0" w:lastRowFirstColumn="0" w:lastRowLastColumn="0"/>
            <w:tcW w:w="0" w:type="auto"/>
            <w:hideMark/>
          </w:tcPr>
          <w:p w14:paraId="46741573" w14:textId="77777777" w:rsidR="005E6933" w:rsidRPr="00C45E21" w:rsidRDefault="005E6933" w:rsidP="00C7094B">
            <w:pPr>
              <w:pStyle w:val="ColumnHeading"/>
              <w:rPr>
                <w:b/>
                <w:color w:val="auto"/>
              </w:rPr>
            </w:pPr>
            <w:r w:rsidRPr="00C45E21">
              <w:rPr>
                <w:b/>
                <w:color w:val="auto"/>
              </w:rPr>
              <w:t>Stakeholder group</w:t>
            </w:r>
          </w:p>
        </w:tc>
        <w:tc>
          <w:tcPr>
            <w:tcW w:w="0" w:type="auto"/>
            <w:hideMark/>
          </w:tcPr>
          <w:p w14:paraId="6E67BDBB"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Expenditure (total)</w:t>
            </w:r>
          </w:p>
        </w:tc>
        <w:tc>
          <w:tcPr>
            <w:tcW w:w="0" w:type="auto"/>
            <w:hideMark/>
          </w:tcPr>
          <w:p w14:paraId="1CE6B0C9"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Total no. recorded paying subscriptions</w:t>
            </w:r>
          </w:p>
        </w:tc>
        <w:tc>
          <w:tcPr>
            <w:tcW w:w="0" w:type="auto"/>
            <w:hideMark/>
          </w:tcPr>
          <w:p w14:paraId="5918E09E"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Average journal subscription expenditure (for stakeholders who recorded expenditure)</w:t>
            </w:r>
          </w:p>
        </w:tc>
      </w:tr>
      <w:tr w:rsidR="005E6933" w:rsidRPr="007D35E9" w14:paraId="03D5F4BE" w14:textId="77777777" w:rsidTr="00076358">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noWrap/>
          </w:tcPr>
          <w:p w14:paraId="54304DA2" w14:textId="77777777" w:rsidR="005E6933" w:rsidRPr="007D35E9" w:rsidRDefault="005E6933" w:rsidP="00054830">
            <w:pPr>
              <w:pStyle w:val="RowHeading"/>
              <w:rPr>
                <w:b/>
              </w:rPr>
            </w:pPr>
            <w:r w:rsidRPr="007D35E9">
              <w:rPr>
                <w:b/>
              </w:rPr>
              <w:t>University (CAUL data)</w:t>
            </w:r>
          </w:p>
        </w:tc>
        <w:tc>
          <w:tcPr>
            <w:tcW w:w="0" w:type="auto"/>
            <w:shd w:val="clear" w:color="auto" w:fill="F2F2F2" w:themeFill="background1" w:themeFillShade="F2"/>
            <w:noWrap/>
          </w:tcPr>
          <w:p w14:paraId="5C1F3197"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$273,679,960</w:t>
            </w:r>
          </w:p>
        </w:tc>
        <w:tc>
          <w:tcPr>
            <w:tcW w:w="0" w:type="auto"/>
            <w:shd w:val="clear" w:color="auto" w:fill="F2F2F2" w:themeFill="background1" w:themeFillShade="F2"/>
            <w:noWrap/>
          </w:tcPr>
          <w:p w14:paraId="33BE63B8"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38</w:t>
            </w:r>
          </w:p>
        </w:tc>
        <w:tc>
          <w:tcPr>
            <w:tcW w:w="0" w:type="auto"/>
            <w:shd w:val="clear" w:color="auto" w:fill="F2F2F2" w:themeFill="background1" w:themeFillShade="F2"/>
            <w:noWrap/>
          </w:tcPr>
          <w:p w14:paraId="2A0458F8"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$7,202,104</w:t>
            </w:r>
          </w:p>
        </w:tc>
      </w:tr>
      <w:tr w:rsidR="005E6933" w:rsidRPr="007D35E9" w14:paraId="54929E3F" w14:textId="77777777" w:rsidTr="00076358">
        <w:trPr>
          <w:trHeight w:val="178"/>
        </w:trPr>
        <w:tc>
          <w:tcPr>
            <w:cnfStyle w:val="001000000000" w:firstRow="0" w:lastRow="0" w:firstColumn="1" w:lastColumn="0" w:oddVBand="0" w:evenVBand="0" w:oddHBand="0" w:evenHBand="0" w:firstRowFirstColumn="0" w:firstRowLastColumn="0" w:lastRowFirstColumn="0" w:lastRowLastColumn="0"/>
            <w:tcW w:w="0" w:type="auto"/>
            <w:noWrap/>
            <w:hideMark/>
          </w:tcPr>
          <w:p w14:paraId="421ADDE9" w14:textId="77777777" w:rsidR="005E6933" w:rsidRPr="007D35E9" w:rsidRDefault="005E6933" w:rsidP="00054830">
            <w:pPr>
              <w:pStyle w:val="RowHeading"/>
              <w:rPr>
                <w:b/>
              </w:rPr>
            </w:pPr>
            <w:r w:rsidRPr="007D35E9">
              <w:rPr>
                <w:b/>
              </w:rPr>
              <w:t>Federal Government</w:t>
            </w:r>
          </w:p>
        </w:tc>
        <w:tc>
          <w:tcPr>
            <w:tcW w:w="0" w:type="auto"/>
            <w:noWrap/>
            <w:hideMark/>
          </w:tcPr>
          <w:p w14:paraId="1BC01906"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w:t>
            </w:r>
            <w:r w:rsidRPr="00BE0B62">
              <w:t>3,351</w:t>
            </w:r>
            <w:r w:rsidRPr="007D35E9">
              <w:t>,214</w:t>
            </w:r>
          </w:p>
        </w:tc>
        <w:tc>
          <w:tcPr>
            <w:tcW w:w="0" w:type="auto"/>
            <w:noWrap/>
            <w:hideMark/>
          </w:tcPr>
          <w:p w14:paraId="338CCBCE"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BE0B62">
              <w:t>9</w:t>
            </w:r>
          </w:p>
        </w:tc>
        <w:tc>
          <w:tcPr>
            <w:tcW w:w="0" w:type="auto"/>
            <w:noWrap/>
            <w:hideMark/>
          </w:tcPr>
          <w:p w14:paraId="3B736265"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BE0B62">
              <w:t>$372,357</w:t>
            </w:r>
          </w:p>
        </w:tc>
      </w:tr>
      <w:tr w:rsidR="005E6933" w:rsidRPr="007D35E9" w14:paraId="49321C46" w14:textId="77777777" w:rsidTr="0007635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noWrap/>
            <w:hideMark/>
          </w:tcPr>
          <w:p w14:paraId="17CDC3C3" w14:textId="77777777" w:rsidR="005E6933" w:rsidRPr="007D35E9" w:rsidRDefault="005E6933" w:rsidP="00054830">
            <w:pPr>
              <w:pStyle w:val="RowHeading"/>
              <w:rPr>
                <w:b/>
              </w:rPr>
            </w:pPr>
            <w:r w:rsidRPr="007D35E9">
              <w:rPr>
                <w:b/>
              </w:rPr>
              <w:t>State Government</w:t>
            </w:r>
          </w:p>
        </w:tc>
        <w:tc>
          <w:tcPr>
            <w:tcW w:w="0" w:type="auto"/>
            <w:noWrap/>
            <w:hideMark/>
          </w:tcPr>
          <w:p w14:paraId="4BDBC065"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BE0B62">
              <w:t>$7,641,531</w:t>
            </w:r>
          </w:p>
        </w:tc>
        <w:tc>
          <w:tcPr>
            <w:tcW w:w="0" w:type="auto"/>
            <w:noWrap/>
            <w:hideMark/>
          </w:tcPr>
          <w:p w14:paraId="4870B124"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BE0B62">
              <w:t>13</w:t>
            </w:r>
          </w:p>
        </w:tc>
        <w:tc>
          <w:tcPr>
            <w:tcW w:w="0" w:type="auto"/>
            <w:noWrap/>
            <w:hideMark/>
          </w:tcPr>
          <w:p w14:paraId="264892BD"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BE0B62">
              <w:t>$587,810</w:t>
            </w:r>
          </w:p>
        </w:tc>
      </w:tr>
      <w:tr w:rsidR="005E6933" w:rsidRPr="007D35E9" w14:paraId="100EF041" w14:textId="77777777" w:rsidTr="00076358">
        <w:trPr>
          <w:trHeight w:val="184"/>
        </w:trPr>
        <w:tc>
          <w:tcPr>
            <w:cnfStyle w:val="001000000000" w:firstRow="0" w:lastRow="0" w:firstColumn="1" w:lastColumn="0" w:oddVBand="0" w:evenVBand="0" w:oddHBand="0" w:evenHBand="0" w:firstRowFirstColumn="0" w:firstRowLastColumn="0" w:lastRowFirstColumn="0" w:lastRowLastColumn="0"/>
            <w:tcW w:w="0" w:type="auto"/>
            <w:noWrap/>
            <w:hideMark/>
          </w:tcPr>
          <w:p w14:paraId="22738B70" w14:textId="77777777" w:rsidR="005E6933" w:rsidRPr="007D35E9" w:rsidRDefault="005E6933" w:rsidP="00054830">
            <w:pPr>
              <w:pStyle w:val="RowHeading"/>
              <w:rPr>
                <w:b/>
              </w:rPr>
            </w:pPr>
            <w:r w:rsidRPr="007D35E9">
              <w:rPr>
                <w:b/>
              </w:rPr>
              <w:t>Medical research institute</w:t>
            </w:r>
          </w:p>
        </w:tc>
        <w:tc>
          <w:tcPr>
            <w:tcW w:w="0" w:type="auto"/>
            <w:noWrap/>
            <w:hideMark/>
          </w:tcPr>
          <w:p w14:paraId="45B911A4"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$409,500</w:t>
            </w:r>
          </w:p>
        </w:tc>
        <w:tc>
          <w:tcPr>
            <w:tcW w:w="0" w:type="auto"/>
            <w:noWrap/>
            <w:hideMark/>
          </w:tcPr>
          <w:p w14:paraId="67E6A521"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2</w:t>
            </w:r>
          </w:p>
        </w:tc>
        <w:tc>
          <w:tcPr>
            <w:tcW w:w="0" w:type="auto"/>
            <w:noWrap/>
            <w:hideMark/>
          </w:tcPr>
          <w:p w14:paraId="1659DA0D"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$204,750</w:t>
            </w:r>
          </w:p>
        </w:tc>
      </w:tr>
      <w:tr w:rsidR="005E6933" w:rsidRPr="007D35E9" w14:paraId="4FC65522" w14:textId="77777777" w:rsidTr="0007635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noWrap/>
          </w:tcPr>
          <w:p w14:paraId="2823A4B0" w14:textId="77777777" w:rsidR="005E6933" w:rsidRPr="007D35E9" w:rsidRDefault="005E6933" w:rsidP="00054830">
            <w:pPr>
              <w:pStyle w:val="RowHeading"/>
              <w:rPr>
                <w:b/>
              </w:rPr>
            </w:pPr>
            <w:r w:rsidRPr="007D35E9">
              <w:rPr>
                <w:b/>
              </w:rPr>
              <w:t>PFRA</w:t>
            </w:r>
          </w:p>
        </w:tc>
        <w:tc>
          <w:tcPr>
            <w:tcW w:w="0" w:type="auto"/>
            <w:noWrap/>
          </w:tcPr>
          <w:p w14:paraId="7A71BAD1"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1507BE">
              <w:t>$9,384,377</w:t>
            </w:r>
          </w:p>
        </w:tc>
        <w:tc>
          <w:tcPr>
            <w:tcW w:w="0" w:type="auto"/>
            <w:noWrap/>
          </w:tcPr>
          <w:p w14:paraId="7818DDAE"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1507BE">
              <w:t>8</w:t>
            </w:r>
          </w:p>
        </w:tc>
        <w:tc>
          <w:tcPr>
            <w:tcW w:w="0" w:type="auto"/>
            <w:noWrap/>
          </w:tcPr>
          <w:p w14:paraId="6CFD62DB"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1507BE">
              <w:t>$1,173,047</w:t>
            </w:r>
          </w:p>
        </w:tc>
      </w:tr>
      <w:tr w:rsidR="005E6933" w:rsidRPr="007D35E9" w14:paraId="4EB8D628" w14:textId="77777777" w:rsidTr="00076358">
        <w:trPr>
          <w:trHeight w:val="184"/>
        </w:trPr>
        <w:tc>
          <w:tcPr>
            <w:cnfStyle w:val="001000000000" w:firstRow="0" w:lastRow="0" w:firstColumn="1" w:lastColumn="0" w:oddVBand="0" w:evenVBand="0" w:oddHBand="0" w:evenHBand="0" w:firstRowFirstColumn="0" w:firstRowLastColumn="0" w:lastRowFirstColumn="0" w:lastRowLastColumn="0"/>
            <w:tcW w:w="0" w:type="auto"/>
            <w:noWrap/>
          </w:tcPr>
          <w:p w14:paraId="06BCD0A6" w14:textId="77777777" w:rsidR="005E6933" w:rsidRPr="007D35E9" w:rsidRDefault="005E6933" w:rsidP="00054830">
            <w:pPr>
              <w:pStyle w:val="RowHeading"/>
              <w:rPr>
                <w:b/>
              </w:rPr>
            </w:pPr>
            <w:r w:rsidRPr="007D35E9">
              <w:rPr>
                <w:b/>
              </w:rPr>
              <w:t>Health sector</w:t>
            </w:r>
          </w:p>
        </w:tc>
        <w:tc>
          <w:tcPr>
            <w:tcW w:w="0" w:type="auto"/>
            <w:noWrap/>
          </w:tcPr>
          <w:p w14:paraId="149D14DF"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$7,361,117</w:t>
            </w:r>
          </w:p>
        </w:tc>
        <w:tc>
          <w:tcPr>
            <w:tcW w:w="0" w:type="auto"/>
            <w:noWrap/>
          </w:tcPr>
          <w:p w14:paraId="69367B10"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17</w:t>
            </w:r>
          </w:p>
        </w:tc>
        <w:tc>
          <w:tcPr>
            <w:tcW w:w="0" w:type="auto"/>
            <w:noWrap/>
          </w:tcPr>
          <w:p w14:paraId="6A1BFCA9"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$433,007</w:t>
            </w:r>
          </w:p>
        </w:tc>
      </w:tr>
      <w:tr w:rsidR="005E6933" w:rsidRPr="007D35E9" w14:paraId="33606370" w14:textId="77777777" w:rsidTr="0007635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noWrap/>
          </w:tcPr>
          <w:p w14:paraId="23FC928D" w14:textId="77777777" w:rsidR="005E6933" w:rsidRPr="007D35E9" w:rsidRDefault="005E6933" w:rsidP="00054830">
            <w:pPr>
              <w:pStyle w:val="RowHeading"/>
              <w:rPr>
                <w:b/>
              </w:rPr>
            </w:pPr>
            <w:r w:rsidRPr="007D35E9">
              <w:rPr>
                <w:b/>
              </w:rPr>
              <w:t>Other</w:t>
            </w:r>
          </w:p>
        </w:tc>
        <w:tc>
          <w:tcPr>
            <w:tcW w:w="0" w:type="auto"/>
            <w:noWrap/>
          </w:tcPr>
          <w:p w14:paraId="2B8EF2C8"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$1,080,490</w:t>
            </w:r>
          </w:p>
        </w:tc>
        <w:tc>
          <w:tcPr>
            <w:tcW w:w="0" w:type="auto"/>
            <w:noWrap/>
          </w:tcPr>
          <w:p w14:paraId="2604A80B"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7</w:t>
            </w:r>
          </w:p>
        </w:tc>
        <w:tc>
          <w:tcPr>
            <w:tcW w:w="0" w:type="auto"/>
            <w:noWrap/>
          </w:tcPr>
          <w:p w14:paraId="1BAF691E"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$154,356</w:t>
            </w:r>
          </w:p>
        </w:tc>
      </w:tr>
      <w:tr w:rsidR="005E6933" w:rsidRPr="007D35E9" w14:paraId="79476CD0" w14:textId="77777777" w:rsidTr="00076358">
        <w:trPr>
          <w:trHeight w:val="184"/>
        </w:trPr>
        <w:tc>
          <w:tcPr>
            <w:cnfStyle w:val="001000000000" w:firstRow="0" w:lastRow="0" w:firstColumn="1" w:lastColumn="0" w:oddVBand="0" w:evenVBand="0" w:oddHBand="0" w:evenHBand="0" w:firstRowFirstColumn="0" w:firstRowLastColumn="0" w:lastRowFirstColumn="0" w:lastRowLastColumn="0"/>
            <w:tcW w:w="0" w:type="auto"/>
            <w:noWrap/>
            <w:hideMark/>
          </w:tcPr>
          <w:p w14:paraId="13D39ABA" w14:textId="77777777" w:rsidR="005E6933" w:rsidRPr="007D35E9" w:rsidRDefault="005E6933" w:rsidP="00054830">
            <w:pPr>
              <w:pStyle w:val="RowHeading"/>
              <w:rPr>
                <w:b/>
              </w:rPr>
            </w:pPr>
            <w:r w:rsidRPr="007D35E9">
              <w:rPr>
                <w:b/>
              </w:rPr>
              <w:t>Total</w:t>
            </w:r>
          </w:p>
        </w:tc>
        <w:tc>
          <w:tcPr>
            <w:tcW w:w="0" w:type="auto"/>
            <w:noWrap/>
            <w:hideMark/>
          </w:tcPr>
          <w:p w14:paraId="37E39FA5"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rsidRPr="0052221A">
              <w:t>$302,908,189</w:t>
            </w:r>
          </w:p>
        </w:tc>
        <w:tc>
          <w:tcPr>
            <w:tcW w:w="0" w:type="auto"/>
            <w:noWrap/>
            <w:hideMark/>
          </w:tcPr>
          <w:p w14:paraId="3270611F"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t>94</w:t>
            </w:r>
          </w:p>
        </w:tc>
        <w:tc>
          <w:tcPr>
            <w:tcW w:w="0" w:type="auto"/>
            <w:noWrap/>
            <w:hideMark/>
          </w:tcPr>
          <w:p w14:paraId="1C4AB67C"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rsidRPr="00B47160">
              <w:t>$3,222,428</w:t>
            </w:r>
          </w:p>
        </w:tc>
      </w:tr>
    </w:tbl>
    <w:p w14:paraId="4426697D" w14:textId="77777777" w:rsidR="005E6933" w:rsidRPr="00563DEE" w:rsidRDefault="005E6933" w:rsidP="005E6933">
      <w:pPr>
        <w:pStyle w:val="Heading3notnumbered"/>
        <w:rPr>
          <w:rFonts w:asciiTheme="minorHAnsi" w:hAnsiTheme="minorHAnsi" w:cstheme="minorHAnsi"/>
        </w:rPr>
      </w:pPr>
      <w:r w:rsidRPr="00563DEE">
        <w:rPr>
          <w:rFonts w:asciiTheme="minorHAnsi" w:hAnsiTheme="minorHAnsi" w:cstheme="minorHAnsi"/>
        </w:rPr>
        <w:t>Transformative agreements (TAs)</w:t>
      </w:r>
    </w:p>
    <w:p w14:paraId="10A9B90E" w14:textId="77777777" w:rsidR="005E6933" w:rsidRPr="00563DEE" w:rsidRDefault="005E6933" w:rsidP="00A47B69">
      <w:pPr>
        <w:pStyle w:val="BodyText"/>
      </w:pPr>
      <w:r w:rsidRPr="00563DEE">
        <w:t>The CAUL data for 2020 subscription year indicated that the total university expenditure on TAs was around $211,000 (or 0.1% of total university expenditure on journal subscriptions and TAs). Only three non-university survey respondents, from government and PFRAs, provided TA expenditure, totalling $3.9 million. Adding these together gives lower bound figure of approximately $4.1 million.</w:t>
      </w:r>
    </w:p>
    <w:p w14:paraId="7D22FB23" w14:textId="77777777" w:rsidR="00023E22" w:rsidRDefault="00023E22">
      <w:pPr>
        <w:spacing w:before="0" w:after="0" w:line="240" w:lineRule="auto"/>
        <w:rPr>
          <w:b/>
          <w:bCs/>
          <w:color w:val="757579" w:themeColor="accent3"/>
          <w:sz w:val="20"/>
          <w:szCs w:val="18"/>
        </w:rPr>
      </w:pPr>
      <w:r>
        <w:br w:type="page"/>
      </w:r>
    </w:p>
    <w:p w14:paraId="5A2CFCFD" w14:textId="6C330A67" w:rsidR="005E6933" w:rsidRPr="00563DEE" w:rsidRDefault="005E6933" w:rsidP="00A47B69">
      <w:pPr>
        <w:pStyle w:val="Caption"/>
      </w:pPr>
      <w:r w:rsidRPr="00563DEE">
        <w:lastRenderedPageBreak/>
        <w:t>Table B3: Transformative agreement expenditure for 2020/2021 – CAUL data and survey data combined</w:t>
      </w:r>
    </w:p>
    <w:tbl>
      <w:tblPr>
        <w:tblStyle w:val="ListTable3-Accent1"/>
        <w:tblW w:w="9067" w:type="dxa"/>
        <w:tblLook w:val="04A0" w:firstRow="1" w:lastRow="0" w:firstColumn="1" w:lastColumn="0" w:noHBand="0" w:noVBand="1"/>
      </w:tblPr>
      <w:tblGrid>
        <w:gridCol w:w="3400"/>
        <w:gridCol w:w="5667"/>
      </w:tblGrid>
      <w:tr w:rsidR="005E6933" w:rsidRPr="007D35E9" w14:paraId="02C7A70C" w14:textId="77777777" w:rsidTr="00076358">
        <w:trPr>
          <w:cnfStyle w:val="100000000000" w:firstRow="1" w:lastRow="0" w:firstColumn="0" w:lastColumn="0" w:oddVBand="0" w:evenVBand="0" w:oddHBand="0" w:evenHBand="0" w:firstRowFirstColumn="0" w:firstRowLastColumn="0" w:lastRowFirstColumn="0" w:lastRowLastColumn="0"/>
          <w:trHeight w:val="101"/>
        </w:trPr>
        <w:tc>
          <w:tcPr>
            <w:cnfStyle w:val="001000000100" w:firstRow="0" w:lastRow="0" w:firstColumn="1" w:lastColumn="0" w:oddVBand="0" w:evenVBand="0" w:oddHBand="0" w:evenHBand="0" w:firstRowFirstColumn="1" w:firstRowLastColumn="0" w:lastRowFirstColumn="0" w:lastRowLastColumn="0"/>
            <w:tcW w:w="0" w:type="auto"/>
            <w:hideMark/>
          </w:tcPr>
          <w:p w14:paraId="0AF26AE0" w14:textId="77777777" w:rsidR="005E6933" w:rsidRPr="00C45E21" w:rsidRDefault="005E6933" w:rsidP="00C7094B">
            <w:pPr>
              <w:pStyle w:val="ColumnHeading"/>
              <w:rPr>
                <w:b/>
                <w:color w:val="auto"/>
              </w:rPr>
            </w:pPr>
            <w:r w:rsidRPr="00C45E21">
              <w:rPr>
                <w:b/>
                <w:color w:val="auto"/>
              </w:rPr>
              <w:t>Stakeholder group</w:t>
            </w:r>
          </w:p>
        </w:tc>
        <w:tc>
          <w:tcPr>
            <w:tcW w:w="5667" w:type="dxa"/>
            <w:hideMark/>
          </w:tcPr>
          <w:p w14:paraId="10FADB9C"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Total TA expenditure in the 2020 or 2021 subscription year</w:t>
            </w:r>
          </w:p>
        </w:tc>
      </w:tr>
      <w:tr w:rsidR="005E6933" w:rsidRPr="007D35E9" w14:paraId="475B7CE4" w14:textId="77777777" w:rsidTr="00076358">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06033C0" w14:textId="77777777" w:rsidR="005E6933" w:rsidRPr="007D35E9" w:rsidRDefault="005E6933" w:rsidP="00054830">
            <w:pPr>
              <w:pStyle w:val="TableText"/>
            </w:pPr>
            <w:r w:rsidRPr="007D35E9">
              <w:t>Universities (CAUL data)</w:t>
            </w:r>
          </w:p>
        </w:tc>
        <w:tc>
          <w:tcPr>
            <w:tcW w:w="5667" w:type="dxa"/>
            <w:hideMark/>
          </w:tcPr>
          <w:p w14:paraId="45AE3607"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$210,727</w:t>
            </w:r>
          </w:p>
        </w:tc>
      </w:tr>
      <w:tr w:rsidR="005E6933" w:rsidRPr="007D35E9" w14:paraId="255A0D3D" w14:textId="77777777" w:rsidTr="00076358">
        <w:trPr>
          <w:trHeight w:val="274"/>
        </w:trPr>
        <w:tc>
          <w:tcPr>
            <w:cnfStyle w:val="001000000000" w:firstRow="0" w:lastRow="0" w:firstColumn="1" w:lastColumn="0" w:oddVBand="0" w:evenVBand="0" w:oddHBand="0" w:evenHBand="0" w:firstRowFirstColumn="0" w:firstRowLastColumn="0" w:lastRowFirstColumn="0" w:lastRowLastColumn="0"/>
            <w:tcW w:w="0" w:type="auto"/>
            <w:noWrap/>
            <w:hideMark/>
          </w:tcPr>
          <w:p w14:paraId="1BD30235" w14:textId="77777777" w:rsidR="005E6933" w:rsidRPr="007D35E9" w:rsidRDefault="005E6933" w:rsidP="00054830">
            <w:pPr>
              <w:pStyle w:val="TableText"/>
            </w:pPr>
            <w:r w:rsidRPr="007D35E9">
              <w:t>All other stakeholders (survey data)</w:t>
            </w:r>
          </w:p>
        </w:tc>
        <w:tc>
          <w:tcPr>
            <w:tcW w:w="5667" w:type="dxa"/>
            <w:noWrap/>
            <w:hideMark/>
          </w:tcPr>
          <w:p w14:paraId="09087AC2"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$3,851,727</w:t>
            </w:r>
          </w:p>
        </w:tc>
      </w:tr>
      <w:tr w:rsidR="005E6933" w:rsidRPr="007D35E9" w14:paraId="4A21865F" w14:textId="77777777" w:rsidTr="0007635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BAAFCF" w14:textId="77777777" w:rsidR="005E6933" w:rsidRPr="007D35E9" w:rsidRDefault="005E6933" w:rsidP="00054830">
            <w:pPr>
              <w:pStyle w:val="RowHeading"/>
              <w:rPr>
                <w:b/>
              </w:rPr>
            </w:pPr>
            <w:r w:rsidRPr="007D35E9">
              <w:rPr>
                <w:b/>
              </w:rPr>
              <w:t>Total</w:t>
            </w:r>
          </w:p>
        </w:tc>
        <w:tc>
          <w:tcPr>
            <w:tcW w:w="5667" w:type="dxa"/>
            <w:noWrap/>
            <w:hideMark/>
          </w:tcPr>
          <w:p w14:paraId="36F75917" w14:textId="77777777" w:rsidR="005E6933" w:rsidRPr="007D35E9" w:rsidRDefault="005E6933" w:rsidP="00C7094B">
            <w:pPr>
              <w:pStyle w:val="RowHeading"/>
              <w:jc w:val="right"/>
              <w:cnfStyle w:val="000000100000" w:firstRow="0" w:lastRow="0" w:firstColumn="0" w:lastColumn="0" w:oddVBand="0" w:evenVBand="0" w:oddHBand="1" w:evenHBand="0" w:firstRowFirstColumn="0" w:firstRowLastColumn="0" w:lastRowFirstColumn="0" w:lastRowLastColumn="0"/>
            </w:pPr>
            <w:r w:rsidRPr="007D35E9">
              <w:t>$4,062,454</w:t>
            </w:r>
          </w:p>
        </w:tc>
      </w:tr>
    </w:tbl>
    <w:p w14:paraId="032CBB23" w14:textId="77777777" w:rsidR="005E6933" w:rsidRPr="00563DEE" w:rsidRDefault="005E6933" w:rsidP="005E6933">
      <w:pPr>
        <w:pStyle w:val="Heading3notnumbered"/>
        <w:rPr>
          <w:rFonts w:asciiTheme="minorHAnsi" w:hAnsiTheme="minorHAnsi" w:cstheme="minorHAnsi"/>
        </w:rPr>
      </w:pPr>
      <w:r w:rsidRPr="00563DEE">
        <w:rPr>
          <w:rFonts w:asciiTheme="minorHAnsi" w:hAnsiTheme="minorHAnsi" w:cstheme="minorHAnsi"/>
        </w:rPr>
        <w:t>Article Processing Charges (APCs)</w:t>
      </w:r>
    </w:p>
    <w:p w14:paraId="6613F246" w14:textId="77777777" w:rsidR="005E6933" w:rsidRPr="00563DEE" w:rsidRDefault="005E6933" w:rsidP="00A47B69">
      <w:pPr>
        <w:pStyle w:val="BodyText"/>
      </w:pPr>
      <w:r w:rsidRPr="00563DEE">
        <w:t>Thirty-one survey respondents reported their APC expenditure for 2020. These organisations reported spending an estimated $14.5 million to publish 8,533 open access articles in gold or hybrid journals. This results in an average APC of $2844.</w:t>
      </w:r>
    </w:p>
    <w:p w14:paraId="264248FE" w14:textId="77777777" w:rsidR="005E6933" w:rsidRPr="00563DEE" w:rsidRDefault="005E6933" w:rsidP="00A47B69">
      <w:pPr>
        <w:pStyle w:val="Caption"/>
      </w:pPr>
      <w:r w:rsidRPr="00563DEE">
        <w:t>Table B4: Summary of APC data from survey</w:t>
      </w:r>
    </w:p>
    <w:tbl>
      <w:tblPr>
        <w:tblStyle w:val="ListTable3-Accent1"/>
        <w:tblW w:w="8998" w:type="dxa"/>
        <w:tblLook w:val="04A0" w:firstRow="1" w:lastRow="0" w:firstColumn="1" w:lastColumn="0" w:noHBand="0" w:noVBand="1"/>
      </w:tblPr>
      <w:tblGrid>
        <w:gridCol w:w="1844"/>
        <w:gridCol w:w="1690"/>
        <w:gridCol w:w="2488"/>
        <w:gridCol w:w="2976"/>
      </w:tblGrid>
      <w:tr w:rsidR="005E6933" w:rsidRPr="007D35E9" w14:paraId="668E3F9A" w14:textId="77777777" w:rsidTr="00076358">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0" w:type="auto"/>
            <w:hideMark/>
          </w:tcPr>
          <w:p w14:paraId="57F6EF6B" w14:textId="77777777" w:rsidR="005E6933" w:rsidRPr="00C45E21" w:rsidRDefault="005E6933" w:rsidP="00C7094B">
            <w:pPr>
              <w:pStyle w:val="ColumnHeading"/>
              <w:rPr>
                <w:b/>
                <w:color w:val="auto"/>
              </w:rPr>
            </w:pPr>
            <w:r w:rsidRPr="00C45E21">
              <w:rPr>
                <w:b/>
                <w:color w:val="auto"/>
              </w:rPr>
              <w:t>Stakeholder group</w:t>
            </w:r>
          </w:p>
        </w:tc>
        <w:tc>
          <w:tcPr>
            <w:tcW w:w="0" w:type="auto"/>
            <w:hideMark/>
          </w:tcPr>
          <w:p w14:paraId="374BD016"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Expenditure (total)</w:t>
            </w:r>
          </w:p>
        </w:tc>
        <w:tc>
          <w:tcPr>
            <w:tcW w:w="0" w:type="auto"/>
            <w:hideMark/>
          </w:tcPr>
          <w:p w14:paraId="727AAB43"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No. papers covered by APC expenditure</w:t>
            </w:r>
          </w:p>
        </w:tc>
        <w:tc>
          <w:tcPr>
            <w:tcW w:w="0" w:type="auto"/>
            <w:hideMark/>
          </w:tcPr>
          <w:p w14:paraId="67093049"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Total no. organisations recorded paying APCs</w:t>
            </w:r>
          </w:p>
        </w:tc>
      </w:tr>
      <w:tr w:rsidR="005E6933" w:rsidRPr="007D35E9" w14:paraId="02A84186"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14:paraId="7A2AE40A" w14:textId="77777777" w:rsidR="005E6933" w:rsidRPr="007D35E9" w:rsidRDefault="005E6933" w:rsidP="00054830">
            <w:pPr>
              <w:pStyle w:val="RowHeading"/>
              <w:rPr>
                <w:rFonts w:eastAsia="Courier New"/>
                <w:b/>
              </w:rPr>
            </w:pPr>
            <w:r w:rsidRPr="007D35E9">
              <w:rPr>
                <w:b/>
              </w:rPr>
              <w:t>Government (federal)</w:t>
            </w:r>
          </w:p>
        </w:tc>
        <w:tc>
          <w:tcPr>
            <w:tcW w:w="0" w:type="auto"/>
          </w:tcPr>
          <w:p w14:paraId="5A7B3F74"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$25,138</w:t>
            </w:r>
          </w:p>
        </w:tc>
        <w:tc>
          <w:tcPr>
            <w:tcW w:w="0" w:type="auto"/>
          </w:tcPr>
          <w:p w14:paraId="453E2DAA"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12</w:t>
            </w:r>
          </w:p>
        </w:tc>
        <w:tc>
          <w:tcPr>
            <w:tcW w:w="0" w:type="auto"/>
          </w:tcPr>
          <w:p w14:paraId="7D6ABB81"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1</w:t>
            </w:r>
          </w:p>
        </w:tc>
      </w:tr>
      <w:tr w:rsidR="005E6933" w:rsidRPr="007D35E9" w14:paraId="1361F471"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0BE65653" w14:textId="77777777" w:rsidR="005E6933" w:rsidRPr="007D35E9" w:rsidRDefault="005E6933" w:rsidP="00054830">
            <w:pPr>
              <w:pStyle w:val="RowHeading"/>
              <w:rPr>
                <w:rFonts w:eastAsia="Courier New"/>
                <w:b/>
              </w:rPr>
            </w:pPr>
            <w:r w:rsidRPr="007D35E9">
              <w:rPr>
                <w:b/>
              </w:rPr>
              <w:t>Government (state)</w:t>
            </w:r>
          </w:p>
        </w:tc>
        <w:tc>
          <w:tcPr>
            <w:tcW w:w="0" w:type="auto"/>
          </w:tcPr>
          <w:p w14:paraId="1E8A5AD0"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0</w:t>
            </w:r>
          </w:p>
        </w:tc>
        <w:tc>
          <w:tcPr>
            <w:tcW w:w="0" w:type="auto"/>
          </w:tcPr>
          <w:p w14:paraId="3CCAB1EC"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0</w:t>
            </w:r>
          </w:p>
        </w:tc>
        <w:tc>
          <w:tcPr>
            <w:tcW w:w="0" w:type="auto"/>
          </w:tcPr>
          <w:p w14:paraId="4718898E"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0</w:t>
            </w:r>
          </w:p>
        </w:tc>
      </w:tr>
      <w:tr w:rsidR="005E6933" w:rsidRPr="007D35E9" w14:paraId="6202134A" w14:textId="77777777" w:rsidTr="00076358">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0" w:type="auto"/>
          </w:tcPr>
          <w:p w14:paraId="2FEB3D16" w14:textId="77777777" w:rsidR="005E6933" w:rsidRPr="007D35E9" w:rsidRDefault="005E6933" w:rsidP="00054830">
            <w:pPr>
              <w:pStyle w:val="RowHeading"/>
              <w:rPr>
                <w:rFonts w:eastAsia="Courier New"/>
                <w:b/>
              </w:rPr>
            </w:pPr>
            <w:r w:rsidRPr="007D35E9">
              <w:rPr>
                <w:b/>
              </w:rPr>
              <w:t>University</w:t>
            </w:r>
          </w:p>
        </w:tc>
        <w:tc>
          <w:tcPr>
            <w:tcW w:w="0" w:type="auto"/>
          </w:tcPr>
          <w:p w14:paraId="6E934B02"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$13,008,661</w:t>
            </w:r>
          </w:p>
        </w:tc>
        <w:tc>
          <w:tcPr>
            <w:tcW w:w="0" w:type="auto"/>
          </w:tcPr>
          <w:p w14:paraId="23B179A6"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7,886</w:t>
            </w:r>
          </w:p>
        </w:tc>
        <w:tc>
          <w:tcPr>
            <w:tcW w:w="0" w:type="auto"/>
          </w:tcPr>
          <w:p w14:paraId="6A949AC3"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15</w:t>
            </w:r>
          </w:p>
        </w:tc>
      </w:tr>
      <w:tr w:rsidR="005E6933" w:rsidRPr="007D35E9" w14:paraId="16D308D9" w14:textId="77777777" w:rsidTr="00076358">
        <w:trPr>
          <w:trHeight w:val="519"/>
        </w:trPr>
        <w:tc>
          <w:tcPr>
            <w:cnfStyle w:val="001000000000" w:firstRow="0" w:lastRow="0" w:firstColumn="1" w:lastColumn="0" w:oddVBand="0" w:evenVBand="0" w:oddHBand="0" w:evenHBand="0" w:firstRowFirstColumn="0" w:firstRowLastColumn="0" w:lastRowFirstColumn="0" w:lastRowLastColumn="0"/>
            <w:tcW w:w="0" w:type="auto"/>
          </w:tcPr>
          <w:p w14:paraId="04AADFAB" w14:textId="77777777" w:rsidR="005E6933" w:rsidRPr="007D35E9" w:rsidRDefault="005E6933" w:rsidP="00054830">
            <w:pPr>
              <w:pStyle w:val="RowHeading"/>
              <w:rPr>
                <w:rFonts w:eastAsia="Courier New"/>
                <w:b/>
              </w:rPr>
            </w:pPr>
            <w:r w:rsidRPr="007D35E9">
              <w:rPr>
                <w:b/>
              </w:rPr>
              <w:t>Medical research institute</w:t>
            </w:r>
          </w:p>
        </w:tc>
        <w:tc>
          <w:tcPr>
            <w:tcW w:w="0" w:type="auto"/>
          </w:tcPr>
          <w:p w14:paraId="2A53582C"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$1,147,241</w:t>
            </w:r>
          </w:p>
        </w:tc>
        <w:tc>
          <w:tcPr>
            <w:tcW w:w="0" w:type="auto"/>
          </w:tcPr>
          <w:p w14:paraId="5A6A5A89"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474</w:t>
            </w:r>
          </w:p>
        </w:tc>
        <w:tc>
          <w:tcPr>
            <w:tcW w:w="0" w:type="auto"/>
          </w:tcPr>
          <w:p w14:paraId="3D202FB5"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8</w:t>
            </w:r>
          </w:p>
        </w:tc>
      </w:tr>
      <w:tr w:rsidR="005E6933" w:rsidRPr="007D35E9" w14:paraId="7F552C66"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14:paraId="39073B5C" w14:textId="77777777" w:rsidR="005E6933" w:rsidRPr="007D35E9" w:rsidRDefault="005E6933" w:rsidP="00054830">
            <w:pPr>
              <w:pStyle w:val="RowHeading"/>
              <w:rPr>
                <w:rFonts w:eastAsia="Courier New"/>
                <w:b/>
              </w:rPr>
            </w:pPr>
            <w:r w:rsidRPr="007D35E9">
              <w:rPr>
                <w:b/>
              </w:rPr>
              <w:t>PFRA</w:t>
            </w:r>
          </w:p>
        </w:tc>
        <w:tc>
          <w:tcPr>
            <w:tcW w:w="0" w:type="auto"/>
          </w:tcPr>
          <w:p w14:paraId="657CF9AF"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$325,909</w:t>
            </w:r>
          </w:p>
        </w:tc>
        <w:tc>
          <w:tcPr>
            <w:tcW w:w="0" w:type="auto"/>
          </w:tcPr>
          <w:p w14:paraId="0683906F"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43</w:t>
            </w:r>
          </w:p>
        </w:tc>
        <w:tc>
          <w:tcPr>
            <w:tcW w:w="0" w:type="auto"/>
          </w:tcPr>
          <w:p w14:paraId="0048AE59"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3</w:t>
            </w:r>
          </w:p>
        </w:tc>
      </w:tr>
      <w:tr w:rsidR="005E6933" w:rsidRPr="007D35E9" w14:paraId="06A09E39"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01953B5F" w14:textId="77777777" w:rsidR="005E6933" w:rsidRPr="007D35E9" w:rsidRDefault="005E6933" w:rsidP="00054830">
            <w:pPr>
              <w:pStyle w:val="RowHeading"/>
              <w:rPr>
                <w:rFonts w:eastAsia="Courier New"/>
                <w:b/>
              </w:rPr>
            </w:pPr>
            <w:r w:rsidRPr="007D35E9">
              <w:rPr>
                <w:b/>
              </w:rPr>
              <w:t>Health sector</w:t>
            </w:r>
          </w:p>
        </w:tc>
        <w:tc>
          <w:tcPr>
            <w:tcW w:w="0" w:type="auto"/>
          </w:tcPr>
          <w:p w14:paraId="5513662E"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$10,290</w:t>
            </w:r>
          </w:p>
        </w:tc>
        <w:tc>
          <w:tcPr>
            <w:tcW w:w="0" w:type="auto"/>
          </w:tcPr>
          <w:p w14:paraId="6443D52A"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105</w:t>
            </w:r>
          </w:p>
        </w:tc>
        <w:tc>
          <w:tcPr>
            <w:tcW w:w="0" w:type="auto"/>
          </w:tcPr>
          <w:p w14:paraId="1955AB7D"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3</w:t>
            </w:r>
          </w:p>
        </w:tc>
      </w:tr>
      <w:tr w:rsidR="005E6933" w:rsidRPr="007D35E9" w14:paraId="2290FDC3"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14:paraId="5AE2B2F1" w14:textId="77777777" w:rsidR="005E6933" w:rsidRPr="007D35E9" w:rsidRDefault="005E6933" w:rsidP="00054830">
            <w:pPr>
              <w:pStyle w:val="RowHeading"/>
              <w:rPr>
                <w:rFonts w:eastAsia="Courier New"/>
                <w:b/>
              </w:rPr>
            </w:pPr>
            <w:r w:rsidRPr="007D35E9">
              <w:rPr>
                <w:b/>
              </w:rPr>
              <w:t>Other</w:t>
            </w:r>
          </w:p>
        </w:tc>
        <w:tc>
          <w:tcPr>
            <w:tcW w:w="0" w:type="auto"/>
          </w:tcPr>
          <w:p w14:paraId="45F7B745"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$21,550</w:t>
            </w:r>
          </w:p>
        </w:tc>
        <w:tc>
          <w:tcPr>
            <w:tcW w:w="0" w:type="auto"/>
          </w:tcPr>
          <w:p w14:paraId="4B3EA53D"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13</w:t>
            </w:r>
          </w:p>
        </w:tc>
        <w:tc>
          <w:tcPr>
            <w:tcW w:w="0" w:type="auto"/>
          </w:tcPr>
          <w:p w14:paraId="3D55E077"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1</w:t>
            </w:r>
          </w:p>
        </w:tc>
      </w:tr>
      <w:tr w:rsidR="005E6933" w:rsidRPr="007D35E9" w14:paraId="60ADC147" w14:textId="77777777" w:rsidTr="00076358">
        <w:trPr>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14:paraId="2F63F516" w14:textId="77777777" w:rsidR="005E6933" w:rsidRPr="007D35E9" w:rsidRDefault="005E6933" w:rsidP="00054830">
            <w:pPr>
              <w:pStyle w:val="RowHeading"/>
              <w:rPr>
                <w:b/>
              </w:rPr>
            </w:pPr>
            <w:r w:rsidRPr="007D35E9">
              <w:rPr>
                <w:b/>
              </w:rPr>
              <w:t>Total</w:t>
            </w:r>
          </w:p>
        </w:tc>
        <w:tc>
          <w:tcPr>
            <w:tcW w:w="0" w:type="auto"/>
            <w:noWrap/>
            <w:hideMark/>
          </w:tcPr>
          <w:p w14:paraId="28BE1F44"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rsidRPr="007D35E9">
              <w:t>$14,538,789</w:t>
            </w:r>
          </w:p>
        </w:tc>
        <w:tc>
          <w:tcPr>
            <w:tcW w:w="0" w:type="auto"/>
            <w:noWrap/>
            <w:hideMark/>
          </w:tcPr>
          <w:p w14:paraId="20C2381D"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rsidRPr="007D35E9">
              <w:t>8,533</w:t>
            </w:r>
          </w:p>
        </w:tc>
        <w:tc>
          <w:tcPr>
            <w:tcW w:w="0" w:type="auto"/>
            <w:noWrap/>
            <w:hideMark/>
          </w:tcPr>
          <w:p w14:paraId="55EF8427"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rsidRPr="007D35E9">
              <w:t>31</w:t>
            </w:r>
          </w:p>
        </w:tc>
      </w:tr>
    </w:tbl>
    <w:p w14:paraId="04DCBD54" w14:textId="77777777" w:rsidR="005E6933" w:rsidRPr="00563DEE" w:rsidRDefault="005E6933" w:rsidP="00A47B69">
      <w:pPr>
        <w:pStyle w:val="BodyText"/>
      </w:pPr>
      <w:r w:rsidRPr="00563DEE">
        <w:t>Note that this only includes organisations who know and are willing to share APC data and that it does not include APCs covered as part of transformative agreements. Over 20 survey respondents noted poor visibility of expenditure on APCs, and many indicated that the totals they provided in the survey were likely to be an underestimate.</w:t>
      </w:r>
    </w:p>
    <w:p w14:paraId="2357EEA6" w14:textId="77777777" w:rsidR="005E6933" w:rsidRPr="00F26B30" w:rsidRDefault="005E6933" w:rsidP="00A47B69">
      <w:pPr>
        <w:pStyle w:val="BodyText"/>
      </w:pPr>
      <w:r w:rsidRPr="00563DEE">
        <w:t>Respondents noted several issues associated with APC expenditure, including expenditure not being tracked and reported by their institution and the variety of fund</w:t>
      </w:r>
      <w:r>
        <w:t>ing source</w:t>
      </w:r>
      <w:r w:rsidRPr="00563DEE">
        <w:t xml:space="preserve">s (e.g., research grants, personal, </w:t>
      </w:r>
      <w:r>
        <w:t>faculty</w:t>
      </w:r>
      <w:r w:rsidRPr="00563DEE">
        <w:t xml:space="preserve"> budgets) that can be used to pay APCs. In addition, estimates may also be affected by fee-waivers or contributions from other authors from different institutions. Some stakeholders noted plans to implement APC tracking processes in the future. One stakeholder expressed interest in the development of guidelines for best practice APC data collection.</w:t>
      </w:r>
    </w:p>
    <w:p w14:paraId="7F6B1371" w14:textId="77777777" w:rsidR="005E6933" w:rsidRPr="00563DEE" w:rsidRDefault="005E6933" w:rsidP="005E6933">
      <w:pPr>
        <w:pStyle w:val="Heading3notnumbered"/>
        <w:rPr>
          <w:rFonts w:asciiTheme="minorHAnsi" w:hAnsiTheme="minorHAnsi" w:cstheme="minorHAnsi"/>
        </w:rPr>
      </w:pPr>
      <w:r>
        <w:rPr>
          <w:rFonts w:asciiTheme="minorHAnsi" w:hAnsiTheme="minorHAnsi" w:cstheme="minorHAnsi"/>
        </w:rPr>
        <w:lastRenderedPageBreak/>
        <w:t xml:space="preserve">Upper-bound on APC expenditure </w:t>
      </w:r>
    </w:p>
    <w:p w14:paraId="49D5DEA5" w14:textId="77777777" w:rsidR="005E6933" w:rsidRDefault="005E6933" w:rsidP="00A47B69">
      <w:pPr>
        <w:pStyle w:val="BodyText"/>
      </w:pPr>
      <w:r>
        <w:t>Additional to the potentially lower-bound findings from the survey results, the OCS has guidance on an alternative estimation of the current 2020 APC expenditure. This approach yields an upper-bound estimate on current APC expenditure.</w:t>
      </w:r>
    </w:p>
    <w:p w14:paraId="2CCB3EE1" w14:textId="77777777" w:rsidR="005E6933" w:rsidRDefault="005E6933" w:rsidP="00A47B69">
      <w:pPr>
        <w:pStyle w:val="BodyText"/>
      </w:pPr>
      <w:r>
        <w:t xml:space="preserve">This is done by drawing on Web of Science data on 2020 open access publications with Australian authorship from 10 major publishers and publicly available average APC charges for those publishers. </w:t>
      </w:r>
    </w:p>
    <w:p w14:paraId="0C37F68A" w14:textId="144BCCF7" w:rsidR="005E6933" w:rsidRDefault="005E6933" w:rsidP="00A47B69">
      <w:pPr>
        <w:pStyle w:val="BodyText"/>
      </w:pPr>
      <w:r>
        <w:t>If it is assumed that 70% of these publications are led by Australians who pay the open access fee (see Appendix C below for further discussion on how this was calculated),</w:t>
      </w:r>
      <w:r>
        <w:rPr>
          <w:rStyle w:val="FootnoteReference"/>
        </w:rPr>
        <w:footnoteReference w:id="122"/>
      </w:r>
      <w:r>
        <w:t xml:space="preserve"> then multiplying Australian publications by the average APC charge results in a total cost of approximately $84.8 million. This is a significantly higher figure than that indicated by the survey and should therefore be treated as an upper-bound estimate.</w:t>
      </w:r>
    </w:p>
    <w:p w14:paraId="59F9B378" w14:textId="77777777" w:rsidR="005E6933" w:rsidRDefault="005E6933" w:rsidP="00A47B69">
      <w:pPr>
        <w:pStyle w:val="BodyText"/>
      </w:pPr>
    </w:p>
    <w:p w14:paraId="5B66EA4B" w14:textId="77777777" w:rsidR="005E6933" w:rsidRDefault="005E6933" w:rsidP="009702EF">
      <w:pPr>
        <w:pStyle w:val="CaptionNote"/>
      </w:pPr>
      <w:r w:rsidRPr="00DA39CA">
        <w:t>Table B</w:t>
      </w:r>
      <w:r>
        <w:t>5</w:t>
      </w:r>
      <w:r w:rsidRPr="00DA39CA">
        <w:t>:</w:t>
      </w:r>
      <w:r>
        <w:t xml:space="preserve"> Summary of upper-bound estimation of current total APC expenditure in Australia</w:t>
      </w:r>
    </w:p>
    <w:tbl>
      <w:tblPr>
        <w:tblStyle w:val="ListTable3-Accent1"/>
        <w:tblW w:w="0" w:type="auto"/>
        <w:tblLook w:val="04A0" w:firstRow="1" w:lastRow="0" w:firstColumn="1" w:lastColumn="0" w:noHBand="0" w:noVBand="1"/>
      </w:tblPr>
      <w:tblGrid>
        <w:gridCol w:w="1868"/>
        <w:gridCol w:w="2091"/>
        <w:gridCol w:w="2720"/>
        <w:gridCol w:w="1541"/>
        <w:gridCol w:w="1408"/>
      </w:tblGrid>
      <w:tr w:rsidR="00253499" w:rsidRPr="00C7094B" w14:paraId="17A29BAA" w14:textId="77777777" w:rsidTr="00076358">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16372813" w14:textId="77777777" w:rsidR="005E6933" w:rsidRPr="00C45E21" w:rsidRDefault="005E6933" w:rsidP="00C7094B">
            <w:pPr>
              <w:pStyle w:val="ColumnHeading"/>
              <w:rPr>
                <w:b/>
                <w:bCs w:val="0"/>
                <w:color w:val="auto"/>
              </w:rPr>
            </w:pPr>
            <w:r w:rsidRPr="00C45E21">
              <w:rPr>
                <w:b/>
                <w:bCs w:val="0"/>
                <w:color w:val="auto"/>
              </w:rPr>
              <w:t>2020 Web of Science data</w:t>
            </w:r>
          </w:p>
        </w:tc>
        <w:tc>
          <w:tcPr>
            <w:tcW w:w="0" w:type="auto"/>
            <w:vAlign w:val="center"/>
            <w:hideMark/>
          </w:tcPr>
          <w:p w14:paraId="5D0918CC"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bCs w:val="0"/>
                <w:color w:val="auto"/>
              </w:rPr>
            </w:pPr>
            <w:r w:rsidRPr="00C45E21">
              <w:rPr>
                <w:b/>
                <w:bCs w:val="0"/>
                <w:color w:val="auto"/>
              </w:rPr>
              <w:t>Australian open access publications</w:t>
            </w:r>
          </w:p>
        </w:tc>
        <w:tc>
          <w:tcPr>
            <w:tcW w:w="0" w:type="auto"/>
            <w:vAlign w:val="center"/>
            <w:hideMark/>
          </w:tcPr>
          <w:p w14:paraId="41093748"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bCs w:val="0"/>
                <w:color w:val="auto"/>
              </w:rPr>
            </w:pPr>
            <w:r w:rsidRPr="00C45E21">
              <w:rPr>
                <w:b/>
                <w:bCs w:val="0"/>
                <w:color w:val="auto"/>
              </w:rPr>
              <w:t>Assuming 70% of these are led by Australians who pay the fee</w:t>
            </w:r>
          </w:p>
        </w:tc>
        <w:tc>
          <w:tcPr>
            <w:tcW w:w="0" w:type="auto"/>
            <w:vAlign w:val="center"/>
            <w:hideMark/>
          </w:tcPr>
          <w:p w14:paraId="199A9196"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bCs w:val="0"/>
                <w:color w:val="auto"/>
              </w:rPr>
            </w:pPr>
            <w:r w:rsidRPr="00C45E21">
              <w:rPr>
                <w:b/>
                <w:bCs w:val="0"/>
                <w:color w:val="auto"/>
              </w:rPr>
              <w:t>Average APC per paper (AUD)</w:t>
            </w:r>
          </w:p>
        </w:tc>
        <w:tc>
          <w:tcPr>
            <w:tcW w:w="0" w:type="auto"/>
            <w:vAlign w:val="center"/>
          </w:tcPr>
          <w:p w14:paraId="59CFE575" w14:textId="79105994"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bCs w:val="0"/>
                <w:color w:val="auto"/>
              </w:rPr>
            </w:pPr>
            <w:r w:rsidRPr="00C45E21">
              <w:rPr>
                <w:b/>
                <w:bCs w:val="0"/>
                <w:color w:val="auto"/>
              </w:rPr>
              <w:t>Expenditure</w:t>
            </w:r>
            <w:r w:rsidR="009702EF" w:rsidRPr="00C45E21">
              <w:rPr>
                <w:b/>
                <w:bCs w:val="0"/>
                <w:color w:val="auto"/>
              </w:rPr>
              <w:br/>
            </w:r>
            <w:r w:rsidRPr="00C45E21">
              <w:rPr>
                <w:b/>
                <w:bCs w:val="0"/>
                <w:color w:val="auto"/>
              </w:rPr>
              <w:t>(</w:t>
            </w:r>
            <w:r w:rsidR="00E361D5" w:rsidRPr="00C45E21">
              <w:rPr>
                <w:b/>
                <w:bCs w:val="0"/>
                <w:color w:val="auto"/>
              </w:rPr>
              <w:t>MILLION</w:t>
            </w:r>
            <w:r w:rsidR="005A5580" w:rsidRPr="00C45E21">
              <w:rPr>
                <w:b/>
                <w:bCs w:val="0"/>
                <w:color w:val="auto"/>
              </w:rPr>
              <w:t xml:space="preserve"> AUD</w:t>
            </w:r>
            <w:r w:rsidRPr="00C45E21">
              <w:rPr>
                <w:b/>
                <w:bCs w:val="0"/>
                <w:color w:val="auto"/>
              </w:rPr>
              <w:t>)</w:t>
            </w:r>
          </w:p>
        </w:tc>
      </w:tr>
      <w:tr w:rsidR="00283B79" w:rsidRPr="007D35E9" w14:paraId="1D223CFD"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A7A49" w14:textId="77777777" w:rsidR="005E6933" w:rsidRPr="0059325C" w:rsidRDefault="005E6933" w:rsidP="00054830">
            <w:pPr>
              <w:pStyle w:val="RowHeading"/>
              <w:rPr>
                <w:rFonts w:eastAsia="Courier New"/>
                <w:b/>
              </w:rPr>
            </w:pPr>
            <w:r w:rsidRPr="0017377F">
              <w:t>Elsevier</w:t>
            </w:r>
          </w:p>
        </w:tc>
        <w:tc>
          <w:tcPr>
            <w:tcW w:w="0" w:type="auto"/>
            <w:vAlign w:val="center"/>
          </w:tcPr>
          <w:p w14:paraId="62721ED4"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6,314</w:t>
            </w:r>
          </w:p>
        </w:tc>
        <w:tc>
          <w:tcPr>
            <w:tcW w:w="0" w:type="auto"/>
          </w:tcPr>
          <w:p w14:paraId="4F15A2D3"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color w:val="000000" w:themeColor="text1"/>
              </w:rPr>
            </w:pPr>
            <w:r w:rsidRPr="00CB4F18">
              <w:t xml:space="preserve"> 4,420 </w:t>
            </w:r>
          </w:p>
        </w:tc>
        <w:tc>
          <w:tcPr>
            <w:tcW w:w="0" w:type="auto"/>
            <w:vAlign w:val="center"/>
          </w:tcPr>
          <w:p w14:paraId="0C146381"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$3,600</w:t>
            </w:r>
          </w:p>
        </w:tc>
        <w:tc>
          <w:tcPr>
            <w:tcW w:w="0" w:type="auto"/>
          </w:tcPr>
          <w:p w14:paraId="053A0018" w14:textId="2A0806FB" w:rsidR="005E6933" w:rsidRPr="00DA39CA" w:rsidRDefault="0000444A" w:rsidP="00C7094B">
            <w:pPr>
              <w:pStyle w:val="TableText"/>
              <w:jc w:val="right"/>
              <w:cnfStyle w:val="000000100000" w:firstRow="0" w:lastRow="0" w:firstColumn="0" w:lastColumn="0" w:oddVBand="0" w:evenVBand="0" w:oddHBand="1" w:evenHBand="0" w:firstRowFirstColumn="0" w:firstRowLastColumn="0" w:lastRowFirstColumn="0" w:lastRowLastColumn="0"/>
            </w:pPr>
            <w:r>
              <w:t>$</w:t>
            </w:r>
            <w:r w:rsidR="005E6933" w:rsidRPr="00614BD8">
              <w:t>15.9</w:t>
            </w:r>
          </w:p>
        </w:tc>
      </w:tr>
      <w:tr w:rsidR="00283B79" w:rsidRPr="007D35E9" w14:paraId="369AB9C6"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8A6617" w14:textId="77777777" w:rsidR="005E6933" w:rsidRPr="0059325C" w:rsidRDefault="005E6933" w:rsidP="00054830">
            <w:pPr>
              <w:pStyle w:val="RowHeading"/>
              <w:rPr>
                <w:rFonts w:eastAsia="Courier New"/>
                <w:b/>
              </w:rPr>
            </w:pPr>
            <w:r w:rsidRPr="0017377F">
              <w:t>Wiley</w:t>
            </w:r>
          </w:p>
        </w:tc>
        <w:tc>
          <w:tcPr>
            <w:tcW w:w="0" w:type="auto"/>
            <w:vAlign w:val="center"/>
          </w:tcPr>
          <w:p w14:paraId="697B5253"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DA39CA">
              <w:t>6,932</w:t>
            </w:r>
          </w:p>
        </w:tc>
        <w:tc>
          <w:tcPr>
            <w:tcW w:w="0" w:type="auto"/>
          </w:tcPr>
          <w:p w14:paraId="3B122F6A"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color w:val="000000" w:themeColor="text1"/>
              </w:rPr>
            </w:pPr>
            <w:r w:rsidRPr="00CB4F18">
              <w:t xml:space="preserve"> 4,852 </w:t>
            </w:r>
          </w:p>
        </w:tc>
        <w:tc>
          <w:tcPr>
            <w:tcW w:w="0" w:type="auto"/>
            <w:vAlign w:val="center"/>
          </w:tcPr>
          <w:p w14:paraId="43B1D99D"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DA39CA">
              <w:t>$4,403</w:t>
            </w:r>
          </w:p>
        </w:tc>
        <w:tc>
          <w:tcPr>
            <w:tcW w:w="0" w:type="auto"/>
          </w:tcPr>
          <w:p w14:paraId="18F6294A" w14:textId="11F3E5AC" w:rsidR="005E6933" w:rsidRPr="00DA39CA" w:rsidRDefault="0000444A" w:rsidP="00C7094B">
            <w:pPr>
              <w:pStyle w:val="TableText"/>
              <w:jc w:val="right"/>
              <w:cnfStyle w:val="000000000000" w:firstRow="0" w:lastRow="0" w:firstColumn="0" w:lastColumn="0" w:oddVBand="0" w:evenVBand="0" w:oddHBand="0" w:evenHBand="0" w:firstRowFirstColumn="0" w:firstRowLastColumn="0" w:lastRowFirstColumn="0" w:lastRowLastColumn="0"/>
            </w:pPr>
            <w:r>
              <w:t>$</w:t>
            </w:r>
            <w:r w:rsidR="005E6933" w:rsidRPr="00614BD8">
              <w:t>21.4</w:t>
            </w:r>
          </w:p>
        </w:tc>
      </w:tr>
      <w:tr w:rsidR="00283B79" w:rsidRPr="007D35E9" w14:paraId="6E793DB2" w14:textId="77777777" w:rsidTr="0007635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D5BC1E" w14:textId="77777777" w:rsidR="005E6933" w:rsidRPr="0059325C" w:rsidRDefault="005E6933" w:rsidP="00054830">
            <w:pPr>
              <w:pStyle w:val="RowHeading"/>
              <w:rPr>
                <w:rFonts w:eastAsia="Courier New"/>
                <w:b/>
              </w:rPr>
            </w:pPr>
            <w:r w:rsidRPr="0017377F">
              <w:t>Springer/Nature</w:t>
            </w:r>
          </w:p>
        </w:tc>
        <w:tc>
          <w:tcPr>
            <w:tcW w:w="0" w:type="auto"/>
            <w:vAlign w:val="center"/>
          </w:tcPr>
          <w:p w14:paraId="6A9EA6E8"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7,328</w:t>
            </w:r>
          </w:p>
        </w:tc>
        <w:tc>
          <w:tcPr>
            <w:tcW w:w="0" w:type="auto"/>
          </w:tcPr>
          <w:p w14:paraId="63761494"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color w:val="000000" w:themeColor="text1"/>
              </w:rPr>
            </w:pPr>
            <w:r w:rsidRPr="00CB4F18">
              <w:t xml:space="preserve"> 5,130 </w:t>
            </w:r>
          </w:p>
        </w:tc>
        <w:tc>
          <w:tcPr>
            <w:tcW w:w="0" w:type="auto"/>
            <w:vAlign w:val="center"/>
          </w:tcPr>
          <w:p w14:paraId="44006D19"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$4,110</w:t>
            </w:r>
          </w:p>
        </w:tc>
        <w:tc>
          <w:tcPr>
            <w:tcW w:w="0" w:type="auto"/>
          </w:tcPr>
          <w:p w14:paraId="5F66312C" w14:textId="3125DADB" w:rsidR="005E6933" w:rsidRPr="00DA39CA" w:rsidRDefault="0000444A" w:rsidP="00C7094B">
            <w:pPr>
              <w:pStyle w:val="TableText"/>
              <w:jc w:val="right"/>
              <w:cnfStyle w:val="000000100000" w:firstRow="0" w:lastRow="0" w:firstColumn="0" w:lastColumn="0" w:oddVBand="0" w:evenVBand="0" w:oddHBand="1" w:evenHBand="0" w:firstRowFirstColumn="0" w:firstRowLastColumn="0" w:lastRowFirstColumn="0" w:lastRowLastColumn="0"/>
            </w:pPr>
            <w:r>
              <w:t>$</w:t>
            </w:r>
            <w:r w:rsidR="005E6933" w:rsidRPr="00614BD8">
              <w:t>21.1</w:t>
            </w:r>
          </w:p>
        </w:tc>
      </w:tr>
      <w:tr w:rsidR="00283B79" w:rsidRPr="007D35E9" w14:paraId="10BE2FE8"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40D844" w14:textId="77777777" w:rsidR="005E6933" w:rsidRPr="0059325C" w:rsidRDefault="005E6933" w:rsidP="00054830">
            <w:pPr>
              <w:pStyle w:val="RowHeading"/>
              <w:rPr>
                <w:rFonts w:eastAsia="Courier New"/>
                <w:b/>
              </w:rPr>
            </w:pPr>
            <w:r w:rsidRPr="0017377F">
              <w:t>Taylor and Francis</w:t>
            </w:r>
          </w:p>
        </w:tc>
        <w:tc>
          <w:tcPr>
            <w:tcW w:w="0" w:type="auto"/>
            <w:vAlign w:val="center"/>
          </w:tcPr>
          <w:p w14:paraId="1EB57342"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DA39CA">
              <w:t>1,717</w:t>
            </w:r>
          </w:p>
        </w:tc>
        <w:tc>
          <w:tcPr>
            <w:tcW w:w="0" w:type="auto"/>
          </w:tcPr>
          <w:p w14:paraId="32137A8D"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color w:val="000000" w:themeColor="text1"/>
              </w:rPr>
            </w:pPr>
            <w:r w:rsidRPr="00CB4F18">
              <w:t xml:space="preserve"> 1,202 </w:t>
            </w:r>
          </w:p>
        </w:tc>
        <w:tc>
          <w:tcPr>
            <w:tcW w:w="0" w:type="auto"/>
            <w:vAlign w:val="center"/>
          </w:tcPr>
          <w:p w14:paraId="30514951"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DA39CA">
              <w:t>$6,576</w:t>
            </w:r>
          </w:p>
        </w:tc>
        <w:tc>
          <w:tcPr>
            <w:tcW w:w="0" w:type="auto"/>
          </w:tcPr>
          <w:p w14:paraId="397676F4" w14:textId="0EE03875" w:rsidR="005E6933" w:rsidRPr="00DA39CA" w:rsidRDefault="0000444A" w:rsidP="00C7094B">
            <w:pPr>
              <w:pStyle w:val="TableText"/>
              <w:jc w:val="right"/>
              <w:cnfStyle w:val="000000000000" w:firstRow="0" w:lastRow="0" w:firstColumn="0" w:lastColumn="0" w:oddVBand="0" w:evenVBand="0" w:oddHBand="0" w:evenHBand="0" w:firstRowFirstColumn="0" w:firstRowLastColumn="0" w:lastRowFirstColumn="0" w:lastRowLastColumn="0"/>
            </w:pPr>
            <w:r>
              <w:t>$</w:t>
            </w:r>
            <w:r w:rsidR="005E6933" w:rsidRPr="00614BD8">
              <w:t>7.9</w:t>
            </w:r>
          </w:p>
        </w:tc>
      </w:tr>
      <w:tr w:rsidR="00283B79" w:rsidRPr="007D35E9" w14:paraId="65E929CC"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4092C6" w14:textId="77777777" w:rsidR="005E6933" w:rsidRPr="0059325C" w:rsidRDefault="005E6933" w:rsidP="00054830">
            <w:pPr>
              <w:pStyle w:val="RowHeading"/>
              <w:rPr>
                <w:rFonts w:eastAsia="Courier New"/>
                <w:b/>
              </w:rPr>
            </w:pPr>
            <w:r w:rsidRPr="0017377F">
              <w:t>IEEE</w:t>
            </w:r>
          </w:p>
        </w:tc>
        <w:tc>
          <w:tcPr>
            <w:tcW w:w="0" w:type="auto"/>
            <w:vAlign w:val="center"/>
          </w:tcPr>
          <w:p w14:paraId="274B9850"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1,189</w:t>
            </w:r>
          </w:p>
        </w:tc>
        <w:tc>
          <w:tcPr>
            <w:tcW w:w="0" w:type="auto"/>
          </w:tcPr>
          <w:p w14:paraId="1A1EFB93"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color w:val="000000" w:themeColor="text1"/>
              </w:rPr>
            </w:pPr>
            <w:r w:rsidRPr="00CB4F18">
              <w:t xml:space="preserve"> 832 </w:t>
            </w:r>
          </w:p>
        </w:tc>
        <w:tc>
          <w:tcPr>
            <w:tcW w:w="0" w:type="auto"/>
            <w:vAlign w:val="center"/>
          </w:tcPr>
          <w:p w14:paraId="31A5E6F5"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$2,802</w:t>
            </w:r>
          </w:p>
        </w:tc>
        <w:tc>
          <w:tcPr>
            <w:tcW w:w="0" w:type="auto"/>
          </w:tcPr>
          <w:p w14:paraId="449A1374" w14:textId="3F14AC9E" w:rsidR="005E6933" w:rsidRPr="00DA39CA" w:rsidRDefault="0000444A" w:rsidP="00C7094B">
            <w:pPr>
              <w:pStyle w:val="TableText"/>
              <w:jc w:val="right"/>
              <w:cnfStyle w:val="000000100000" w:firstRow="0" w:lastRow="0" w:firstColumn="0" w:lastColumn="0" w:oddVBand="0" w:evenVBand="0" w:oddHBand="1" w:evenHBand="0" w:firstRowFirstColumn="0" w:firstRowLastColumn="0" w:lastRowFirstColumn="0" w:lastRowLastColumn="0"/>
            </w:pPr>
            <w:r>
              <w:t>$</w:t>
            </w:r>
            <w:r w:rsidR="005E6933" w:rsidRPr="00614BD8">
              <w:t>2.3</w:t>
            </w:r>
          </w:p>
        </w:tc>
      </w:tr>
      <w:tr w:rsidR="00283B79" w:rsidRPr="007D35E9" w14:paraId="7CCAB0CF"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F55D16" w14:textId="77777777" w:rsidR="005E6933" w:rsidRPr="0059325C" w:rsidRDefault="005E6933" w:rsidP="00054830">
            <w:pPr>
              <w:pStyle w:val="RowHeading"/>
              <w:rPr>
                <w:rFonts w:eastAsia="Courier New"/>
                <w:b/>
              </w:rPr>
            </w:pPr>
            <w:r>
              <w:t>MDPI</w:t>
            </w:r>
          </w:p>
        </w:tc>
        <w:tc>
          <w:tcPr>
            <w:tcW w:w="0" w:type="auto"/>
            <w:vAlign w:val="center"/>
          </w:tcPr>
          <w:p w14:paraId="2C00F700"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DA39CA">
              <w:t>4,738</w:t>
            </w:r>
          </w:p>
        </w:tc>
        <w:tc>
          <w:tcPr>
            <w:tcW w:w="0" w:type="auto"/>
          </w:tcPr>
          <w:p w14:paraId="3C1084F4"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color w:val="000000" w:themeColor="text1"/>
              </w:rPr>
            </w:pPr>
            <w:r w:rsidRPr="00CB4F18">
              <w:t xml:space="preserve"> 3,317 </w:t>
            </w:r>
          </w:p>
        </w:tc>
        <w:tc>
          <w:tcPr>
            <w:tcW w:w="0" w:type="auto"/>
            <w:vAlign w:val="center"/>
          </w:tcPr>
          <w:p w14:paraId="60C96931"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DA39CA">
              <w:t>$2,276</w:t>
            </w:r>
          </w:p>
        </w:tc>
        <w:tc>
          <w:tcPr>
            <w:tcW w:w="0" w:type="auto"/>
          </w:tcPr>
          <w:p w14:paraId="29D573DD" w14:textId="2410888F" w:rsidR="005E6933" w:rsidRPr="00DA39CA" w:rsidRDefault="0000444A" w:rsidP="00C7094B">
            <w:pPr>
              <w:pStyle w:val="TableText"/>
              <w:jc w:val="right"/>
              <w:cnfStyle w:val="000000000000" w:firstRow="0" w:lastRow="0" w:firstColumn="0" w:lastColumn="0" w:oddVBand="0" w:evenVBand="0" w:oddHBand="0" w:evenHBand="0" w:firstRowFirstColumn="0" w:firstRowLastColumn="0" w:lastRowFirstColumn="0" w:lastRowLastColumn="0"/>
            </w:pPr>
            <w:r>
              <w:t>$</w:t>
            </w:r>
            <w:r w:rsidR="005E6933" w:rsidRPr="00614BD8">
              <w:t>7.5</w:t>
            </w:r>
          </w:p>
        </w:tc>
      </w:tr>
      <w:tr w:rsidR="00283B79" w:rsidRPr="007D35E9" w14:paraId="713C0004"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EDF900" w14:textId="77777777" w:rsidR="005E6933" w:rsidRPr="0059325C" w:rsidRDefault="005E6933" w:rsidP="00054830">
            <w:pPr>
              <w:pStyle w:val="RowHeading"/>
              <w:rPr>
                <w:rFonts w:eastAsia="Courier New"/>
                <w:b/>
              </w:rPr>
            </w:pPr>
            <w:r w:rsidRPr="0017377F">
              <w:t>SAGE</w:t>
            </w:r>
          </w:p>
        </w:tc>
        <w:tc>
          <w:tcPr>
            <w:tcW w:w="0" w:type="auto"/>
            <w:vAlign w:val="center"/>
          </w:tcPr>
          <w:p w14:paraId="72763BF4"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1,374</w:t>
            </w:r>
          </w:p>
        </w:tc>
        <w:tc>
          <w:tcPr>
            <w:tcW w:w="0" w:type="auto"/>
          </w:tcPr>
          <w:p w14:paraId="3CE7005E"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color w:val="000000" w:themeColor="text1"/>
              </w:rPr>
            </w:pPr>
            <w:r w:rsidRPr="00CB4F18">
              <w:t xml:space="preserve"> 962 </w:t>
            </w:r>
          </w:p>
        </w:tc>
        <w:tc>
          <w:tcPr>
            <w:tcW w:w="0" w:type="auto"/>
            <w:vAlign w:val="center"/>
          </w:tcPr>
          <w:p w14:paraId="0505F264"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DA39CA">
              <w:t>$1,096</w:t>
            </w:r>
          </w:p>
        </w:tc>
        <w:tc>
          <w:tcPr>
            <w:tcW w:w="0" w:type="auto"/>
          </w:tcPr>
          <w:p w14:paraId="50308A71" w14:textId="0927B11C" w:rsidR="005E6933" w:rsidRPr="00DA39CA" w:rsidRDefault="0000444A" w:rsidP="00C7094B">
            <w:pPr>
              <w:pStyle w:val="TableText"/>
              <w:jc w:val="right"/>
              <w:cnfStyle w:val="000000100000" w:firstRow="0" w:lastRow="0" w:firstColumn="0" w:lastColumn="0" w:oddVBand="0" w:evenVBand="0" w:oddHBand="1" w:evenHBand="0" w:firstRowFirstColumn="0" w:firstRowLastColumn="0" w:lastRowFirstColumn="0" w:lastRowLastColumn="0"/>
            </w:pPr>
            <w:r>
              <w:t>$</w:t>
            </w:r>
            <w:r w:rsidR="005E6933" w:rsidRPr="00614BD8">
              <w:t>1.1</w:t>
            </w:r>
          </w:p>
        </w:tc>
      </w:tr>
      <w:tr w:rsidR="00283B79" w:rsidRPr="007D35E9" w14:paraId="36D5E412"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D99A08" w14:textId="77777777" w:rsidR="005E6933" w:rsidRPr="0059325C" w:rsidRDefault="005E6933" w:rsidP="00054830">
            <w:pPr>
              <w:pStyle w:val="RowHeading"/>
              <w:rPr>
                <w:b/>
              </w:rPr>
            </w:pPr>
            <w:r w:rsidRPr="0017377F">
              <w:t>Oxford U</w:t>
            </w:r>
          </w:p>
        </w:tc>
        <w:tc>
          <w:tcPr>
            <w:tcW w:w="0" w:type="auto"/>
            <w:vAlign w:val="center"/>
          </w:tcPr>
          <w:p w14:paraId="27F6F30F"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DA39CA">
              <w:t>1,635</w:t>
            </w:r>
          </w:p>
        </w:tc>
        <w:tc>
          <w:tcPr>
            <w:tcW w:w="0" w:type="auto"/>
          </w:tcPr>
          <w:p w14:paraId="47D74B3C"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B4F18">
              <w:t xml:space="preserve"> 1,145 </w:t>
            </w:r>
          </w:p>
        </w:tc>
        <w:tc>
          <w:tcPr>
            <w:tcW w:w="0" w:type="auto"/>
            <w:vAlign w:val="center"/>
          </w:tcPr>
          <w:p w14:paraId="296E0CE6"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DA39CA">
              <w:t>$3,229</w:t>
            </w:r>
          </w:p>
        </w:tc>
        <w:tc>
          <w:tcPr>
            <w:tcW w:w="0" w:type="auto"/>
          </w:tcPr>
          <w:p w14:paraId="7DF18DB2" w14:textId="71D7DA73" w:rsidR="005E6933" w:rsidRPr="00DA39CA" w:rsidRDefault="0000444A" w:rsidP="00C7094B">
            <w:pPr>
              <w:pStyle w:val="TableText"/>
              <w:jc w:val="right"/>
              <w:cnfStyle w:val="000000000000" w:firstRow="0" w:lastRow="0" w:firstColumn="0" w:lastColumn="0" w:oddVBand="0" w:evenVBand="0" w:oddHBand="0" w:evenHBand="0" w:firstRowFirstColumn="0" w:firstRowLastColumn="0" w:lastRowFirstColumn="0" w:lastRowLastColumn="0"/>
            </w:pPr>
            <w:r>
              <w:t>$</w:t>
            </w:r>
            <w:r w:rsidR="005E6933" w:rsidRPr="00614BD8">
              <w:t>3.7</w:t>
            </w:r>
          </w:p>
        </w:tc>
      </w:tr>
      <w:tr w:rsidR="00283B79" w:rsidRPr="007D35E9" w14:paraId="64452596" w14:textId="77777777" w:rsidTr="000763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9B4A80" w14:textId="77777777" w:rsidR="005E6933" w:rsidRPr="0059325C" w:rsidRDefault="005E6933" w:rsidP="00054830">
            <w:pPr>
              <w:pStyle w:val="RowHeading"/>
              <w:rPr>
                <w:b/>
              </w:rPr>
            </w:pPr>
            <w:r w:rsidRPr="0017377F">
              <w:t>Lippincott Williams and Wilkes</w:t>
            </w:r>
          </w:p>
        </w:tc>
        <w:tc>
          <w:tcPr>
            <w:tcW w:w="0" w:type="auto"/>
            <w:vAlign w:val="center"/>
          </w:tcPr>
          <w:p w14:paraId="4E85E0AC"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DA39CA">
              <w:t>649</w:t>
            </w:r>
          </w:p>
        </w:tc>
        <w:tc>
          <w:tcPr>
            <w:tcW w:w="0" w:type="auto"/>
          </w:tcPr>
          <w:p w14:paraId="01090DF7"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CB4F18">
              <w:t xml:space="preserve"> 454 </w:t>
            </w:r>
          </w:p>
        </w:tc>
        <w:tc>
          <w:tcPr>
            <w:tcW w:w="0" w:type="auto"/>
            <w:vAlign w:val="center"/>
          </w:tcPr>
          <w:p w14:paraId="53696A49" w14:textId="77777777" w:rsidR="005E6933" w:rsidRPr="00DA39CA"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DA39CA">
              <w:t>$4,247</w:t>
            </w:r>
          </w:p>
        </w:tc>
        <w:tc>
          <w:tcPr>
            <w:tcW w:w="0" w:type="auto"/>
          </w:tcPr>
          <w:p w14:paraId="0E1F5D26" w14:textId="173366BF" w:rsidR="005E6933" w:rsidRPr="00DA39CA" w:rsidRDefault="0000444A" w:rsidP="00C7094B">
            <w:pPr>
              <w:pStyle w:val="TableText"/>
              <w:jc w:val="right"/>
              <w:cnfStyle w:val="000000100000" w:firstRow="0" w:lastRow="0" w:firstColumn="0" w:lastColumn="0" w:oddVBand="0" w:evenVBand="0" w:oddHBand="1" w:evenHBand="0" w:firstRowFirstColumn="0" w:firstRowLastColumn="0" w:lastRowFirstColumn="0" w:lastRowLastColumn="0"/>
            </w:pPr>
            <w:r>
              <w:t>$</w:t>
            </w:r>
            <w:r w:rsidR="005E6933" w:rsidRPr="00614BD8">
              <w:t>1.9</w:t>
            </w:r>
          </w:p>
        </w:tc>
      </w:tr>
      <w:tr w:rsidR="00283B79" w:rsidRPr="007D35E9" w14:paraId="522FFB82" w14:textId="77777777" w:rsidTr="00076358">
        <w:trPr>
          <w:trHeight w:val="6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BFE0D4" w14:textId="77777777" w:rsidR="005E6933" w:rsidRPr="0059325C" w:rsidRDefault="005E6933" w:rsidP="00054830">
            <w:pPr>
              <w:pStyle w:val="RowHeading"/>
              <w:rPr>
                <w:b/>
              </w:rPr>
            </w:pPr>
            <w:r w:rsidRPr="0017377F">
              <w:t>Frontiers Media</w:t>
            </w:r>
          </w:p>
        </w:tc>
        <w:tc>
          <w:tcPr>
            <w:tcW w:w="0" w:type="auto"/>
            <w:vAlign w:val="center"/>
          </w:tcPr>
          <w:p w14:paraId="1B211017"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DA39CA">
              <w:t>1,850</w:t>
            </w:r>
          </w:p>
        </w:tc>
        <w:tc>
          <w:tcPr>
            <w:tcW w:w="0" w:type="auto"/>
          </w:tcPr>
          <w:p w14:paraId="5E730B7C"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B4F18">
              <w:t xml:space="preserve"> 1,295 </w:t>
            </w:r>
          </w:p>
        </w:tc>
        <w:tc>
          <w:tcPr>
            <w:tcW w:w="0" w:type="auto"/>
            <w:vAlign w:val="center"/>
          </w:tcPr>
          <w:p w14:paraId="7E8C78AC" w14:textId="77777777" w:rsidR="005E6933" w:rsidRPr="00DA39CA"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DA39CA">
              <w:t>$1,565</w:t>
            </w:r>
          </w:p>
        </w:tc>
        <w:tc>
          <w:tcPr>
            <w:tcW w:w="0" w:type="auto"/>
          </w:tcPr>
          <w:p w14:paraId="6DFE5C83" w14:textId="12D6AF09" w:rsidR="005E6933" w:rsidRPr="00DA39CA" w:rsidRDefault="0000444A" w:rsidP="00C7094B">
            <w:pPr>
              <w:pStyle w:val="TableText"/>
              <w:jc w:val="right"/>
              <w:cnfStyle w:val="000000000000" w:firstRow="0" w:lastRow="0" w:firstColumn="0" w:lastColumn="0" w:oddVBand="0" w:evenVBand="0" w:oddHBand="0" w:evenHBand="0" w:firstRowFirstColumn="0" w:firstRowLastColumn="0" w:lastRowFirstColumn="0" w:lastRowLastColumn="0"/>
            </w:pPr>
            <w:r>
              <w:t>$</w:t>
            </w:r>
            <w:r w:rsidR="005E6933" w:rsidRPr="00614BD8">
              <w:t>2.0</w:t>
            </w:r>
          </w:p>
        </w:tc>
      </w:tr>
      <w:tr w:rsidR="00283B79" w:rsidRPr="007D35E9" w14:paraId="1315D82F" w14:textId="77777777" w:rsidTr="00076358">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D0960D" w14:textId="77777777" w:rsidR="005E6933" w:rsidRPr="00DA39CA" w:rsidRDefault="005E6933" w:rsidP="00054830">
            <w:pPr>
              <w:pStyle w:val="RowHeading"/>
              <w:rPr>
                <w:b/>
              </w:rPr>
            </w:pPr>
            <w:r w:rsidRPr="00DA39CA">
              <w:rPr>
                <w:b/>
              </w:rPr>
              <w:t>Total</w:t>
            </w:r>
          </w:p>
        </w:tc>
        <w:tc>
          <w:tcPr>
            <w:tcW w:w="0" w:type="auto"/>
            <w:noWrap/>
            <w:vAlign w:val="center"/>
          </w:tcPr>
          <w:p w14:paraId="7E1932CE" w14:textId="77777777" w:rsidR="005E6933" w:rsidRPr="00DA39CA" w:rsidRDefault="005E6933" w:rsidP="00C7094B">
            <w:pPr>
              <w:pStyle w:val="RowHeading"/>
              <w:jc w:val="right"/>
              <w:cnfStyle w:val="000000100000" w:firstRow="0" w:lastRow="0" w:firstColumn="0" w:lastColumn="0" w:oddVBand="0" w:evenVBand="0" w:oddHBand="1" w:evenHBand="0" w:firstRowFirstColumn="0" w:firstRowLastColumn="0" w:lastRowFirstColumn="0" w:lastRowLastColumn="0"/>
            </w:pPr>
            <w:r>
              <w:t>33,726</w:t>
            </w:r>
          </w:p>
        </w:tc>
        <w:tc>
          <w:tcPr>
            <w:tcW w:w="0" w:type="auto"/>
            <w:noWrap/>
            <w:vAlign w:val="center"/>
          </w:tcPr>
          <w:p w14:paraId="27BF10FC" w14:textId="77777777" w:rsidR="005E6933" w:rsidRPr="00DA39CA" w:rsidRDefault="005E6933" w:rsidP="00C7094B">
            <w:pPr>
              <w:pStyle w:val="RowHeading"/>
              <w:jc w:val="right"/>
              <w:cnfStyle w:val="000000100000" w:firstRow="0" w:lastRow="0" w:firstColumn="0" w:lastColumn="0" w:oddVBand="0" w:evenVBand="0" w:oddHBand="1" w:evenHBand="0" w:firstRowFirstColumn="0" w:firstRowLastColumn="0" w:lastRowFirstColumn="0" w:lastRowLastColumn="0"/>
            </w:pPr>
            <w:r>
              <w:t>23,609</w:t>
            </w:r>
          </w:p>
        </w:tc>
        <w:tc>
          <w:tcPr>
            <w:tcW w:w="0" w:type="auto"/>
            <w:noWrap/>
            <w:vAlign w:val="center"/>
          </w:tcPr>
          <w:p w14:paraId="67FB48AB" w14:textId="77777777" w:rsidR="005E6933" w:rsidRPr="00DA39CA" w:rsidRDefault="005E6933" w:rsidP="00C7094B">
            <w:pPr>
              <w:pStyle w:val="RowHeading"/>
              <w:jc w:val="right"/>
              <w:cnfStyle w:val="000000100000" w:firstRow="0" w:lastRow="0" w:firstColumn="0" w:lastColumn="0" w:oddVBand="0" w:evenVBand="0" w:oddHBand="1" w:evenHBand="0" w:firstRowFirstColumn="0" w:firstRowLastColumn="0" w:lastRowFirstColumn="0" w:lastRowLastColumn="0"/>
            </w:pPr>
            <w:r>
              <w:t>-</w:t>
            </w:r>
          </w:p>
        </w:tc>
        <w:tc>
          <w:tcPr>
            <w:tcW w:w="0" w:type="auto"/>
          </w:tcPr>
          <w:p w14:paraId="2E1FC002" w14:textId="67B2D545" w:rsidR="005E6933" w:rsidRPr="00DA39CA" w:rsidRDefault="0000444A" w:rsidP="00C7094B">
            <w:pPr>
              <w:pStyle w:val="RowHeading"/>
              <w:jc w:val="right"/>
              <w:cnfStyle w:val="000000100000" w:firstRow="0" w:lastRow="0" w:firstColumn="0" w:lastColumn="0" w:oddVBand="0" w:evenVBand="0" w:oddHBand="1" w:evenHBand="0" w:firstRowFirstColumn="0" w:firstRowLastColumn="0" w:lastRowFirstColumn="0" w:lastRowLastColumn="0"/>
            </w:pPr>
            <w:r>
              <w:t>$</w:t>
            </w:r>
            <w:r w:rsidR="005E6933" w:rsidRPr="00614BD8">
              <w:t>84.8</w:t>
            </w:r>
          </w:p>
        </w:tc>
      </w:tr>
    </w:tbl>
    <w:p w14:paraId="4813332E" w14:textId="77777777" w:rsidR="005E6933" w:rsidRPr="00563DEE" w:rsidRDefault="005E6933" w:rsidP="005E6933">
      <w:pPr>
        <w:pStyle w:val="Heading3notnumbered"/>
        <w:rPr>
          <w:rFonts w:asciiTheme="minorHAnsi" w:eastAsia="Courier New" w:hAnsiTheme="minorHAnsi" w:cstheme="minorHAnsi"/>
        </w:rPr>
      </w:pPr>
      <w:r w:rsidRPr="00563DEE">
        <w:rPr>
          <w:rFonts w:asciiTheme="minorHAnsi" w:eastAsia="Courier New" w:hAnsiTheme="minorHAnsi" w:cstheme="minorHAnsi"/>
        </w:rPr>
        <w:t xml:space="preserve">Overall expenditure </w:t>
      </w:r>
    </w:p>
    <w:p w14:paraId="239F36B7" w14:textId="77777777" w:rsidR="005E6933" w:rsidRPr="00563DEE" w:rsidRDefault="005E6933" w:rsidP="00A47B69">
      <w:pPr>
        <w:pStyle w:val="BodyText"/>
      </w:pPr>
      <w:r w:rsidRPr="00563DEE">
        <w:t>Total expenditure across all categories (journal subscriptions, TAs, and APCs) for the survey respondents</w:t>
      </w:r>
      <w:r>
        <w:t xml:space="preserve">, combined with the CAUL data and OCS data, </w:t>
      </w:r>
      <w:r w:rsidRPr="00563DEE">
        <w:t>came to a total of $3</w:t>
      </w:r>
      <w:r>
        <w:t>21</w:t>
      </w:r>
      <w:r w:rsidRPr="00563DEE">
        <w:t>.</w:t>
      </w:r>
      <w:r>
        <w:t>4</w:t>
      </w:r>
      <w:r w:rsidRPr="00563DEE">
        <w:t xml:space="preserve"> million. Note, again, that this figure should be treated as a lower bound due to the sample size of the survey.</w:t>
      </w:r>
    </w:p>
    <w:p w14:paraId="2E02DD81" w14:textId="77777777" w:rsidR="005E6933" w:rsidRPr="00563DEE" w:rsidRDefault="005E6933" w:rsidP="00A47B69">
      <w:pPr>
        <w:pStyle w:val="Caption"/>
        <w:rPr>
          <w:i/>
          <w:color w:val="000000" w:themeColor="text1"/>
        </w:rPr>
      </w:pPr>
      <w:r w:rsidRPr="00563DEE">
        <w:lastRenderedPageBreak/>
        <w:t>Table B</w:t>
      </w:r>
      <w:r>
        <w:t>6</w:t>
      </w:r>
      <w:r w:rsidRPr="00563DEE">
        <w:t>: Total expenditure across all categories – journal subscriptions, TAs and APCs (n=77)</w:t>
      </w:r>
    </w:p>
    <w:tbl>
      <w:tblPr>
        <w:tblStyle w:val="ListTable3-Accent1"/>
        <w:tblW w:w="0" w:type="auto"/>
        <w:tblLook w:val="04A0" w:firstRow="1" w:lastRow="0" w:firstColumn="1" w:lastColumn="0" w:noHBand="0" w:noVBand="1"/>
      </w:tblPr>
      <w:tblGrid>
        <w:gridCol w:w="2385"/>
        <w:gridCol w:w="2563"/>
        <w:gridCol w:w="1313"/>
      </w:tblGrid>
      <w:tr w:rsidR="005E6933" w:rsidRPr="007D35E9" w14:paraId="62A12510" w14:textId="77777777" w:rsidTr="009702EF">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0" w:type="auto"/>
            <w:hideMark/>
          </w:tcPr>
          <w:p w14:paraId="3EF85B3B" w14:textId="77777777" w:rsidR="005E6933" w:rsidRPr="00C45E21" w:rsidRDefault="005E6933" w:rsidP="00C7094B">
            <w:pPr>
              <w:pStyle w:val="ColumnHeading"/>
              <w:rPr>
                <w:rFonts w:eastAsia="Courier New"/>
                <w:b/>
                <w:color w:val="auto"/>
              </w:rPr>
            </w:pPr>
            <w:r w:rsidRPr="00C45E21">
              <w:rPr>
                <w:b/>
                <w:color w:val="auto"/>
              </w:rPr>
              <w:t>Stakeholder group</w:t>
            </w:r>
          </w:p>
        </w:tc>
        <w:tc>
          <w:tcPr>
            <w:tcW w:w="0" w:type="auto"/>
            <w:hideMark/>
          </w:tcPr>
          <w:p w14:paraId="58D0B735"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rFonts w:eastAsia="Courier New"/>
                <w:b/>
                <w:color w:val="auto"/>
              </w:rPr>
            </w:pPr>
            <w:r w:rsidRPr="00C45E21">
              <w:rPr>
                <w:b/>
                <w:color w:val="auto"/>
              </w:rPr>
              <w:t>Expenditure (total, AUD)</w:t>
            </w:r>
          </w:p>
        </w:tc>
        <w:tc>
          <w:tcPr>
            <w:tcW w:w="0" w:type="auto"/>
          </w:tcPr>
          <w:p w14:paraId="5A113EC0"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Percentage</w:t>
            </w:r>
          </w:p>
        </w:tc>
      </w:tr>
      <w:tr w:rsidR="005E6933" w:rsidRPr="007D35E9" w14:paraId="73FDDC64" w14:textId="77777777" w:rsidTr="009702EF">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17C46E" w14:textId="77777777" w:rsidR="005E6933" w:rsidRPr="007D35E9" w:rsidRDefault="005E6933" w:rsidP="00054830">
            <w:pPr>
              <w:pStyle w:val="RowHeading"/>
              <w:rPr>
                <w:rFonts w:eastAsia="Courier New"/>
                <w:b/>
              </w:rPr>
            </w:pPr>
            <w:r w:rsidRPr="007D35E9">
              <w:rPr>
                <w:b/>
              </w:rPr>
              <w:t>Government (federal)</w:t>
            </w:r>
          </w:p>
        </w:tc>
        <w:tc>
          <w:tcPr>
            <w:tcW w:w="0" w:type="auto"/>
            <w:noWrap/>
            <w:hideMark/>
          </w:tcPr>
          <w:p w14:paraId="39D7A633"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w:t>
            </w:r>
            <w:r w:rsidRPr="008D264F">
              <w:t>3,376</w:t>
            </w:r>
            <w:r w:rsidRPr="007D35E9">
              <w:t>,352</w:t>
            </w:r>
          </w:p>
        </w:tc>
        <w:tc>
          <w:tcPr>
            <w:tcW w:w="0" w:type="auto"/>
          </w:tcPr>
          <w:p w14:paraId="210FBE22"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A327B4">
              <w:t>1.1%</w:t>
            </w:r>
          </w:p>
        </w:tc>
      </w:tr>
      <w:tr w:rsidR="005E6933" w:rsidRPr="007D35E9" w14:paraId="0B58D192" w14:textId="77777777" w:rsidTr="009702EF">
        <w:trPr>
          <w:trHeight w:val="161"/>
        </w:trPr>
        <w:tc>
          <w:tcPr>
            <w:cnfStyle w:val="001000000000" w:firstRow="0" w:lastRow="0" w:firstColumn="1" w:lastColumn="0" w:oddVBand="0" w:evenVBand="0" w:oddHBand="0" w:evenHBand="0" w:firstRowFirstColumn="0" w:firstRowLastColumn="0" w:lastRowFirstColumn="0" w:lastRowLastColumn="0"/>
            <w:tcW w:w="0" w:type="auto"/>
            <w:noWrap/>
            <w:hideMark/>
          </w:tcPr>
          <w:p w14:paraId="6CFCD173" w14:textId="77777777" w:rsidR="005E6933" w:rsidRPr="007D35E9" w:rsidRDefault="005E6933" w:rsidP="00054830">
            <w:pPr>
              <w:pStyle w:val="RowHeading"/>
              <w:rPr>
                <w:rFonts w:eastAsia="Courier New"/>
                <w:b/>
              </w:rPr>
            </w:pPr>
            <w:r w:rsidRPr="007D35E9">
              <w:rPr>
                <w:b/>
              </w:rPr>
              <w:t>Government (state)</w:t>
            </w:r>
          </w:p>
        </w:tc>
        <w:tc>
          <w:tcPr>
            <w:tcW w:w="0" w:type="auto"/>
            <w:noWrap/>
            <w:hideMark/>
          </w:tcPr>
          <w:p w14:paraId="39FC22FC"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8D264F">
              <w:t>$7,793,258</w:t>
            </w:r>
          </w:p>
        </w:tc>
        <w:tc>
          <w:tcPr>
            <w:tcW w:w="0" w:type="auto"/>
          </w:tcPr>
          <w:p w14:paraId="18D70147"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A327B4">
              <w:t>2.4%</w:t>
            </w:r>
          </w:p>
        </w:tc>
      </w:tr>
      <w:tr w:rsidR="005E6933" w:rsidRPr="007D35E9" w14:paraId="57102F4F" w14:textId="77777777" w:rsidTr="009702EF">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0" w:type="auto"/>
            <w:noWrap/>
            <w:hideMark/>
          </w:tcPr>
          <w:p w14:paraId="696C7A2B" w14:textId="77777777" w:rsidR="005E6933" w:rsidRPr="007D35E9" w:rsidRDefault="005E6933" w:rsidP="00054830">
            <w:pPr>
              <w:pStyle w:val="RowHeading"/>
              <w:rPr>
                <w:rFonts w:eastAsia="Courier New"/>
                <w:b/>
              </w:rPr>
            </w:pPr>
            <w:r w:rsidRPr="007D35E9">
              <w:rPr>
                <w:b/>
              </w:rPr>
              <w:t>University</w:t>
            </w:r>
          </w:p>
        </w:tc>
        <w:tc>
          <w:tcPr>
            <w:tcW w:w="0" w:type="auto"/>
            <w:noWrap/>
            <w:hideMark/>
          </w:tcPr>
          <w:p w14:paraId="0197C34E"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7D35E9">
              <w:t>$286,761,642</w:t>
            </w:r>
          </w:p>
        </w:tc>
        <w:tc>
          <w:tcPr>
            <w:tcW w:w="0" w:type="auto"/>
          </w:tcPr>
          <w:p w14:paraId="362C283B"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DD163D">
              <w:t>89.2%</w:t>
            </w:r>
          </w:p>
        </w:tc>
      </w:tr>
      <w:tr w:rsidR="005E6933" w:rsidRPr="007D35E9" w14:paraId="1E6A45CC" w14:textId="77777777" w:rsidTr="009702EF">
        <w:trPr>
          <w:trHeight w:val="167"/>
        </w:trPr>
        <w:tc>
          <w:tcPr>
            <w:cnfStyle w:val="001000000000" w:firstRow="0" w:lastRow="0" w:firstColumn="1" w:lastColumn="0" w:oddVBand="0" w:evenVBand="0" w:oddHBand="0" w:evenHBand="0" w:firstRowFirstColumn="0" w:firstRowLastColumn="0" w:lastRowFirstColumn="0" w:lastRowLastColumn="0"/>
            <w:tcW w:w="0" w:type="auto"/>
            <w:noWrap/>
            <w:hideMark/>
          </w:tcPr>
          <w:p w14:paraId="22F3C0C5" w14:textId="77777777" w:rsidR="005E6933" w:rsidRPr="007D35E9" w:rsidRDefault="005E6933" w:rsidP="00054830">
            <w:pPr>
              <w:pStyle w:val="RowHeading"/>
              <w:rPr>
                <w:rFonts w:eastAsia="Courier New"/>
                <w:b/>
              </w:rPr>
            </w:pPr>
            <w:r w:rsidRPr="007D35E9">
              <w:rPr>
                <w:b/>
              </w:rPr>
              <w:t>Medical research institute</w:t>
            </w:r>
          </w:p>
        </w:tc>
        <w:tc>
          <w:tcPr>
            <w:tcW w:w="0" w:type="auto"/>
            <w:noWrap/>
            <w:hideMark/>
          </w:tcPr>
          <w:p w14:paraId="7C36FB96"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$1,556,741</w:t>
            </w:r>
          </w:p>
        </w:tc>
        <w:tc>
          <w:tcPr>
            <w:tcW w:w="0" w:type="auto"/>
          </w:tcPr>
          <w:p w14:paraId="645EA845"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DD163D">
              <w:t>0.5%</w:t>
            </w:r>
          </w:p>
        </w:tc>
      </w:tr>
      <w:tr w:rsidR="005E6933" w:rsidRPr="007D35E9" w14:paraId="7705AF70" w14:textId="77777777" w:rsidTr="009702E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0" w:type="auto"/>
            <w:noWrap/>
            <w:hideMark/>
          </w:tcPr>
          <w:p w14:paraId="6E0457B5" w14:textId="77777777" w:rsidR="005E6933" w:rsidRPr="007D35E9" w:rsidRDefault="005E6933" w:rsidP="00054830">
            <w:pPr>
              <w:pStyle w:val="RowHeading"/>
              <w:rPr>
                <w:rFonts w:eastAsia="Courier New"/>
                <w:b/>
              </w:rPr>
            </w:pPr>
            <w:r w:rsidRPr="007D35E9">
              <w:rPr>
                <w:b/>
              </w:rPr>
              <w:t>PFRA</w:t>
            </w:r>
          </w:p>
        </w:tc>
        <w:tc>
          <w:tcPr>
            <w:tcW w:w="0" w:type="auto"/>
            <w:noWrap/>
            <w:hideMark/>
          </w:tcPr>
          <w:p w14:paraId="37A5A83A"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rPr>
                <w:rFonts w:eastAsia="Courier New"/>
              </w:rPr>
            </w:pPr>
            <w:r w:rsidRPr="008D264F">
              <w:t>$13,410,286</w:t>
            </w:r>
          </w:p>
        </w:tc>
        <w:tc>
          <w:tcPr>
            <w:tcW w:w="0" w:type="auto"/>
          </w:tcPr>
          <w:p w14:paraId="69337B14"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4.</w:t>
            </w:r>
            <w:r w:rsidRPr="00A327B4">
              <w:t>2</w:t>
            </w:r>
            <w:r w:rsidRPr="007D35E9">
              <w:t>%</w:t>
            </w:r>
          </w:p>
        </w:tc>
      </w:tr>
      <w:tr w:rsidR="005E6933" w:rsidRPr="007D35E9" w14:paraId="249B605B" w14:textId="77777777" w:rsidTr="009702EF">
        <w:trPr>
          <w:trHeight w:val="167"/>
        </w:trPr>
        <w:tc>
          <w:tcPr>
            <w:cnfStyle w:val="001000000000" w:firstRow="0" w:lastRow="0" w:firstColumn="1" w:lastColumn="0" w:oddVBand="0" w:evenVBand="0" w:oddHBand="0" w:evenHBand="0" w:firstRowFirstColumn="0" w:firstRowLastColumn="0" w:lastRowFirstColumn="0" w:lastRowLastColumn="0"/>
            <w:tcW w:w="0" w:type="auto"/>
            <w:noWrap/>
            <w:hideMark/>
          </w:tcPr>
          <w:p w14:paraId="30286196" w14:textId="77777777" w:rsidR="005E6933" w:rsidRPr="007D35E9" w:rsidRDefault="005E6933" w:rsidP="00054830">
            <w:pPr>
              <w:pStyle w:val="RowHeading"/>
              <w:rPr>
                <w:rFonts w:eastAsia="Courier New"/>
                <w:b/>
              </w:rPr>
            </w:pPr>
            <w:r w:rsidRPr="007D35E9">
              <w:rPr>
                <w:b/>
              </w:rPr>
              <w:t>Health sector</w:t>
            </w:r>
          </w:p>
        </w:tc>
        <w:tc>
          <w:tcPr>
            <w:tcW w:w="0" w:type="auto"/>
            <w:noWrap/>
            <w:hideMark/>
          </w:tcPr>
          <w:p w14:paraId="183481C0"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rPr>
                <w:rFonts w:eastAsia="Courier New"/>
              </w:rPr>
            </w:pPr>
            <w:r w:rsidRPr="007D35E9">
              <w:t>$7,371,407</w:t>
            </w:r>
          </w:p>
        </w:tc>
        <w:tc>
          <w:tcPr>
            <w:tcW w:w="0" w:type="auto"/>
          </w:tcPr>
          <w:p w14:paraId="31625674" w14:textId="77777777" w:rsidR="005E6933" w:rsidRPr="007D35E9" w:rsidRDefault="005E6933" w:rsidP="00C7094B">
            <w:pPr>
              <w:pStyle w:val="TableText"/>
              <w:jc w:val="right"/>
              <w:cnfStyle w:val="000000000000" w:firstRow="0" w:lastRow="0" w:firstColumn="0" w:lastColumn="0" w:oddVBand="0" w:evenVBand="0" w:oddHBand="0" w:evenHBand="0" w:firstRowFirstColumn="0" w:firstRowLastColumn="0" w:lastRowFirstColumn="0" w:lastRowLastColumn="0"/>
            </w:pPr>
            <w:r w:rsidRPr="007D35E9">
              <w:t>2.3%</w:t>
            </w:r>
          </w:p>
        </w:tc>
      </w:tr>
      <w:tr w:rsidR="005E6933" w:rsidRPr="007D35E9" w14:paraId="7B5A095D" w14:textId="77777777" w:rsidTr="009702EF">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0" w:type="auto"/>
            <w:noWrap/>
          </w:tcPr>
          <w:p w14:paraId="77CC5015" w14:textId="77777777" w:rsidR="005E6933" w:rsidRPr="007D35E9" w:rsidRDefault="005E6933" w:rsidP="00054830">
            <w:pPr>
              <w:pStyle w:val="RowHeading"/>
              <w:rPr>
                <w:b/>
              </w:rPr>
            </w:pPr>
            <w:r w:rsidRPr="007D35E9">
              <w:rPr>
                <w:b/>
              </w:rPr>
              <w:t>Other</w:t>
            </w:r>
            <w:r>
              <w:rPr>
                <w:b/>
              </w:rPr>
              <w:t xml:space="preserve"> (survey data)</w:t>
            </w:r>
          </w:p>
        </w:tc>
        <w:tc>
          <w:tcPr>
            <w:tcW w:w="0" w:type="auto"/>
            <w:noWrap/>
          </w:tcPr>
          <w:p w14:paraId="74292B57"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$1,102,040</w:t>
            </w:r>
          </w:p>
        </w:tc>
        <w:tc>
          <w:tcPr>
            <w:tcW w:w="0" w:type="auto"/>
          </w:tcPr>
          <w:p w14:paraId="6A70903B" w14:textId="77777777" w:rsidR="005E6933" w:rsidRPr="007D35E9" w:rsidRDefault="005E6933" w:rsidP="00C7094B">
            <w:pPr>
              <w:pStyle w:val="TableText"/>
              <w:jc w:val="right"/>
              <w:cnfStyle w:val="000000100000" w:firstRow="0" w:lastRow="0" w:firstColumn="0" w:lastColumn="0" w:oddVBand="0" w:evenVBand="0" w:oddHBand="1" w:evenHBand="0" w:firstRowFirstColumn="0" w:firstRowLastColumn="0" w:lastRowFirstColumn="0" w:lastRowLastColumn="0"/>
            </w:pPr>
            <w:r w:rsidRPr="007D35E9">
              <w:t>0.3%</w:t>
            </w:r>
          </w:p>
        </w:tc>
      </w:tr>
      <w:tr w:rsidR="005E6933" w:rsidRPr="007D35E9" w14:paraId="0F7A32A2" w14:textId="77777777" w:rsidTr="009702EF">
        <w:trPr>
          <w:trHeight w:val="167"/>
        </w:trPr>
        <w:tc>
          <w:tcPr>
            <w:cnfStyle w:val="001000000000" w:firstRow="0" w:lastRow="0" w:firstColumn="1" w:lastColumn="0" w:oddVBand="0" w:evenVBand="0" w:oddHBand="0" w:evenHBand="0" w:firstRowFirstColumn="0" w:firstRowLastColumn="0" w:lastRowFirstColumn="0" w:lastRowLastColumn="0"/>
            <w:tcW w:w="0" w:type="auto"/>
            <w:noWrap/>
          </w:tcPr>
          <w:p w14:paraId="48261E22" w14:textId="77777777" w:rsidR="005E6933" w:rsidRPr="007D35E9" w:rsidRDefault="005E6933" w:rsidP="00054830">
            <w:pPr>
              <w:pStyle w:val="RowHeading"/>
              <w:rPr>
                <w:b/>
                <w:color w:val="006100"/>
              </w:rPr>
            </w:pPr>
            <w:r w:rsidRPr="007D35E9">
              <w:rPr>
                <w:b/>
              </w:rPr>
              <w:t>Total</w:t>
            </w:r>
          </w:p>
        </w:tc>
        <w:tc>
          <w:tcPr>
            <w:tcW w:w="0" w:type="auto"/>
            <w:noWrap/>
            <w:vAlign w:val="center"/>
          </w:tcPr>
          <w:p w14:paraId="795EE72C"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rsidRPr="00137CAF">
              <w:t>$321,371,726</w:t>
            </w:r>
          </w:p>
        </w:tc>
        <w:tc>
          <w:tcPr>
            <w:tcW w:w="0" w:type="auto"/>
            <w:vAlign w:val="center"/>
          </w:tcPr>
          <w:p w14:paraId="48D7879B" w14:textId="77777777" w:rsidR="005E6933" w:rsidRPr="007D35E9" w:rsidRDefault="005E6933" w:rsidP="00C7094B">
            <w:pPr>
              <w:pStyle w:val="RowHeading"/>
              <w:jc w:val="right"/>
              <w:cnfStyle w:val="000000000000" w:firstRow="0" w:lastRow="0" w:firstColumn="0" w:lastColumn="0" w:oddVBand="0" w:evenVBand="0" w:oddHBand="0" w:evenHBand="0" w:firstRowFirstColumn="0" w:firstRowLastColumn="0" w:lastRowFirstColumn="0" w:lastRowLastColumn="0"/>
            </w:pPr>
            <w:r>
              <w:t>100%</w:t>
            </w:r>
          </w:p>
        </w:tc>
      </w:tr>
    </w:tbl>
    <w:p w14:paraId="5DF524DA" w14:textId="77777777" w:rsidR="005E6933" w:rsidRPr="007D35E9" w:rsidRDefault="005E6933" w:rsidP="005E6933">
      <w:pPr>
        <w:rPr>
          <w:color w:val="000000" w:themeColor="text1"/>
        </w:rPr>
      </w:pPr>
      <w:r w:rsidRPr="007D35E9">
        <w:br w:type="page"/>
      </w:r>
    </w:p>
    <w:p w14:paraId="20939B49" w14:textId="77777777" w:rsidR="005E6933" w:rsidRPr="00563DEE" w:rsidRDefault="005E6933" w:rsidP="005E6933">
      <w:pPr>
        <w:pStyle w:val="Heading1notnumbered"/>
        <w:rPr>
          <w:rFonts w:asciiTheme="minorHAnsi" w:hAnsiTheme="minorHAnsi" w:cstheme="minorHAnsi"/>
        </w:rPr>
      </w:pPr>
      <w:bookmarkStart w:id="88" w:name="_Toc87629949"/>
      <w:r w:rsidRPr="00563DEE">
        <w:rPr>
          <w:rFonts w:asciiTheme="minorHAnsi" w:hAnsiTheme="minorHAnsi" w:cstheme="minorHAnsi"/>
        </w:rPr>
        <w:lastRenderedPageBreak/>
        <w:t>Appendix C: Benchmarking costs of the Australian open access model</w:t>
      </w:r>
      <w:bookmarkEnd w:id="88"/>
    </w:p>
    <w:p w14:paraId="59B8FC0F" w14:textId="77777777" w:rsidR="005E6933" w:rsidRPr="00563DEE" w:rsidRDefault="005E6933" w:rsidP="005E6933">
      <w:pPr>
        <w:pStyle w:val="Heading2notnumbered"/>
        <w:rPr>
          <w:rFonts w:asciiTheme="minorHAnsi" w:hAnsiTheme="minorHAnsi" w:cstheme="minorHAnsi"/>
        </w:rPr>
      </w:pPr>
      <w:bookmarkStart w:id="89" w:name="_Toc87628231"/>
      <w:bookmarkStart w:id="90" w:name="_Toc87629950"/>
      <w:r w:rsidRPr="00563DEE">
        <w:rPr>
          <w:rFonts w:asciiTheme="minorHAnsi" w:hAnsiTheme="minorHAnsi" w:cstheme="minorHAnsi"/>
        </w:rPr>
        <w:t>Estimating potential costs of open access for Australia</w:t>
      </w:r>
      <w:bookmarkEnd w:id="89"/>
      <w:bookmarkEnd w:id="90"/>
      <w:r w:rsidRPr="00563DEE">
        <w:rPr>
          <w:rFonts w:asciiTheme="minorHAnsi" w:hAnsiTheme="minorHAnsi" w:cstheme="minorHAnsi"/>
        </w:rPr>
        <w:t xml:space="preserve"> </w:t>
      </w:r>
    </w:p>
    <w:p w14:paraId="28AAC2A9" w14:textId="77777777" w:rsidR="005E6933" w:rsidRPr="007D35E9" w:rsidRDefault="005E6933" w:rsidP="00907E89">
      <w:pPr>
        <w:jc w:val="both"/>
      </w:pPr>
      <w:r w:rsidRPr="007D35E9">
        <w:t xml:space="preserve">A high-level and rough costing that could be used as a benchmark comparison for a future </w:t>
      </w:r>
      <w:r>
        <w:t>open access</w:t>
      </w:r>
      <w:r w:rsidRPr="007D35E9">
        <w:t xml:space="preserve"> model for Australia was developed based on Projekt DEAL in Germany.</w:t>
      </w:r>
      <w:r w:rsidRPr="00563DEE">
        <w:rPr>
          <w:rStyle w:val="FootnoteReference"/>
          <w:rFonts w:asciiTheme="minorHAnsi" w:hAnsiTheme="minorHAnsi" w:cstheme="minorHAnsi"/>
          <w:szCs w:val="24"/>
        </w:rPr>
        <w:footnoteReference w:id="123"/>
      </w:r>
      <w:r w:rsidRPr="007D35E9">
        <w:t xml:space="preserve"> </w:t>
      </w:r>
    </w:p>
    <w:p w14:paraId="39FAA6DC" w14:textId="77777777" w:rsidR="005E6933" w:rsidRPr="00563DEE" w:rsidRDefault="005E6933" w:rsidP="00907E89">
      <w:pPr>
        <w:pStyle w:val="BodyText"/>
      </w:pPr>
      <w:r w:rsidRPr="2F55E833">
        <w:t xml:space="preserve">Projekt DEAL provides access to </w:t>
      </w:r>
      <w:r>
        <w:t>academic journals</w:t>
      </w:r>
      <w:r w:rsidRPr="00563DEE">
        <w:t xml:space="preserve"> to </w:t>
      </w:r>
      <w:r w:rsidRPr="2F55E833">
        <w:t xml:space="preserve">research consortium members in Germany, funded through a central pool of </w:t>
      </w:r>
      <w:r>
        <w:t xml:space="preserve">contributions </w:t>
      </w:r>
      <w:r w:rsidRPr="2F55E833">
        <w:t>based on publication</w:t>
      </w:r>
      <w:r>
        <w:t xml:space="preserve"> rates for each member</w:t>
      </w:r>
      <w:r w:rsidRPr="2F55E833">
        <w:t xml:space="preserve">. </w:t>
      </w:r>
      <w:r>
        <w:t>At the time of writing, it</w:t>
      </w:r>
      <w:r w:rsidRPr="2F55E833">
        <w:t xml:space="preserve"> is the world’s largest transformative agreement.</w:t>
      </w:r>
      <w:r w:rsidRPr="2F55E833">
        <w:rPr>
          <w:rStyle w:val="FootnoteReference"/>
          <w:rFonts w:cstheme="minorBidi"/>
        </w:rPr>
        <w:footnoteReference w:id="124"/>
      </w:r>
      <w:r w:rsidRPr="2F55E833">
        <w:t xml:space="preserve"> While </w:t>
      </w:r>
      <w:r>
        <w:t>Projekt DEAL only has</w:t>
      </w:r>
      <w:r w:rsidRPr="2F55E833">
        <w:t xml:space="preserve"> agreements with Wiley and Springer-Nature, it is also one of the few major </w:t>
      </w:r>
      <w:r>
        <w:t>open access</w:t>
      </w:r>
      <w:r w:rsidRPr="2F55E833">
        <w:t xml:space="preserve"> initiatives where the publish-and-read fee per article is readily available.</w:t>
      </w:r>
      <w:r w:rsidRPr="2F55E833">
        <w:rPr>
          <w:rStyle w:val="FootnoteReference"/>
          <w:rFonts w:cstheme="minorBidi"/>
        </w:rPr>
        <w:footnoteReference w:id="125"/>
      </w:r>
    </w:p>
    <w:p w14:paraId="5FE01B1D" w14:textId="77777777" w:rsidR="005E6933" w:rsidRPr="00563DEE" w:rsidRDefault="005E6933" w:rsidP="00907E89">
      <w:pPr>
        <w:pStyle w:val="BodyText"/>
      </w:pPr>
      <w:r w:rsidRPr="00563DEE">
        <w:t>Using this information, it is possible to create a high-level estimate of costs for the Australian context.</w:t>
      </w:r>
    </w:p>
    <w:p w14:paraId="337D1588" w14:textId="77777777" w:rsidR="005E6933" w:rsidRPr="007D35E9" w:rsidRDefault="005E6933" w:rsidP="00907E89">
      <w:pPr>
        <w:pStyle w:val="ListBullet"/>
        <w:jc w:val="both"/>
      </w:pPr>
      <w:r w:rsidRPr="007D35E9">
        <w:t xml:space="preserve">For Projekt DEAL, the publish-and-read fees are </w:t>
      </w:r>
      <w:r w:rsidRPr="007D35E9">
        <w:rPr>
          <w:b/>
        </w:rPr>
        <w:t>2,750 EUR per published research article</w:t>
      </w:r>
      <w:r w:rsidRPr="007D35E9">
        <w:t>.</w:t>
      </w:r>
      <w:r w:rsidRPr="2F55E833">
        <w:rPr>
          <w:rStyle w:val="FootnoteReference"/>
          <w:rFonts w:eastAsia="Courier New" w:cstheme="minorBidi"/>
        </w:rPr>
        <w:footnoteReference w:id="126"/>
      </w:r>
      <w:r w:rsidRPr="007D35E9">
        <w:t xml:space="preserve"> This is approximately 4,500 AUD, which can be conservatively rounded up to 5,000 AUD (if it is assumed that a similar but not </w:t>
      </w:r>
      <w:r w:rsidRPr="009E0EB7">
        <w:t>smaller</w:t>
      </w:r>
      <w:r w:rsidRPr="007D35E9">
        <w:t xml:space="preserve"> equivalent fee per article can be negotiated for Australia).</w:t>
      </w:r>
    </w:p>
    <w:p w14:paraId="60AFCEC2" w14:textId="77777777" w:rsidR="005E6933" w:rsidRDefault="005E6933" w:rsidP="00907E89">
      <w:pPr>
        <w:pStyle w:val="ListBullet"/>
        <w:jc w:val="both"/>
      </w:pPr>
      <w:r>
        <w:t xml:space="preserve">There were at least </w:t>
      </w:r>
      <w:r w:rsidRPr="00026830">
        <w:t>116,255</w:t>
      </w:r>
      <w:r>
        <w:t xml:space="preserve"> journal </w:t>
      </w:r>
      <w:r w:rsidRPr="00026830">
        <w:t>articles</w:t>
      </w:r>
      <w:r>
        <w:t xml:space="preserve"> published with </w:t>
      </w:r>
      <w:r w:rsidRPr="00A17464">
        <w:t>Australia</w:t>
      </w:r>
      <w:r>
        <w:t>n affiliated authors</w:t>
      </w:r>
      <w:r w:rsidRPr="00A17464">
        <w:t xml:space="preserve"> </w:t>
      </w:r>
      <w:r>
        <w:t>in 2020.</w:t>
      </w:r>
      <w:r>
        <w:rPr>
          <w:rStyle w:val="FootnoteReference"/>
          <w:sz w:val="22"/>
        </w:rPr>
        <w:footnoteReference w:id="127"/>
      </w:r>
      <w:r>
        <w:t xml:space="preserve"> This does not consider whether </w:t>
      </w:r>
      <w:r w:rsidRPr="007D35E9">
        <w:t xml:space="preserve">Australian authors have lead authorship. </w:t>
      </w:r>
    </w:p>
    <w:p w14:paraId="539BC5D6" w14:textId="77777777" w:rsidR="005E6933" w:rsidRPr="007D35E9" w:rsidRDefault="005E6933" w:rsidP="00907E89">
      <w:pPr>
        <w:pStyle w:val="ListBullet"/>
        <w:jc w:val="both"/>
      </w:pPr>
      <w:r w:rsidRPr="007D35E9">
        <w:t xml:space="preserve">This was the highest number in recent years and this number could be conservatively rounded up to </w:t>
      </w:r>
      <w:r w:rsidRPr="00083382">
        <w:rPr>
          <w:b/>
        </w:rPr>
        <w:t>125,000 articles per year</w:t>
      </w:r>
      <w:r w:rsidRPr="007D35E9">
        <w:t xml:space="preserve"> to </w:t>
      </w:r>
      <w:r>
        <w:t>allow for continued growth of</w:t>
      </w:r>
      <w:r w:rsidRPr="007D35E9">
        <w:t xml:space="preserve"> publications in upcoming years</w:t>
      </w:r>
      <w:r>
        <w:t>.</w:t>
      </w:r>
    </w:p>
    <w:p w14:paraId="1A018906" w14:textId="77777777" w:rsidR="005E6933" w:rsidRPr="007D35E9" w:rsidRDefault="005E6933" w:rsidP="00907E89">
      <w:pPr>
        <w:pStyle w:val="ListBullet"/>
        <w:jc w:val="both"/>
        <w:rPr>
          <w:rFonts w:eastAsia="Courier New"/>
          <w:b/>
        </w:rPr>
      </w:pPr>
      <w:r w:rsidRPr="007D35E9">
        <w:t xml:space="preserve">However, </w:t>
      </w:r>
      <w:r>
        <w:t>not all publications that include an Australian author would be eligible for APC funding; only a subset would meet the criterion for inclusion, likely based on Australian lead authorship.</w:t>
      </w:r>
      <w:r w:rsidRPr="007D35E9">
        <w:t xml:space="preserve"> </w:t>
      </w:r>
      <w:r>
        <w:t>A</w:t>
      </w:r>
      <w:r w:rsidRPr="007D35E9">
        <w:t>pproximately 60% of papers with Australian authors involve international collaboration.</w:t>
      </w:r>
      <w:r w:rsidRPr="2F55E833">
        <w:rPr>
          <w:rStyle w:val="FootnoteReference"/>
          <w:rFonts w:cstheme="minorBidi"/>
        </w:rPr>
        <w:footnoteReference w:id="128"/>
      </w:r>
      <w:r w:rsidRPr="007D35E9">
        <w:t xml:space="preserve"> Therefore, </w:t>
      </w:r>
      <w:r w:rsidRPr="007D35E9">
        <w:rPr>
          <w:b/>
          <w:bCs/>
        </w:rPr>
        <w:t xml:space="preserve">40% </w:t>
      </w:r>
      <w:r w:rsidRPr="007D35E9">
        <w:t>can be stated as the lower bound on the proportion of Australian articles.</w:t>
      </w:r>
      <w:r w:rsidRPr="2F55E833">
        <w:rPr>
          <w:rStyle w:val="FootnoteReference"/>
          <w:rFonts w:cstheme="minorBidi"/>
        </w:rPr>
        <w:footnoteReference w:id="129"/>
      </w:r>
      <w:r w:rsidRPr="007D35E9">
        <w:t xml:space="preserve"> Applying this to the 125,000 </w:t>
      </w:r>
      <w:r>
        <w:t>articles published each year</w:t>
      </w:r>
      <w:r w:rsidRPr="007D35E9">
        <w:t xml:space="preserve"> yields </w:t>
      </w:r>
      <w:r w:rsidRPr="007D35E9">
        <w:rPr>
          <w:b/>
          <w:bCs/>
        </w:rPr>
        <w:t>50,000 articles per year</w:t>
      </w:r>
      <w:r w:rsidRPr="007D35E9">
        <w:t>.</w:t>
      </w:r>
    </w:p>
    <w:p w14:paraId="47F25C55" w14:textId="77777777" w:rsidR="005E6933" w:rsidRPr="007D35E9" w:rsidRDefault="005E6933" w:rsidP="00907E89">
      <w:pPr>
        <w:pStyle w:val="ListBullet"/>
        <w:jc w:val="both"/>
        <w:rPr>
          <w:b/>
        </w:rPr>
      </w:pPr>
      <w:r w:rsidRPr="007D35E9">
        <w:lastRenderedPageBreak/>
        <w:t xml:space="preserve">To determine an </w:t>
      </w:r>
      <w:r w:rsidRPr="00683805">
        <w:t>upper</w:t>
      </w:r>
      <w:r w:rsidRPr="007D35E9">
        <w:t xml:space="preserve"> bound on the rate of Australian</w:t>
      </w:r>
      <w:r>
        <w:t xml:space="preserve"> research</w:t>
      </w:r>
      <w:r w:rsidRPr="007D35E9">
        <w:t xml:space="preserve">, it </w:t>
      </w:r>
      <w:r>
        <w:t>was</w:t>
      </w:r>
      <w:r w:rsidRPr="007D35E9">
        <w:t xml:space="preserve"> assumed that half of the remaining articles published are Australian</w:t>
      </w:r>
      <w:r>
        <w:t xml:space="preserve"> research</w:t>
      </w:r>
      <w:r w:rsidRPr="007D35E9">
        <w:t xml:space="preserve"> which gives an upper bound on lead authorship of </w:t>
      </w:r>
      <w:r w:rsidRPr="007D35E9">
        <w:rPr>
          <w:b/>
        </w:rPr>
        <w:t>70%</w:t>
      </w:r>
      <w:r w:rsidRPr="007D35E9">
        <w:t xml:space="preserve"> (i.e., 40% plus 30%). Applying this to the 125,000 </w:t>
      </w:r>
      <w:r>
        <w:t>articles published each year</w:t>
      </w:r>
      <w:r w:rsidRPr="007D35E9">
        <w:t xml:space="preserve"> yields</w:t>
      </w:r>
      <w:r w:rsidRPr="009B5F7B">
        <w:rPr>
          <w:b/>
        </w:rPr>
        <w:t xml:space="preserve"> </w:t>
      </w:r>
      <w:r w:rsidRPr="007D35E9">
        <w:rPr>
          <w:b/>
        </w:rPr>
        <w:t>87,500 articles per year</w:t>
      </w:r>
      <w:r w:rsidRPr="007D35E9">
        <w:t>.</w:t>
      </w:r>
    </w:p>
    <w:p w14:paraId="37CD08B7" w14:textId="77777777" w:rsidR="005E6933" w:rsidRPr="007D35E9" w:rsidRDefault="005E6933" w:rsidP="00907E89">
      <w:pPr>
        <w:pStyle w:val="ListBullet"/>
        <w:jc w:val="both"/>
      </w:pPr>
      <w:r w:rsidRPr="007D35E9">
        <w:t>Multiplying the lower and upper bound number of articles by the</w:t>
      </w:r>
      <w:r>
        <w:t xml:space="preserve"> assumed</w:t>
      </w:r>
      <w:r w:rsidRPr="007D35E9">
        <w:t xml:space="preserve"> article fee (5,000 AUD) gives a yearly total cost </w:t>
      </w:r>
      <w:r w:rsidRPr="00683805">
        <w:t>estimate</w:t>
      </w:r>
      <w:r w:rsidRPr="007D35E9">
        <w:t xml:space="preserve"> that ranges from </w:t>
      </w:r>
      <w:r w:rsidRPr="007D35E9">
        <w:rPr>
          <w:b/>
        </w:rPr>
        <w:t>$250 million to approximately $440 million</w:t>
      </w:r>
      <w:r w:rsidRPr="007D35E9">
        <w:t>.</w:t>
      </w:r>
    </w:p>
    <w:p w14:paraId="4FD4142B" w14:textId="77777777" w:rsidR="005E6933" w:rsidRPr="00563DEE" w:rsidRDefault="005E6933" w:rsidP="00907E89">
      <w:pPr>
        <w:pStyle w:val="BodyText"/>
      </w:pPr>
      <w:r>
        <w:t xml:space="preserve">These figures can be used to </w:t>
      </w:r>
      <w:r w:rsidRPr="00563DEE">
        <w:t xml:space="preserve">benchmark the </w:t>
      </w:r>
      <w:r>
        <w:t>expected cost of the proposed open access</w:t>
      </w:r>
      <w:r w:rsidRPr="00563DEE">
        <w:t xml:space="preserve"> model for Australia.</w:t>
      </w:r>
      <w:r>
        <w:t xml:space="preserve"> T</w:t>
      </w:r>
      <w:r w:rsidRPr="00563DEE">
        <w:t>he</w:t>
      </w:r>
      <w:r>
        <w:t xml:space="preserve"> lower bound of</w:t>
      </w:r>
      <w:r w:rsidRPr="00563DEE">
        <w:t xml:space="preserve"> $250 million cost per year </w:t>
      </w:r>
      <w:r>
        <w:t>can</w:t>
      </w:r>
      <w:r w:rsidRPr="00563DEE">
        <w:t xml:space="preserve"> be treated as an optimistic </w:t>
      </w:r>
      <w:r>
        <w:t xml:space="preserve">price for open access publication of Australia’s journal articles and read access for publishing institutions. </w:t>
      </w:r>
    </w:p>
    <w:p w14:paraId="16169E99" w14:textId="77777777" w:rsidR="005E6933" w:rsidRPr="00563DEE" w:rsidRDefault="005E6933" w:rsidP="00907E89">
      <w:pPr>
        <w:pStyle w:val="BodyText"/>
        <w:rPr>
          <w:rFonts w:eastAsia="Courier New"/>
        </w:rPr>
      </w:pPr>
      <w:r w:rsidRPr="2F55E833">
        <w:t xml:space="preserve">Similarly, the $440 million cost per year cost estimate is likely to be a pessimistic upper bound. One strong reason to suspect </w:t>
      </w:r>
      <w:r>
        <w:t>this</w:t>
      </w:r>
      <w:r w:rsidRPr="2F55E833">
        <w:t xml:space="preserve"> is the case is that</w:t>
      </w:r>
      <w:r w:rsidRPr="2F55E833">
        <w:rPr>
          <w:rFonts w:eastAsia="Courier New"/>
        </w:rPr>
        <w:t xml:space="preserve"> an </w:t>
      </w:r>
      <w:r>
        <w:rPr>
          <w:rFonts w:eastAsia="Courier New"/>
        </w:rPr>
        <w:t>open access</w:t>
      </w:r>
      <w:r w:rsidRPr="2F55E833">
        <w:rPr>
          <w:rFonts w:eastAsia="Courier New"/>
        </w:rPr>
        <w:t xml:space="preserve"> model may be negotiated with </w:t>
      </w:r>
      <w:r w:rsidRPr="009142CB">
        <w:rPr>
          <w:iCs/>
        </w:rPr>
        <w:t xml:space="preserve">cost </w:t>
      </w:r>
      <w:r w:rsidRPr="009142CB">
        <w:rPr>
          <w:rFonts w:eastAsia="Courier New"/>
          <w:iCs/>
        </w:rPr>
        <w:t>neutrality</w:t>
      </w:r>
      <w:r w:rsidRPr="2F55E833">
        <w:rPr>
          <w:rFonts w:eastAsia="Courier New"/>
        </w:rPr>
        <w:t>, as was the case with the Norwegian consortium and Projekt DEAL agreements.</w:t>
      </w:r>
      <w:r>
        <w:rPr>
          <w:rStyle w:val="FootnoteReference"/>
          <w:rFonts w:eastAsia="Courier New"/>
        </w:rPr>
        <w:footnoteReference w:id="130"/>
      </w:r>
      <w:r w:rsidRPr="2F55E833">
        <w:rPr>
          <w:rFonts w:eastAsia="Courier New"/>
        </w:rPr>
        <w:t xml:space="preserve"> </w:t>
      </w:r>
    </w:p>
    <w:p w14:paraId="7CCF1969" w14:textId="77777777" w:rsidR="005E6933" w:rsidRPr="00563DEE" w:rsidRDefault="005E6933" w:rsidP="00907E89">
      <w:pPr>
        <w:pStyle w:val="Heading2notnumbered"/>
        <w:jc w:val="both"/>
        <w:rPr>
          <w:rFonts w:asciiTheme="minorHAnsi" w:eastAsia="Courier New" w:hAnsiTheme="minorHAnsi" w:cstheme="minorHAnsi"/>
        </w:rPr>
      </w:pPr>
      <w:bookmarkStart w:id="91" w:name="_Toc87628232"/>
      <w:bookmarkStart w:id="92" w:name="_Toc87629951"/>
      <w:r w:rsidRPr="00563DEE">
        <w:rPr>
          <w:rFonts w:asciiTheme="minorHAnsi" w:hAnsiTheme="minorHAnsi" w:cstheme="minorHAnsi"/>
        </w:rPr>
        <w:t>Limitations</w:t>
      </w:r>
      <w:bookmarkEnd w:id="91"/>
      <w:bookmarkEnd w:id="92"/>
      <w:r w:rsidRPr="00563DEE">
        <w:rPr>
          <w:rFonts w:asciiTheme="minorHAnsi" w:hAnsiTheme="minorHAnsi" w:cstheme="minorHAnsi"/>
        </w:rPr>
        <w:t xml:space="preserve"> </w:t>
      </w:r>
    </w:p>
    <w:p w14:paraId="300EDC70" w14:textId="77777777" w:rsidR="005E6933" w:rsidRPr="00563DEE" w:rsidRDefault="005E6933" w:rsidP="00907E89">
      <w:pPr>
        <w:pStyle w:val="BodyText"/>
      </w:pPr>
      <w:r w:rsidRPr="00563DEE">
        <w:t xml:space="preserve">As it stands, </w:t>
      </w:r>
      <w:r>
        <w:t>confidence in</w:t>
      </w:r>
      <w:r w:rsidRPr="00563DEE">
        <w:t xml:space="preserve"> the optimistic lower bound estimate of $250 million and the pessimistic upper bound estimate of $440 million are constrained by the available data. There are three areas that limit the accuracy of the upper bound and lower bound cost estimates.</w:t>
      </w:r>
    </w:p>
    <w:p w14:paraId="452B81F0" w14:textId="77777777" w:rsidR="005E6933" w:rsidRPr="00563DEE" w:rsidRDefault="005E6933" w:rsidP="00907E89">
      <w:pPr>
        <w:pStyle w:val="Heading3notnumbered"/>
        <w:jc w:val="both"/>
        <w:rPr>
          <w:rFonts w:asciiTheme="minorHAnsi" w:hAnsiTheme="minorHAnsi" w:cstheme="minorHAnsi"/>
        </w:rPr>
      </w:pPr>
      <w:r w:rsidRPr="00563DEE">
        <w:rPr>
          <w:rFonts w:asciiTheme="minorHAnsi" w:hAnsiTheme="minorHAnsi" w:cstheme="minorHAnsi"/>
        </w:rPr>
        <w:t xml:space="preserve">1) Uncertainty </w:t>
      </w:r>
      <w:r>
        <w:rPr>
          <w:rFonts w:asciiTheme="minorHAnsi" w:hAnsiTheme="minorHAnsi" w:cstheme="minorHAnsi"/>
        </w:rPr>
        <w:t>on publish-and-read</w:t>
      </w:r>
      <w:r w:rsidRPr="00563DEE">
        <w:rPr>
          <w:rFonts w:asciiTheme="minorHAnsi" w:hAnsiTheme="minorHAnsi" w:cstheme="minorHAnsi"/>
        </w:rPr>
        <w:t xml:space="preserve"> fees</w:t>
      </w:r>
    </w:p>
    <w:p w14:paraId="3124B871" w14:textId="77777777" w:rsidR="005E6933" w:rsidRPr="00563DEE" w:rsidRDefault="005E6933" w:rsidP="00907E89">
      <w:pPr>
        <w:pStyle w:val="BodyText"/>
      </w:pPr>
      <w:r>
        <w:t>I</w:t>
      </w:r>
      <w:r w:rsidRPr="00563DEE">
        <w:t xml:space="preserve">t is unclear whether 5,000 </w:t>
      </w:r>
      <w:r>
        <w:t>AUD</w:t>
      </w:r>
      <w:r w:rsidRPr="00563DEE">
        <w:t xml:space="preserve"> is an appropriate </w:t>
      </w:r>
      <w:r>
        <w:t>assumption for an average publish-and-read fee for the proposed model.</w:t>
      </w:r>
      <w:r w:rsidRPr="001A2127">
        <w:t xml:space="preserve"> </w:t>
      </w:r>
      <w:r w:rsidRPr="00563DEE">
        <w:t xml:space="preserve">It should be noted that the average APC from the survey data is approximately $2,800. </w:t>
      </w:r>
      <w:r>
        <w:t>This is</w:t>
      </w:r>
      <w:r w:rsidRPr="00563DEE">
        <w:t xml:space="preserve"> low compared to </w:t>
      </w:r>
      <w:r>
        <w:t>some reported average APCs (see Table B5, above)</w:t>
      </w:r>
      <w:r w:rsidRPr="00563DEE">
        <w:t>.</w:t>
      </w:r>
    </w:p>
    <w:p w14:paraId="68C4A23D" w14:textId="77777777" w:rsidR="005E6933" w:rsidRPr="00563DEE" w:rsidRDefault="005E6933" w:rsidP="00907E89">
      <w:pPr>
        <w:pStyle w:val="BodyText"/>
      </w:pPr>
      <w:r>
        <w:t>Additional effort to collect data on open access costs from a variety of overseas jurisdictions and scale them to the Australian context could help increase confidence in the likely cost of the proposed model.</w:t>
      </w:r>
    </w:p>
    <w:p w14:paraId="5A90DA2C" w14:textId="3D65F5FE" w:rsidR="005E6933" w:rsidRPr="00563DEE" w:rsidRDefault="005E6933" w:rsidP="00907E89">
      <w:pPr>
        <w:pStyle w:val="Heading3notnumbered"/>
        <w:jc w:val="both"/>
        <w:rPr>
          <w:rFonts w:asciiTheme="minorHAnsi" w:eastAsia="Courier New" w:hAnsiTheme="minorHAnsi" w:cstheme="minorBidi"/>
        </w:rPr>
      </w:pPr>
      <w:r w:rsidRPr="341BE968">
        <w:rPr>
          <w:rFonts w:asciiTheme="minorHAnsi" w:eastAsia="Courier New" w:hAnsiTheme="minorHAnsi" w:cstheme="minorBidi"/>
        </w:rPr>
        <w:t xml:space="preserve">2) Limited confidence in the number of Australian </w:t>
      </w:r>
      <w:r>
        <w:rPr>
          <w:rFonts w:asciiTheme="minorHAnsi" w:eastAsia="Courier New" w:hAnsiTheme="minorHAnsi" w:cstheme="minorBidi"/>
        </w:rPr>
        <w:t xml:space="preserve">journal </w:t>
      </w:r>
      <w:r w:rsidRPr="341BE968">
        <w:rPr>
          <w:rFonts w:asciiTheme="minorHAnsi" w:eastAsia="Courier New" w:hAnsiTheme="minorHAnsi" w:cstheme="minorBidi"/>
        </w:rPr>
        <w:t xml:space="preserve">articles published </w:t>
      </w:r>
    </w:p>
    <w:p w14:paraId="020EA5ED" w14:textId="58201BE1" w:rsidR="005E6933" w:rsidRPr="00563DEE" w:rsidRDefault="005E6933" w:rsidP="00907E89">
      <w:pPr>
        <w:pStyle w:val="BodyText"/>
      </w:pPr>
      <w:r w:rsidRPr="00563DEE">
        <w:t xml:space="preserve">Both the </w:t>
      </w:r>
      <w:r>
        <w:t xml:space="preserve">upper and lower bound figures for Australian research publication rates </w:t>
      </w:r>
      <w:r w:rsidRPr="00563DEE">
        <w:t>are broad assumptions that limit benchmarking accuracy. To further refine the estimates</w:t>
      </w:r>
      <w:r>
        <w:t xml:space="preserve"> and better understand the needs of the model in the future</w:t>
      </w:r>
      <w:r w:rsidRPr="00563DEE">
        <w:t xml:space="preserve">, forecasts </w:t>
      </w:r>
      <w:r>
        <w:t>of</w:t>
      </w:r>
      <w:r w:rsidRPr="00563DEE">
        <w:t xml:space="preserve"> expected publication volume</w:t>
      </w:r>
      <w:r>
        <w:t>s need to be identified or developed</w:t>
      </w:r>
      <w:r w:rsidRPr="00563DEE">
        <w:t xml:space="preserve">. </w:t>
      </w:r>
      <w:r w:rsidRPr="00535EEC">
        <w:t xml:space="preserve"> </w:t>
      </w:r>
      <w:r w:rsidR="009702EF">
        <w:fldChar w:fldCharType="begin"/>
      </w:r>
      <w:r w:rsidR="009702EF">
        <w:instrText xml:space="preserve"> REF _Ref84594088 \h </w:instrText>
      </w:r>
      <w:r w:rsidR="009702EF">
        <w:fldChar w:fldCharType="separate"/>
      </w:r>
      <w:r w:rsidR="007E283B" w:rsidRPr="00563DEE">
        <w:t xml:space="preserve">Figure </w:t>
      </w:r>
      <w:r w:rsidR="007E283B">
        <w:rPr>
          <w:noProof/>
        </w:rPr>
        <w:t>7</w:t>
      </w:r>
      <w:r w:rsidR="009702EF">
        <w:fldChar w:fldCharType="end"/>
      </w:r>
      <w:r w:rsidR="009702EF">
        <w:t xml:space="preserve"> </w:t>
      </w:r>
      <w:r>
        <w:t xml:space="preserve">extrapolates current growth rates for </w:t>
      </w:r>
      <w:r w:rsidR="00283B79">
        <w:t>research publications with Australian authors</w:t>
      </w:r>
      <w:r>
        <w:t xml:space="preserve"> but Australia’s future publication rates will be affected by many factors including government policy and research funding.</w:t>
      </w:r>
    </w:p>
    <w:p w14:paraId="070023B5" w14:textId="77777777" w:rsidR="005E6933" w:rsidRPr="00563DEE" w:rsidRDefault="005E6933" w:rsidP="00907E89">
      <w:pPr>
        <w:pStyle w:val="Heading3notnumbered"/>
        <w:jc w:val="both"/>
        <w:rPr>
          <w:rFonts w:asciiTheme="minorHAnsi" w:eastAsia="Courier New" w:hAnsiTheme="minorHAnsi" w:cstheme="minorHAnsi"/>
        </w:rPr>
      </w:pPr>
      <w:r w:rsidRPr="00563DEE">
        <w:rPr>
          <w:rFonts w:asciiTheme="minorHAnsi" w:eastAsia="Courier New" w:hAnsiTheme="minorHAnsi" w:cstheme="minorHAnsi"/>
        </w:rPr>
        <w:lastRenderedPageBreak/>
        <w:t>3) The exclusion of additional costs relevant to a</w:t>
      </w:r>
      <w:r>
        <w:rPr>
          <w:rFonts w:asciiTheme="minorHAnsi" w:eastAsia="Courier New" w:hAnsiTheme="minorHAnsi" w:cstheme="minorHAnsi"/>
        </w:rPr>
        <w:t>n</w:t>
      </w:r>
      <w:r w:rsidRPr="00563DEE">
        <w:rPr>
          <w:rFonts w:asciiTheme="minorHAnsi" w:eastAsia="Courier New" w:hAnsiTheme="minorHAnsi" w:cstheme="minorHAnsi"/>
        </w:rPr>
        <w:t xml:space="preserve"> </w:t>
      </w:r>
      <w:r>
        <w:rPr>
          <w:rFonts w:asciiTheme="minorHAnsi" w:eastAsia="Courier New" w:hAnsiTheme="minorHAnsi" w:cstheme="minorHAnsi"/>
        </w:rPr>
        <w:t>open access</w:t>
      </w:r>
      <w:r w:rsidRPr="00563DEE">
        <w:rPr>
          <w:rFonts w:asciiTheme="minorHAnsi" w:eastAsia="Courier New" w:hAnsiTheme="minorHAnsi" w:cstheme="minorHAnsi"/>
        </w:rPr>
        <w:t xml:space="preserve"> model</w:t>
      </w:r>
    </w:p>
    <w:p w14:paraId="2B66897C" w14:textId="77777777" w:rsidR="005E6933" w:rsidRPr="00563DEE" w:rsidRDefault="005E6933" w:rsidP="00907E89">
      <w:pPr>
        <w:pStyle w:val="BodyText"/>
      </w:pPr>
      <w:r w:rsidRPr="00563DEE">
        <w:t xml:space="preserve">While the cost estimates provided here can be used to benchmark reasonable direct costs of agreements with publishers, many additional costs would need to be considered as part of a design and cost-benefit analysis of the model. </w:t>
      </w:r>
    </w:p>
    <w:p w14:paraId="17B52365" w14:textId="77777777" w:rsidR="005E6933" w:rsidRPr="00563DEE" w:rsidRDefault="005E6933" w:rsidP="00907E89">
      <w:pPr>
        <w:pStyle w:val="BodyText"/>
      </w:pPr>
      <w:r w:rsidRPr="00563DEE">
        <w:t xml:space="preserve">These could include the costs associated with the development and maintenance of any necessary digital infrastructure and the staffing costs for the </w:t>
      </w:r>
      <w:r>
        <w:t>implementation</w:t>
      </w:r>
      <w:r w:rsidRPr="00563DEE">
        <w:t xml:space="preserve"> body. Ultimately, these costs will need to be determined as part of a detailed development and design process for a specific </w:t>
      </w:r>
      <w:r>
        <w:t>open access</w:t>
      </w:r>
      <w:r w:rsidRPr="00563DEE">
        <w:t xml:space="preserve"> model.</w:t>
      </w:r>
    </w:p>
    <w:p w14:paraId="3EB76564" w14:textId="77777777" w:rsidR="00F52D42" w:rsidRDefault="00F52D42">
      <w:pPr>
        <w:spacing w:before="0" w:after="0" w:line="240" w:lineRule="auto"/>
        <w:rPr>
          <w:rFonts w:asciiTheme="minorHAnsi" w:eastAsiaTheme="majorEastAsia" w:hAnsiTheme="minorHAnsi" w:cstheme="minorHAnsi"/>
          <w:bCs/>
          <w:color w:val="757579" w:themeColor="accent3"/>
          <w:sz w:val="44"/>
          <w:szCs w:val="28"/>
        </w:rPr>
      </w:pPr>
      <w:r>
        <w:rPr>
          <w:rFonts w:asciiTheme="minorHAnsi" w:hAnsiTheme="minorHAnsi" w:cstheme="minorHAnsi"/>
        </w:rPr>
        <w:br w:type="page"/>
      </w:r>
    </w:p>
    <w:p w14:paraId="1B1B9D9E" w14:textId="5ACB2781" w:rsidR="005E6933" w:rsidRPr="00563DEE" w:rsidRDefault="005E6933" w:rsidP="005E6933">
      <w:pPr>
        <w:pStyle w:val="Heading1notnumbered"/>
        <w:rPr>
          <w:rFonts w:asciiTheme="minorHAnsi" w:hAnsiTheme="minorHAnsi" w:cstheme="minorHAnsi"/>
        </w:rPr>
      </w:pPr>
      <w:bookmarkStart w:id="93" w:name="_Toc87629952"/>
      <w:r w:rsidRPr="00563DEE">
        <w:rPr>
          <w:rFonts w:asciiTheme="minorHAnsi" w:hAnsiTheme="minorHAnsi" w:cstheme="minorHAnsi"/>
        </w:rPr>
        <w:lastRenderedPageBreak/>
        <w:t>Appendix D: International context</w:t>
      </w:r>
      <w:bookmarkEnd w:id="93"/>
    </w:p>
    <w:p w14:paraId="0D7A6FE9" w14:textId="77777777" w:rsidR="005E6933" w:rsidRDefault="005E6933" w:rsidP="005E6933">
      <w:pPr>
        <w:pStyle w:val="Heading2notnumbered"/>
        <w:rPr>
          <w:rFonts w:asciiTheme="minorHAnsi" w:hAnsiTheme="minorHAnsi" w:cstheme="minorHAnsi"/>
        </w:rPr>
      </w:pPr>
      <w:bookmarkStart w:id="94" w:name="_Toc81297029"/>
      <w:bookmarkStart w:id="95" w:name="_Toc87628234"/>
      <w:bookmarkStart w:id="96" w:name="_Toc87629953"/>
      <w:r w:rsidRPr="00563DEE">
        <w:rPr>
          <w:rFonts w:asciiTheme="minorHAnsi" w:hAnsiTheme="minorHAnsi" w:cstheme="minorHAnsi"/>
        </w:rPr>
        <w:t>National approaches to open access</w:t>
      </w:r>
      <w:bookmarkEnd w:id="94"/>
      <w:bookmarkEnd w:id="95"/>
      <w:bookmarkEnd w:id="96"/>
    </w:p>
    <w:p w14:paraId="2D23EDA3" w14:textId="77777777" w:rsidR="005E6933" w:rsidRPr="005E7144" w:rsidRDefault="005E6933" w:rsidP="00A47B69">
      <w:pPr>
        <w:pStyle w:val="BodyText"/>
      </w:pPr>
      <w:r>
        <w:t xml:space="preserve">The below table outlines key activities undertaken by other countries to progress the open access transition and the impact of these approaches overall. </w:t>
      </w:r>
    </w:p>
    <w:tbl>
      <w:tblPr>
        <w:tblStyle w:val="ListTable3-Accent1"/>
        <w:tblW w:w="0" w:type="auto"/>
        <w:tblLook w:val="04A0" w:firstRow="1" w:lastRow="0" w:firstColumn="1" w:lastColumn="0" w:noHBand="0" w:noVBand="1"/>
      </w:tblPr>
      <w:tblGrid>
        <w:gridCol w:w="1035"/>
        <w:gridCol w:w="4512"/>
        <w:gridCol w:w="4081"/>
      </w:tblGrid>
      <w:tr w:rsidR="005E6933" w:rsidRPr="007D35E9" w14:paraId="57D9F348" w14:textId="77777777" w:rsidTr="003A41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tcPr>
          <w:p w14:paraId="566059F2" w14:textId="3C4F2F6B" w:rsidR="005E6933" w:rsidRPr="00C45E21" w:rsidRDefault="005E6933" w:rsidP="00C7094B">
            <w:pPr>
              <w:pStyle w:val="ColumnHeading"/>
              <w:rPr>
                <w:b/>
                <w:color w:val="auto"/>
              </w:rPr>
            </w:pPr>
            <w:r w:rsidRPr="00C45E21">
              <w:rPr>
                <w:b/>
                <w:color w:val="auto"/>
              </w:rPr>
              <w:t>Country</w:t>
            </w:r>
          </w:p>
        </w:tc>
        <w:tc>
          <w:tcPr>
            <w:tcW w:w="4536" w:type="dxa"/>
          </w:tcPr>
          <w:p w14:paraId="4967854C"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open access initiatives</w:t>
            </w:r>
          </w:p>
        </w:tc>
        <w:tc>
          <w:tcPr>
            <w:tcW w:w="4104" w:type="dxa"/>
          </w:tcPr>
          <w:p w14:paraId="237197D1"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 xml:space="preserve">Outcomes  </w:t>
            </w:r>
          </w:p>
        </w:tc>
      </w:tr>
      <w:tr w:rsidR="005E6933" w:rsidRPr="007D35E9" w14:paraId="5DA93192" w14:textId="77777777" w:rsidTr="007E6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F570080" w14:textId="77777777" w:rsidR="005E6933" w:rsidRPr="007D35E9" w:rsidRDefault="005E6933" w:rsidP="00054830">
            <w:pPr>
              <w:pStyle w:val="RowHeading"/>
              <w:rPr>
                <w:b/>
              </w:rPr>
            </w:pPr>
            <w:r w:rsidRPr="007D35E9">
              <w:rPr>
                <w:b/>
              </w:rPr>
              <w:t>UK</w:t>
            </w:r>
          </w:p>
        </w:tc>
        <w:tc>
          <w:tcPr>
            <w:tcW w:w="4536" w:type="dxa"/>
          </w:tcPr>
          <w:p w14:paraId="27BB0532"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Implementation of open access in the UK is complex, requiring support and coordination from numerous key players including UK Research and Innovation (UKRI) made of nine councils, seven research councils and the UK’s innovation agency. This is in addition to four funding bodies, Universities UK (UUK), two libraries, two supporting organisations and six charities in the open access fund.</w:t>
            </w:r>
            <w:r w:rsidRPr="2F55E833">
              <w:rPr>
                <w:rStyle w:val="FootnoteReference"/>
                <w:rFonts w:cstheme="minorBidi"/>
              </w:rPr>
              <w:footnoteReference w:id="131"/>
            </w:r>
          </w:p>
          <w:p w14:paraId="4CC308B5" w14:textId="6FDF914B"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In 2012, the UK Government announced policy support for gold </w:t>
            </w:r>
            <w:r>
              <w:t>open access</w:t>
            </w:r>
            <w:r w:rsidRPr="007D35E9">
              <w:t xml:space="preserve"> based on recommendations from their Working Group on Expanding Access to Published Researched Findings (the Finch Report).</w:t>
            </w:r>
            <w:r w:rsidRPr="2F55E833">
              <w:rPr>
                <w:rStyle w:val="FootnoteReference"/>
                <w:rFonts w:cstheme="minorBidi"/>
              </w:rPr>
              <w:footnoteReference w:id="132"/>
            </w:r>
            <w:r w:rsidRPr="007D35E9">
              <w:t xml:space="preserve"> </w:t>
            </w:r>
          </w:p>
          <w:p w14:paraId="7131F4C6"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Jisc Collections established transformative agreements with a variety of publishers allowing UK researchers to publish </w:t>
            </w:r>
            <w:r>
              <w:t>open access</w:t>
            </w:r>
            <w:r w:rsidRPr="007D35E9">
              <w:t xml:space="preserve"> at no additional cost by balancing APCs and subscription fees.</w:t>
            </w:r>
            <w:r w:rsidRPr="2F55E833">
              <w:rPr>
                <w:rStyle w:val="FootnoteReference"/>
                <w:rFonts w:cstheme="minorBidi"/>
              </w:rPr>
              <w:footnoteReference w:id="133"/>
            </w:r>
            <w:r w:rsidRPr="007D35E9">
              <w:t xml:space="preserve"> </w:t>
            </w:r>
          </w:p>
          <w:p w14:paraId="248834C9"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In 2021, the UKRI updated its open access policy to allow both gold and green publishing. The action was considered a strategic move to build influence in renewal negotiations with Elsevier.</w:t>
            </w:r>
            <w:r>
              <w:rPr>
                <w:rStyle w:val="FootnoteReference"/>
              </w:rPr>
              <w:footnoteReference w:id="134"/>
            </w:r>
            <w:r>
              <w:t xml:space="preserve"> </w:t>
            </w:r>
            <w:r w:rsidRPr="007D35E9">
              <w:t xml:space="preserve"> </w:t>
            </w:r>
          </w:p>
        </w:tc>
        <w:tc>
          <w:tcPr>
            <w:tcW w:w="4104" w:type="dxa"/>
          </w:tcPr>
          <w:p w14:paraId="185DC961"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The proportion of articles available immediately through gold or green </w:t>
            </w:r>
            <w:r>
              <w:t>open access</w:t>
            </w:r>
            <w:r w:rsidRPr="007D35E9">
              <w:t xml:space="preserve"> in the UK grew from 20% in 2014 to 37% in 2016.</w:t>
            </w:r>
            <w:r w:rsidRPr="2F55E833">
              <w:rPr>
                <w:rStyle w:val="FootnoteReference"/>
                <w:rFonts w:cstheme="minorBidi"/>
              </w:rPr>
              <w:footnoteReference w:id="135"/>
            </w:r>
          </w:p>
          <w:p w14:paraId="5835D609" w14:textId="6B0387C4" w:rsidR="005E6933" w:rsidRDefault="005E6933" w:rsidP="00763E3F">
            <w:pPr>
              <w:pStyle w:val="TableBullet"/>
              <w:cnfStyle w:val="000000100000" w:firstRow="0" w:lastRow="0" w:firstColumn="0" w:lastColumn="0" w:oddVBand="0" w:evenVBand="0" w:oddHBand="1" w:evenHBand="0" w:firstRowFirstColumn="0" w:firstRowLastColumn="0" w:lastRowFirstColumn="0" w:lastRowLastColumn="0"/>
            </w:pPr>
            <w:r w:rsidRPr="007D35E9">
              <w:t xml:space="preserve">The proportion of UK articles available through immediate gold </w:t>
            </w:r>
            <w:r>
              <w:t>open access</w:t>
            </w:r>
            <w:r w:rsidRPr="007D35E9">
              <w:t xml:space="preserve"> terms grew from 12% in 2012 to 30% in 2016</w:t>
            </w:r>
            <w:r w:rsidR="00763E3F" w:rsidRPr="007D35E9">
              <w:t>.</w:t>
            </w:r>
            <w:r w:rsidR="00763E3F">
              <w:rPr>
                <w:rStyle w:val="FootnoteReference"/>
                <w:rFonts w:cstheme="minorBidi"/>
              </w:rPr>
              <w:t xml:space="preserve"> </w:t>
            </w:r>
            <w:r w:rsidR="00763E3F">
              <w:t xml:space="preserve">During this time, </w:t>
            </w:r>
            <w:r w:rsidRPr="007D35E9">
              <w:t>the number of APCs paid by a sample of ten universities grew fivefold.</w:t>
            </w:r>
            <w:r w:rsidRPr="2F55E833">
              <w:rPr>
                <w:rStyle w:val="FootnoteReference"/>
                <w:rFonts w:cstheme="minorBidi"/>
              </w:rPr>
              <w:footnoteReference w:id="136"/>
            </w:r>
          </w:p>
          <w:p w14:paraId="2460F72E" w14:textId="77777777" w:rsidR="005E6933" w:rsidRPr="000A28CD" w:rsidRDefault="005E6933" w:rsidP="00C7094B">
            <w:pPr>
              <w:pStyle w:val="TableBullet"/>
              <w:cnfStyle w:val="000000100000" w:firstRow="0" w:lastRow="0" w:firstColumn="0" w:lastColumn="0" w:oddVBand="0" w:evenVBand="0" w:oddHBand="1" w:evenHBand="0" w:firstRowFirstColumn="0" w:firstRowLastColumn="0" w:lastRowFirstColumn="0" w:lastRowLastColumn="0"/>
            </w:pPr>
            <w:r>
              <w:t>Between 2013-2016, the combined costs of subscriptions and APCs for ten UK institutions faced average cost increases of 11% per year This was above inflation and normal year-on-year growth rates for the same period.</w:t>
            </w:r>
            <w:r>
              <w:rPr>
                <w:rStyle w:val="FootnoteReference"/>
              </w:rPr>
              <w:footnoteReference w:id="137"/>
            </w:r>
            <w:r>
              <w:t xml:space="preserve"> </w:t>
            </w:r>
          </w:p>
          <w:p w14:paraId="4C1F0900" w14:textId="33C37CF6" w:rsidR="005E6933" w:rsidRPr="007D35E9" w:rsidRDefault="005E6933" w:rsidP="00C7094B">
            <w:pPr>
              <w:pStyle w:val="TableBullet"/>
              <w:cnfStyle w:val="000000100000" w:firstRow="0" w:lastRow="0" w:firstColumn="0" w:lastColumn="0" w:oddVBand="0" w:evenVBand="0" w:oddHBand="1" w:evenHBand="0" w:firstRowFirstColumn="0" w:firstRowLastColumn="0" w:lastRowFirstColumn="0" w:lastRowLastColumn="0"/>
            </w:pPr>
            <w:r w:rsidRPr="007D35E9">
              <w:t>Across 37 universities in the UK in 2016, £56.1 ($104 AUD) million was spent on subscription costs and £11.3 ($21 AUD) million on APCs.</w:t>
            </w:r>
            <w:r w:rsidRPr="2F55E833">
              <w:rPr>
                <w:rStyle w:val="FootnoteReference"/>
                <w:rFonts w:cstheme="minorBidi"/>
              </w:rPr>
              <w:footnoteReference w:id="138"/>
            </w:r>
            <w:r w:rsidRPr="007D35E9">
              <w:t xml:space="preserve"> </w:t>
            </w:r>
          </w:p>
        </w:tc>
      </w:tr>
      <w:tr w:rsidR="005E6933" w:rsidRPr="007D35E9" w14:paraId="465C78D9" w14:textId="77777777" w:rsidTr="007E650F">
        <w:tc>
          <w:tcPr>
            <w:cnfStyle w:val="001000000000" w:firstRow="0" w:lastRow="0" w:firstColumn="1" w:lastColumn="0" w:oddVBand="0" w:evenVBand="0" w:oddHBand="0" w:evenHBand="0" w:firstRowFirstColumn="0" w:firstRowLastColumn="0" w:lastRowFirstColumn="0" w:lastRowLastColumn="0"/>
            <w:tcW w:w="988" w:type="dxa"/>
          </w:tcPr>
          <w:p w14:paraId="3EDF8F72" w14:textId="77777777" w:rsidR="005E6933" w:rsidRPr="007D35E9" w:rsidRDefault="005E6933" w:rsidP="00054830">
            <w:pPr>
              <w:pStyle w:val="RowHeading"/>
              <w:rPr>
                <w:b/>
              </w:rPr>
            </w:pPr>
            <w:r w:rsidRPr="007D35E9">
              <w:rPr>
                <w:b/>
              </w:rPr>
              <w:lastRenderedPageBreak/>
              <w:t>US</w:t>
            </w:r>
          </w:p>
        </w:tc>
        <w:tc>
          <w:tcPr>
            <w:tcW w:w="4536" w:type="dxa"/>
          </w:tcPr>
          <w:p w14:paraId="218EE75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In 2021, the US had 147 </w:t>
            </w:r>
            <w:r>
              <w:t>open access</w:t>
            </w:r>
            <w:r w:rsidRPr="007D35E9">
              <w:t xml:space="preserve"> mandates and policies, growing from 52 in 2010.</w:t>
            </w:r>
            <w:r w:rsidRPr="007D35E9">
              <w:rPr>
                <w:rStyle w:val="FootnoteReference"/>
                <w:rFonts w:cstheme="minorHAnsi"/>
              </w:rPr>
              <w:footnoteReference w:id="139"/>
            </w:r>
          </w:p>
          <w:p w14:paraId="024E207F"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In 2013, the White House Office of Science and Technology Policy issued a directive requiring research funded by federal agencies to be made available for free and in a timely manner.</w:t>
            </w:r>
            <w:r w:rsidRPr="007D35E9">
              <w:rPr>
                <w:rStyle w:val="FootnoteReference"/>
                <w:rFonts w:cstheme="minorHAnsi"/>
              </w:rPr>
              <w:footnoteReference w:id="140"/>
            </w:r>
            <w:r w:rsidRPr="007D35E9">
              <w:t xml:space="preserve"> </w:t>
            </w:r>
            <w:r w:rsidRPr="007D35E9">
              <w:rPr>
                <w:rStyle w:val="FootnoteReference"/>
                <w:rFonts w:cstheme="minorHAnsi"/>
              </w:rPr>
              <w:footnoteReference w:id="141"/>
            </w:r>
          </w:p>
          <w:p w14:paraId="0A414F7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The US’ largest medical researcher, the National Institute of Health launched a mandate requiring all research to be available as </w:t>
            </w:r>
            <w:r>
              <w:t>open access</w:t>
            </w:r>
            <w:r w:rsidRPr="007D35E9">
              <w:t xml:space="preserve"> within one year of publication.</w:t>
            </w:r>
            <w:r w:rsidRPr="007D35E9">
              <w:rPr>
                <w:rStyle w:val="FootnoteReference"/>
                <w:rFonts w:cstheme="minorHAnsi"/>
              </w:rPr>
              <w:footnoteReference w:id="142"/>
            </w:r>
          </w:p>
        </w:tc>
        <w:tc>
          <w:tcPr>
            <w:tcW w:w="4104" w:type="dxa"/>
          </w:tcPr>
          <w:p w14:paraId="0692BCA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The percentage of </w:t>
            </w:r>
            <w:r>
              <w:t>open access</w:t>
            </w:r>
            <w:r w:rsidRPr="007D35E9">
              <w:t xml:space="preserve"> publications per year in the US dropped from 68% in 2010 to 45% in 2015.</w:t>
            </w:r>
            <w:r w:rsidRPr="007D35E9">
              <w:rPr>
                <w:rStyle w:val="FootnoteReference"/>
                <w:rFonts w:cstheme="minorHAnsi"/>
              </w:rPr>
              <w:footnoteReference w:id="143"/>
            </w:r>
          </w:p>
        </w:tc>
      </w:tr>
      <w:tr w:rsidR="005E6933" w:rsidRPr="007D35E9" w14:paraId="2391613D" w14:textId="77777777" w:rsidTr="007E6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950921" w14:textId="77777777" w:rsidR="005E6933" w:rsidRPr="007D35E9" w:rsidRDefault="005E6933" w:rsidP="00054830">
            <w:pPr>
              <w:pStyle w:val="RowHeading"/>
              <w:rPr>
                <w:b/>
              </w:rPr>
            </w:pPr>
            <w:r w:rsidRPr="007D35E9">
              <w:rPr>
                <w:b/>
              </w:rPr>
              <w:t>Canada</w:t>
            </w:r>
          </w:p>
        </w:tc>
        <w:tc>
          <w:tcPr>
            <w:tcW w:w="4536" w:type="dxa"/>
          </w:tcPr>
          <w:p w14:paraId="448C2A4E" w14:textId="5B91CD76"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In 2015, three major research funders in Canada released a harmonised open access policy, which allows both green and gold </w:t>
            </w:r>
            <w:r>
              <w:t>open access</w:t>
            </w:r>
            <w:r w:rsidRPr="007D35E9">
              <w:t>.</w:t>
            </w:r>
            <w:r w:rsidRPr="2F55E833">
              <w:rPr>
                <w:rStyle w:val="FootnoteReference"/>
                <w:rFonts w:cstheme="minorBidi"/>
              </w:rPr>
              <w:footnoteReference w:id="144"/>
            </w:r>
            <w:r w:rsidRPr="007D35E9">
              <w:t xml:space="preserve"> This was modelled after the original 2008 policy by the Canadian Institutes of Health Research.</w:t>
            </w:r>
            <w:r w:rsidRPr="2F55E833">
              <w:rPr>
                <w:rStyle w:val="FootnoteReference"/>
                <w:rFonts w:cstheme="minorBidi"/>
              </w:rPr>
              <w:footnoteReference w:id="145"/>
            </w:r>
          </w:p>
        </w:tc>
        <w:tc>
          <w:tcPr>
            <w:tcW w:w="4104" w:type="dxa"/>
          </w:tcPr>
          <w:p w14:paraId="503FBAB7"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The percentage of </w:t>
            </w:r>
            <w:r>
              <w:t>open access</w:t>
            </w:r>
            <w:r w:rsidRPr="007D35E9">
              <w:t xml:space="preserve"> publications per year in Canada dropped from 61% in 2010 to 45% in 2015.</w:t>
            </w:r>
          </w:p>
          <w:p w14:paraId="37EAEA27"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In 2019, the aggregate costs of open scholarship activities for 28 Canadian universities were $23 million CAD ($25 million AUD).</w:t>
            </w:r>
            <w:r w:rsidRPr="2F55E833">
              <w:rPr>
                <w:rStyle w:val="FootnoteReference"/>
                <w:rFonts w:cstheme="minorBidi"/>
              </w:rPr>
              <w:footnoteReference w:id="146"/>
            </w:r>
          </w:p>
          <w:p w14:paraId="4A25B4AE"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High journal costs have caused numerous Canadian universities to cancel large subscription contracts.</w:t>
            </w:r>
            <w:r w:rsidRPr="2F55E833">
              <w:rPr>
                <w:rStyle w:val="FootnoteReference"/>
                <w:rFonts w:cstheme="minorBidi"/>
              </w:rPr>
              <w:footnoteReference w:id="147"/>
            </w:r>
          </w:p>
        </w:tc>
      </w:tr>
      <w:tr w:rsidR="005E6933" w:rsidRPr="007D35E9" w14:paraId="0D98BDF1" w14:textId="77777777" w:rsidTr="007E650F">
        <w:tc>
          <w:tcPr>
            <w:cnfStyle w:val="001000000000" w:firstRow="0" w:lastRow="0" w:firstColumn="1" w:lastColumn="0" w:oddVBand="0" w:evenVBand="0" w:oddHBand="0" w:evenHBand="0" w:firstRowFirstColumn="0" w:firstRowLastColumn="0" w:lastRowFirstColumn="0" w:lastRowLastColumn="0"/>
            <w:tcW w:w="988" w:type="dxa"/>
          </w:tcPr>
          <w:p w14:paraId="1B4C1576" w14:textId="77777777" w:rsidR="005E6933" w:rsidRPr="007D35E9" w:rsidRDefault="005E6933" w:rsidP="00054830">
            <w:pPr>
              <w:pStyle w:val="RowHeading"/>
              <w:rPr>
                <w:b/>
              </w:rPr>
            </w:pPr>
            <w:r w:rsidRPr="007D35E9">
              <w:rPr>
                <w:b/>
              </w:rPr>
              <w:t>Sweden</w:t>
            </w:r>
          </w:p>
        </w:tc>
        <w:tc>
          <w:tcPr>
            <w:tcW w:w="4536" w:type="dxa"/>
          </w:tcPr>
          <w:p w14:paraId="50E02177"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To support Sweden’s transition to gold open access,</w:t>
            </w:r>
            <w:r w:rsidRPr="2F55E833">
              <w:rPr>
                <w:rStyle w:val="FootnoteReference"/>
                <w:rFonts w:cstheme="minorBidi"/>
              </w:rPr>
              <w:footnoteReference w:id="148"/>
            </w:r>
            <w:r w:rsidRPr="007D35E9">
              <w:t xml:space="preserve"> the Bibsam Consortium was established to organise centrally fund APCs through agreements with 90 higher education and research institutions.</w:t>
            </w:r>
            <w:r w:rsidRPr="2F55E833">
              <w:rPr>
                <w:rStyle w:val="FootnoteReference"/>
                <w:rFonts w:cstheme="minorBidi"/>
              </w:rPr>
              <w:footnoteReference w:id="149"/>
            </w:r>
          </w:p>
          <w:p w14:paraId="4170A4A7"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lastRenderedPageBreak/>
              <w:t>The National Library of Sweden coordinates and funds the OpenAccess.se programme in collaboration with a breadth of national research institutions.</w:t>
            </w:r>
            <w:r w:rsidRPr="2F55E833">
              <w:rPr>
                <w:rStyle w:val="FootnoteReference"/>
                <w:rFonts w:cstheme="minorBidi"/>
              </w:rPr>
              <w:t xml:space="preserve"> </w:t>
            </w:r>
            <w:r w:rsidRPr="2F55E833">
              <w:rPr>
                <w:rStyle w:val="FootnoteReference"/>
                <w:rFonts w:cstheme="minorBidi"/>
              </w:rPr>
              <w:footnoteReference w:id="150"/>
            </w:r>
            <w:r w:rsidRPr="007D35E9">
              <w:t xml:space="preserve"> Established in 2006, the programme has created a global Directory of Open Access Journals (DOAJ), a national publications portal, and research institute and funder policies.</w:t>
            </w:r>
            <w:r w:rsidRPr="2F55E833">
              <w:rPr>
                <w:rStyle w:val="FootnoteReference"/>
                <w:rFonts w:cstheme="minorBidi"/>
              </w:rPr>
              <w:footnoteReference w:id="151"/>
            </w:r>
            <w:r w:rsidRPr="007D35E9">
              <w:t xml:space="preserve"> </w:t>
            </w:r>
          </w:p>
        </w:tc>
        <w:tc>
          <w:tcPr>
            <w:tcW w:w="4104" w:type="dxa"/>
          </w:tcPr>
          <w:p w14:paraId="19696D04"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lastRenderedPageBreak/>
              <w:t xml:space="preserve">The percentage of </w:t>
            </w:r>
            <w:r>
              <w:t>open access</w:t>
            </w:r>
            <w:r w:rsidRPr="007D35E9">
              <w:t xml:space="preserve"> publications per year in Sweden dropped from 62% in 2010 to 54% in 2015.</w:t>
            </w:r>
            <w:r w:rsidRPr="2F55E833">
              <w:rPr>
                <w:rStyle w:val="FootnoteReference"/>
                <w:rFonts w:cstheme="minorBidi"/>
              </w:rPr>
              <w:footnoteReference w:id="152"/>
            </w:r>
          </w:p>
          <w:p w14:paraId="0821A3E2" w14:textId="496E5725" w:rsidR="005E6933" w:rsidRPr="007D35E9" w:rsidRDefault="005E6933" w:rsidP="001142DC">
            <w:pPr>
              <w:pStyle w:val="TableBullet"/>
              <w:cnfStyle w:val="000000000000" w:firstRow="0" w:lastRow="0" w:firstColumn="0" w:lastColumn="0" w:oddVBand="0" w:evenVBand="0" w:oddHBand="0" w:evenHBand="0" w:firstRowFirstColumn="0" w:firstRowLastColumn="0" w:lastRowFirstColumn="0" w:lastRowLastColumn="0"/>
            </w:pPr>
            <w:r w:rsidRPr="007D35E9">
              <w:t xml:space="preserve">Sweden’s higher education subscription and publishing costs in 2019 totalled 504 million SEK ($80 million AUD). This figure includes 74 </w:t>
            </w:r>
            <w:r w:rsidRPr="007D35E9">
              <w:lastRenderedPageBreak/>
              <w:t>million SEK ($12 million AUD) on open access publishing, 93 million SEK ($15 million AUD) on transformative agreements and 17 million SEK ($3 million AUD) on fully open access agreements.</w:t>
            </w:r>
            <w:r w:rsidRPr="2F55E833">
              <w:rPr>
                <w:rStyle w:val="FootnoteReference"/>
                <w:rFonts w:cstheme="minorBidi"/>
              </w:rPr>
              <w:footnoteReference w:id="153"/>
            </w:r>
          </w:p>
        </w:tc>
      </w:tr>
      <w:tr w:rsidR="005E6933" w:rsidRPr="007D35E9" w14:paraId="084A5238" w14:textId="77777777" w:rsidTr="007E6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7BB79CD" w14:textId="24611011" w:rsidR="005E6933" w:rsidRPr="007D35E9" w:rsidRDefault="005E6933" w:rsidP="00054830">
            <w:pPr>
              <w:pStyle w:val="RowHeading"/>
              <w:rPr>
                <w:b/>
              </w:rPr>
            </w:pPr>
            <w:r>
              <w:rPr>
                <w:b/>
              </w:rPr>
              <w:lastRenderedPageBreak/>
              <w:t>Norway</w:t>
            </w:r>
          </w:p>
        </w:tc>
        <w:tc>
          <w:tcPr>
            <w:tcW w:w="4536" w:type="dxa"/>
          </w:tcPr>
          <w:p w14:paraId="2E3C909B"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Since 2014, all Norwegian institutional archives can be searched through the Norwegian Open Research Archive (NORA).</w:t>
            </w:r>
            <w:r>
              <w:rPr>
                <w:rStyle w:val="FootnoteReference"/>
              </w:rPr>
              <w:footnoteReference w:id="154"/>
            </w:r>
          </w:p>
          <w:p w14:paraId="648449B2"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In 2016, Norway had 11 open access mandates and policies; two with research funders and nine with research organisations across the country.</w:t>
            </w:r>
            <w:r>
              <w:rPr>
                <w:rStyle w:val="FootnoteReference"/>
              </w:rPr>
              <w:footnoteReference w:id="155"/>
            </w:r>
            <w:r>
              <w:t xml:space="preserve"> </w:t>
            </w:r>
          </w:p>
          <w:p w14:paraId="420C2521"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In 2017 the Norwegian Government introduced an open access mandate to scholarly articles.</w:t>
            </w:r>
            <w:r>
              <w:rPr>
                <w:rStyle w:val="FootnoteReference"/>
              </w:rPr>
              <w:footnoteReference w:id="156"/>
            </w:r>
          </w:p>
          <w:p w14:paraId="66F9394E" w14:textId="77777777" w:rsidR="005E6933"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In 2019, Norway’s consortium proposed a combined read-and-publish deal with Elsevier. As a result of unsuccessful negotiations, the consortium cancelled its subscription contracts with Elsevier.</w:t>
            </w:r>
            <w:r>
              <w:rPr>
                <w:rStyle w:val="FootnoteReference"/>
              </w:rPr>
              <w:footnoteReference w:id="157"/>
            </w:r>
            <w:r>
              <w:t xml:space="preserve"> </w:t>
            </w:r>
          </w:p>
          <w:p w14:paraId="021848C5" w14:textId="77777777" w:rsidR="005E6933" w:rsidRPr="006F160F"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In 2019, Norway established a pilot transformative agreement with Elsevier expected to be relatively cost neutral with previous agreements.</w:t>
            </w:r>
            <w:r>
              <w:rPr>
                <w:rStyle w:val="FootnoteReference"/>
              </w:rPr>
              <w:footnoteReference w:id="158"/>
            </w:r>
            <w:r>
              <w:t xml:space="preserve"> </w:t>
            </w:r>
          </w:p>
        </w:tc>
        <w:tc>
          <w:tcPr>
            <w:tcW w:w="4104" w:type="dxa"/>
          </w:tcPr>
          <w:p w14:paraId="78AC6276"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t>More than 70% of Norwegian articles published between 2011-2015, are openly available.</w:t>
            </w:r>
            <w:r>
              <w:rPr>
                <w:rStyle w:val="FootnoteReference"/>
              </w:rPr>
              <w:footnoteReference w:id="159"/>
            </w:r>
          </w:p>
        </w:tc>
      </w:tr>
      <w:tr w:rsidR="005E6933" w:rsidRPr="007D35E9" w14:paraId="07BDCB7A" w14:textId="77777777" w:rsidTr="007E650F">
        <w:tc>
          <w:tcPr>
            <w:cnfStyle w:val="001000000000" w:firstRow="0" w:lastRow="0" w:firstColumn="1" w:lastColumn="0" w:oddVBand="0" w:evenVBand="0" w:oddHBand="0" w:evenHBand="0" w:firstRowFirstColumn="0" w:firstRowLastColumn="0" w:lastRowFirstColumn="0" w:lastRowLastColumn="0"/>
            <w:tcW w:w="988" w:type="dxa"/>
          </w:tcPr>
          <w:p w14:paraId="2640D070" w14:textId="77777777" w:rsidR="005E6933" w:rsidRDefault="005E6933" w:rsidP="00054830">
            <w:pPr>
              <w:pStyle w:val="RowHeading"/>
              <w:rPr>
                <w:b/>
              </w:rPr>
            </w:pPr>
            <w:r>
              <w:rPr>
                <w:b/>
              </w:rPr>
              <w:t>Germany</w:t>
            </w:r>
          </w:p>
        </w:tc>
        <w:tc>
          <w:tcPr>
            <w:tcW w:w="4536" w:type="dxa"/>
          </w:tcPr>
          <w:p w14:paraId="1F8924F8" w14:textId="77777777"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In 2020, Germany had 75 open access mandates and policies; the majority of these (71) with research organisations across the country.</w:t>
            </w:r>
            <w:r>
              <w:rPr>
                <w:rStyle w:val="FootnoteReference"/>
              </w:rPr>
              <w:footnoteReference w:id="160"/>
            </w:r>
          </w:p>
          <w:p w14:paraId="6B5BEE1F" w14:textId="77777777" w:rsidR="005E6933"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 xml:space="preserve">A group of German institutions collaborated to form a country-wide initiative known as Projekt DEAL. The initiative aimed to establish national </w:t>
            </w:r>
            <w:r>
              <w:lastRenderedPageBreak/>
              <w:t>licensing agreements with major academic publishers from 2017 onwards.</w:t>
            </w:r>
            <w:r>
              <w:rPr>
                <w:rStyle w:val="FootnoteReference"/>
              </w:rPr>
              <w:footnoteReference w:id="161"/>
            </w:r>
            <w:r>
              <w:t xml:space="preserve"> </w:t>
            </w:r>
          </w:p>
          <w:p w14:paraId="40CB05A9" w14:textId="77777777" w:rsidR="005E6933" w:rsidRPr="00420037"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 xml:space="preserve"> T</w:t>
            </w:r>
            <w:r w:rsidRPr="007D35E9">
              <w:t xml:space="preserve">he Projekt DEAL Consortium failed to </w:t>
            </w:r>
            <w:r>
              <w:t>reach</w:t>
            </w:r>
            <w:r w:rsidRPr="007D35E9">
              <w:t xml:space="preserve"> a</w:t>
            </w:r>
            <w:r>
              <w:t xml:space="preserve"> read-and-publish</w:t>
            </w:r>
            <w:r w:rsidRPr="007D35E9">
              <w:t xml:space="preserve"> agreement with Elsevier </w:t>
            </w:r>
            <w:r>
              <w:t>and</w:t>
            </w:r>
            <w:r w:rsidRPr="007D35E9">
              <w:t xml:space="preserve"> more than 180 German scientific institutions chose not to extend their contracts</w:t>
            </w:r>
            <w:r>
              <w:t xml:space="preserve"> in 2017</w:t>
            </w:r>
            <w:r w:rsidRPr="007D35E9">
              <w:t>.</w:t>
            </w:r>
            <w:r w:rsidRPr="00563DEE">
              <w:rPr>
                <w:rStyle w:val="FootnoteReference"/>
                <w:rFonts w:cstheme="minorHAnsi"/>
              </w:rPr>
              <w:footnoteReference w:id="162"/>
            </w:r>
          </w:p>
          <w:p w14:paraId="47A4FB89" w14:textId="77777777" w:rsidR="005E6933" w:rsidRPr="00556EA6"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Projekt DEAL has established transformative agreements with both Springer Nature and Wiley.</w:t>
            </w:r>
            <w:r>
              <w:rPr>
                <w:rStyle w:val="FootnoteReference"/>
              </w:rPr>
              <w:footnoteReference w:id="163"/>
            </w:r>
            <w:r>
              <w:t xml:space="preserve"> </w:t>
            </w:r>
          </w:p>
        </w:tc>
        <w:tc>
          <w:tcPr>
            <w:tcW w:w="4104" w:type="dxa"/>
          </w:tcPr>
          <w:p w14:paraId="3EEF91EB" w14:textId="24F91141" w:rsidR="005E6933" w:rsidRDefault="005E6933" w:rsidP="00763E3F">
            <w:pPr>
              <w:pStyle w:val="TableBullet"/>
              <w:cnfStyle w:val="000000000000" w:firstRow="0" w:lastRow="0" w:firstColumn="0" w:lastColumn="0" w:oddVBand="0" w:evenVBand="0" w:oddHBand="0" w:evenHBand="0" w:firstRowFirstColumn="0" w:firstRowLastColumn="0" w:lastRowFirstColumn="0" w:lastRowLastColumn="0"/>
            </w:pPr>
            <w:r w:rsidRPr="007D35E9">
              <w:lastRenderedPageBreak/>
              <w:t xml:space="preserve">The percentage of </w:t>
            </w:r>
            <w:r>
              <w:t>open access</w:t>
            </w:r>
            <w:r w:rsidRPr="007D35E9">
              <w:t xml:space="preserve"> publications per year in </w:t>
            </w:r>
            <w:r>
              <w:t>Germany</w:t>
            </w:r>
            <w:r w:rsidRPr="007D35E9">
              <w:t xml:space="preserve"> dropped from </w:t>
            </w:r>
            <w:r>
              <w:t>56</w:t>
            </w:r>
            <w:r w:rsidRPr="007D35E9">
              <w:t xml:space="preserve">% in 2010 to </w:t>
            </w:r>
            <w:r>
              <w:t>46</w:t>
            </w:r>
            <w:r w:rsidRPr="007D35E9">
              <w:t>% in 2015.</w:t>
            </w:r>
            <w:r w:rsidRPr="2F55E833">
              <w:rPr>
                <w:rStyle w:val="FootnoteReference"/>
                <w:rFonts w:cstheme="minorBidi"/>
              </w:rPr>
              <w:footnoteReference w:id="164"/>
            </w:r>
          </w:p>
        </w:tc>
      </w:tr>
    </w:tbl>
    <w:p w14:paraId="130F03B1" w14:textId="77777777" w:rsidR="001142DC" w:rsidRDefault="001142DC" w:rsidP="00A91475">
      <w:pPr>
        <w:pStyle w:val="BodyText"/>
      </w:pPr>
      <w:bookmarkStart w:id="97" w:name="_Toc87628235"/>
      <w:bookmarkStart w:id="98" w:name="_Toc87629954"/>
    </w:p>
    <w:p w14:paraId="151FC59D" w14:textId="77777777" w:rsidR="001142DC" w:rsidRDefault="001142DC">
      <w:pPr>
        <w:spacing w:before="0" w:after="0" w:line="240" w:lineRule="auto"/>
        <w:rPr>
          <w:rFonts w:eastAsiaTheme="majorEastAsia" w:cstheme="majorBidi"/>
          <w:bCs/>
          <w:color w:val="001D34" w:themeColor="accent2"/>
          <w:sz w:val="32"/>
          <w:szCs w:val="26"/>
        </w:rPr>
      </w:pPr>
      <w:r>
        <w:br w:type="page"/>
      </w:r>
    </w:p>
    <w:p w14:paraId="50B93B18" w14:textId="420D5918" w:rsidR="005E6933" w:rsidRPr="00C77D92" w:rsidRDefault="005E6933" w:rsidP="005E6933">
      <w:pPr>
        <w:pStyle w:val="Heading2notnumbered"/>
        <w:rPr>
          <w:rFonts w:cs="Times New Roman"/>
        </w:rPr>
      </w:pPr>
      <w:r w:rsidRPr="00563DEE">
        <w:lastRenderedPageBreak/>
        <w:t>Key international initiatives</w:t>
      </w:r>
      <w:bookmarkEnd w:id="97"/>
      <w:bookmarkEnd w:id="98"/>
      <w:r w:rsidRPr="00563DEE">
        <w:t xml:space="preserve"> </w:t>
      </w:r>
    </w:p>
    <w:p w14:paraId="6D1CF76F" w14:textId="58C94239" w:rsidR="005E6933" w:rsidRPr="005E7144" w:rsidRDefault="005A1CC6" w:rsidP="00A47B69">
      <w:pPr>
        <w:pStyle w:val="BodyText"/>
      </w:pPr>
      <w:r>
        <w:t>T</w:t>
      </w:r>
      <w:r w:rsidR="005E6933">
        <w:t xml:space="preserve">he table </w:t>
      </w:r>
      <w:r>
        <w:t xml:space="preserve">below </w:t>
      </w:r>
      <w:r w:rsidR="005E6933">
        <w:t xml:space="preserve">highlights key international open access initiatives and the scale and </w:t>
      </w:r>
      <w:r w:rsidR="003D1522">
        <w:t>impact</w:t>
      </w:r>
      <w:r w:rsidR="005E6933">
        <w:t xml:space="preserve"> of these programs so far</w:t>
      </w:r>
      <w:r>
        <w:t>.</w:t>
      </w:r>
    </w:p>
    <w:tbl>
      <w:tblPr>
        <w:tblStyle w:val="ListTable3-Accent1"/>
        <w:tblW w:w="0" w:type="auto"/>
        <w:tblLook w:val="04A0" w:firstRow="1" w:lastRow="0" w:firstColumn="1" w:lastColumn="0" w:noHBand="0" w:noVBand="1"/>
      </w:tblPr>
      <w:tblGrid>
        <w:gridCol w:w="3216"/>
        <w:gridCol w:w="3238"/>
        <w:gridCol w:w="3174"/>
      </w:tblGrid>
      <w:tr w:rsidR="005E6933" w:rsidRPr="007D35E9" w14:paraId="210B78F9" w14:textId="77777777" w:rsidTr="001142D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tcPr>
          <w:p w14:paraId="0B4D56DD" w14:textId="77777777" w:rsidR="005E6933" w:rsidRPr="00C45E21" w:rsidRDefault="005E6933" w:rsidP="00C7094B">
            <w:pPr>
              <w:pStyle w:val="ColumnHeading"/>
              <w:rPr>
                <w:b/>
                <w:color w:val="auto"/>
              </w:rPr>
            </w:pPr>
            <w:r w:rsidRPr="00C45E21">
              <w:rPr>
                <w:b/>
                <w:color w:val="auto"/>
              </w:rPr>
              <w:t>Initiative</w:t>
            </w:r>
          </w:p>
        </w:tc>
        <w:tc>
          <w:tcPr>
            <w:tcW w:w="0" w:type="auto"/>
          </w:tcPr>
          <w:p w14:paraId="310A0160"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color w:val="auto"/>
              </w:rPr>
            </w:pPr>
            <w:r w:rsidRPr="00C45E21">
              <w:rPr>
                <w:b/>
                <w:color w:val="auto"/>
              </w:rPr>
              <w:t>DESCRIPTION</w:t>
            </w:r>
          </w:p>
        </w:tc>
        <w:tc>
          <w:tcPr>
            <w:tcW w:w="0" w:type="auto"/>
          </w:tcPr>
          <w:p w14:paraId="67E39657" w14:textId="77777777" w:rsidR="005E6933" w:rsidRPr="00C45E21" w:rsidRDefault="005E6933" w:rsidP="00C7094B">
            <w:pPr>
              <w:pStyle w:val="ColumnHeading"/>
              <w:cnfStyle w:val="100000000000" w:firstRow="1" w:lastRow="0" w:firstColumn="0" w:lastColumn="0" w:oddVBand="0" w:evenVBand="0" w:oddHBand="0" w:evenHBand="0" w:firstRowFirstColumn="0" w:firstRowLastColumn="0" w:lastRowFirstColumn="0" w:lastRowLastColumn="0"/>
              <w:rPr>
                <w:b/>
                <w:bCs w:val="0"/>
                <w:color w:val="auto"/>
              </w:rPr>
            </w:pPr>
            <w:r w:rsidRPr="00C45E21">
              <w:rPr>
                <w:b/>
                <w:bCs w:val="0"/>
                <w:color w:val="auto"/>
              </w:rPr>
              <w:t>IMPACT</w:t>
            </w:r>
          </w:p>
        </w:tc>
      </w:tr>
      <w:tr w:rsidR="005E6933" w:rsidRPr="007D35E9" w14:paraId="14C9DCE2" w14:textId="77777777" w:rsidTr="00114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2CBB7A" w14:textId="2D777061" w:rsidR="005E6933" w:rsidRPr="00563DEE" w:rsidRDefault="005E6933" w:rsidP="00B07796">
            <w:pPr>
              <w:pStyle w:val="BodyText"/>
              <w:jc w:val="center"/>
              <w:rPr>
                <w:rFonts w:cstheme="minorBidi"/>
                <w:sz w:val="20"/>
                <w:szCs w:val="20"/>
              </w:rPr>
            </w:pPr>
            <w:r>
              <w:rPr>
                <w:noProof/>
              </w:rPr>
              <w:drawing>
                <wp:anchor distT="0" distB="0" distL="114300" distR="114300" simplePos="0" relativeHeight="251658246" behindDoc="0" locked="0" layoutInCell="1" allowOverlap="1" wp14:anchorId="53803107" wp14:editId="00908283">
                  <wp:simplePos x="786809" y="2392326"/>
                  <wp:positionH relativeFrom="margin">
                    <wp:align>center</wp:align>
                  </wp:positionH>
                  <wp:positionV relativeFrom="margin">
                    <wp:align>center</wp:align>
                  </wp:positionV>
                  <wp:extent cx="1149466" cy="900000"/>
                  <wp:effectExtent l="0" t="0" r="0" b="0"/>
                  <wp:wrapSquare wrapText="bothSides"/>
                  <wp:docPr id="103" name="Picture 4" descr="COAR Next Generation Repositories: Vision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1">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BD564B0B-79AD-44E9-8A78-85F69DEBD7A4}"/>
                              </a:ext>
                            </a:extLst>
                          </a:blip>
                          <a:srcRect l="9901" t="8441" r="17144" b="8640"/>
                          <a:stretch>
                            <a:fillRect/>
                          </a:stretch>
                        </pic:blipFill>
                        <pic:spPr>
                          <a:xfrm>
                            <a:off x="0" y="0"/>
                            <a:ext cx="1149466" cy="900000"/>
                          </a:xfrm>
                          <a:prstGeom prst="rect">
                            <a:avLst/>
                          </a:prstGeom>
                        </pic:spPr>
                      </pic:pic>
                    </a:graphicData>
                  </a:graphic>
                </wp:anchor>
              </w:drawing>
            </w:r>
            <w:r>
              <w:rPr>
                <w:noProof/>
              </w:rPr>
              <w:drawing>
                <wp:anchor distT="0" distB="0" distL="114300" distR="114300" simplePos="0" relativeHeight="251658247" behindDoc="0" locked="0" layoutInCell="1" allowOverlap="1" wp14:anchorId="49CF42EB" wp14:editId="14DAAA64">
                  <wp:simplePos x="786809" y="2392326"/>
                  <wp:positionH relativeFrom="margin">
                    <wp:align>center</wp:align>
                  </wp:positionH>
                  <wp:positionV relativeFrom="margin">
                    <wp:align>center</wp:align>
                  </wp:positionV>
                  <wp:extent cx="1149466" cy="900000"/>
                  <wp:effectExtent l="0" t="0" r="0" b="0"/>
                  <wp:wrapSquare wrapText="bothSides"/>
                  <wp:docPr id="16" name="Picture 4" descr="COAR Logo. Confederation of Open Access Repos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OAR Logo. Confederation of Open Access Repositories."/>
                          <pic:cNvPicPr/>
                        </pic:nvPicPr>
                        <pic:blipFill>
                          <a:blip r:embed="rId71">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BD564B0B-79AD-44E9-8A78-85F69DEBD7A4}"/>
                              </a:ext>
                            </a:extLst>
                          </a:blip>
                          <a:srcRect l="9901" t="8441" r="17144" b="8640"/>
                          <a:stretch>
                            <a:fillRect/>
                          </a:stretch>
                        </pic:blipFill>
                        <pic:spPr>
                          <a:xfrm>
                            <a:off x="0" y="0"/>
                            <a:ext cx="1149466" cy="900000"/>
                          </a:xfrm>
                          <a:prstGeom prst="rect">
                            <a:avLst/>
                          </a:prstGeom>
                        </pic:spPr>
                      </pic:pic>
                    </a:graphicData>
                  </a:graphic>
                </wp:anchor>
              </w:drawing>
            </w:r>
          </w:p>
        </w:tc>
        <w:tc>
          <w:tcPr>
            <w:tcW w:w="0" w:type="auto"/>
          </w:tcPr>
          <w:p w14:paraId="5F211B0C"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7D35E9">
              <w:t xml:space="preserve">COAR is an association established to gather individual repositories and networks. COAR aligns policies, builds capability and acts as a representative body for repositories. </w:t>
            </w:r>
          </w:p>
          <w:p w14:paraId="14179280"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675BE4A1"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Includes a global network of 151 members across 51 countries. </w:t>
            </w:r>
          </w:p>
          <w:p w14:paraId="4B5EF42A"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Four Australian universities are members.</w:t>
            </w:r>
            <w:r w:rsidRPr="2F55E833">
              <w:rPr>
                <w:rStyle w:val="FootnoteReference"/>
                <w:rFonts w:cstheme="minorBidi"/>
              </w:rPr>
              <w:footnoteReference w:id="165"/>
            </w:r>
            <w:r w:rsidRPr="007D35E9">
              <w:t xml:space="preserve">  </w:t>
            </w:r>
          </w:p>
        </w:tc>
      </w:tr>
      <w:tr w:rsidR="005E6933" w:rsidRPr="007D35E9" w14:paraId="7A4F2476" w14:textId="77777777" w:rsidTr="001142DC">
        <w:trPr>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2B739D" w14:textId="1395CE76" w:rsidR="005E6933" w:rsidRPr="00563DEE" w:rsidRDefault="005E6933" w:rsidP="00B07796">
            <w:pPr>
              <w:pStyle w:val="BodyText"/>
              <w:jc w:val="center"/>
              <w:rPr>
                <w:rFonts w:cstheme="minorBidi"/>
                <w:sz w:val="20"/>
                <w:szCs w:val="20"/>
              </w:rPr>
            </w:pPr>
            <w:r>
              <w:rPr>
                <w:noProof/>
              </w:rPr>
              <w:drawing>
                <wp:anchor distT="0" distB="0" distL="114300" distR="114300" simplePos="0" relativeHeight="251658248" behindDoc="0" locked="0" layoutInCell="1" allowOverlap="1" wp14:anchorId="429E0295" wp14:editId="4A7ED64A">
                  <wp:simplePos x="786809" y="3530009"/>
                  <wp:positionH relativeFrom="margin">
                    <wp:align>center</wp:align>
                  </wp:positionH>
                  <wp:positionV relativeFrom="margin">
                    <wp:align>center</wp:align>
                  </wp:positionV>
                  <wp:extent cx="880449" cy="900000"/>
                  <wp:effectExtent l="0" t="0" r="0" b="0"/>
                  <wp:wrapSquare wrapText="bothSides"/>
                  <wp:docPr id="104" name="Picture 4" descr="Re-thinking excellence in research - RSC signs 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2">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96566723-EB43-47A7-A4A9-D315AE7C3395}"/>
                              </a:ext>
                            </a:extLst>
                          </a:blip>
                          <a:srcRect l="16934" t="4710" r="16934" b="5157"/>
                          <a:stretch>
                            <a:fillRect/>
                          </a:stretch>
                        </pic:blipFill>
                        <pic:spPr>
                          <a:xfrm>
                            <a:off x="0" y="0"/>
                            <a:ext cx="880449" cy="900000"/>
                          </a:xfrm>
                          <a:prstGeom prst="rect">
                            <a:avLst/>
                          </a:prstGeom>
                        </pic:spPr>
                      </pic:pic>
                    </a:graphicData>
                  </a:graphic>
                </wp:anchor>
              </w:drawing>
            </w:r>
            <w:r>
              <w:rPr>
                <w:noProof/>
              </w:rPr>
              <w:drawing>
                <wp:anchor distT="0" distB="0" distL="114300" distR="114300" simplePos="0" relativeHeight="251658249" behindDoc="0" locked="0" layoutInCell="1" allowOverlap="1" wp14:anchorId="740F6009" wp14:editId="328DA8E3">
                  <wp:simplePos x="786809" y="3530009"/>
                  <wp:positionH relativeFrom="margin">
                    <wp:align>center</wp:align>
                  </wp:positionH>
                  <wp:positionV relativeFrom="margin">
                    <wp:align>center</wp:align>
                  </wp:positionV>
                  <wp:extent cx="880449" cy="900000"/>
                  <wp:effectExtent l="0" t="0" r="0" b="0"/>
                  <wp:wrapSquare wrapText="bothSides"/>
                  <wp:docPr id="21" name="Picture 4" descr="Signatory of D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Signatory of DORA logo."/>
                          <pic:cNvPicPr/>
                        </pic:nvPicPr>
                        <pic:blipFill>
                          <a:blip r:embed="rId72">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96566723-EB43-47A7-A4A9-D315AE7C3395}"/>
                              </a:ext>
                            </a:extLst>
                          </a:blip>
                          <a:srcRect l="16934" t="4710" r="16934" b="5157"/>
                          <a:stretch>
                            <a:fillRect/>
                          </a:stretch>
                        </pic:blipFill>
                        <pic:spPr>
                          <a:xfrm>
                            <a:off x="0" y="0"/>
                            <a:ext cx="880449" cy="900000"/>
                          </a:xfrm>
                          <a:prstGeom prst="rect">
                            <a:avLst/>
                          </a:prstGeom>
                        </pic:spPr>
                      </pic:pic>
                    </a:graphicData>
                  </a:graphic>
                </wp:anchor>
              </w:drawing>
            </w:r>
          </w:p>
        </w:tc>
        <w:tc>
          <w:tcPr>
            <w:tcW w:w="0" w:type="auto"/>
          </w:tcPr>
          <w:p w14:paraId="60FF19A3" w14:textId="77777777"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rsidRPr="007D35E9">
              <w:t xml:space="preserve">DORA is the San Francisco Declaration on Research Assessment, which aims to improve the methods for evaluating scholarly research. DORA supports institutions to incorporate contributions to Open Science into promotion, hiring and funding decisions. </w:t>
            </w:r>
          </w:p>
        </w:tc>
        <w:tc>
          <w:tcPr>
            <w:tcW w:w="0" w:type="auto"/>
          </w:tcPr>
          <w:p w14:paraId="3587669F"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 xml:space="preserve">Currently holds 2252 signatories. </w:t>
            </w:r>
          </w:p>
          <w:p w14:paraId="2678A486"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Springer Nature is the largest signatory to date.</w:t>
            </w:r>
            <w:r w:rsidRPr="2F55E833">
              <w:rPr>
                <w:rStyle w:val="FootnoteReference"/>
                <w:rFonts w:cstheme="minorBidi"/>
              </w:rPr>
              <w:footnoteReference w:id="166"/>
            </w:r>
            <w:r w:rsidRPr="007D35E9">
              <w:t xml:space="preserve"> </w:t>
            </w:r>
          </w:p>
          <w:p w14:paraId="7D4C7C72" w14:textId="77777777"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p>
        </w:tc>
      </w:tr>
      <w:tr w:rsidR="005E6933" w:rsidRPr="007D35E9" w14:paraId="5C0F50D2" w14:textId="77777777" w:rsidTr="00114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6B73B" w14:textId="6675229D" w:rsidR="005E6933" w:rsidRPr="00563DEE" w:rsidRDefault="00B07796" w:rsidP="00B07796">
            <w:pPr>
              <w:pStyle w:val="BodyText"/>
              <w:jc w:val="center"/>
              <w:rPr>
                <w:rFonts w:cstheme="minorBidi"/>
                <w:sz w:val="20"/>
                <w:szCs w:val="20"/>
              </w:rPr>
            </w:pPr>
            <w:r>
              <w:rPr>
                <w:noProof/>
              </w:rPr>
              <w:drawing>
                <wp:anchor distT="0" distB="0" distL="114300" distR="114300" simplePos="0" relativeHeight="251658250" behindDoc="0" locked="0" layoutInCell="1" allowOverlap="1" wp14:anchorId="36BDBF39" wp14:editId="1498A4E5">
                  <wp:simplePos x="0" y="0"/>
                  <wp:positionH relativeFrom="margin">
                    <wp:posOffset>273050</wp:posOffset>
                  </wp:positionH>
                  <wp:positionV relativeFrom="margin">
                    <wp:posOffset>161925</wp:posOffset>
                  </wp:positionV>
                  <wp:extent cx="1521460" cy="899795"/>
                  <wp:effectExtent l="0" t="0" r="2540" b="0"/>
                  <wp:wrapSquare wrapText="bothSides"/>
                  <wp:docPr id="105" name="Picture 2" descr="LA Referenc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 descr="LA Referencia logo."/>
                          <pic:cNvPicPr/>
                        </pic:nvPicPr>
                        <pic:blipFill>
                          <a:blip r:embed="rId73">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3B8C8591-908F-4EDB-B698-49236CAFB181}"/>
                              </a:ext>
                            </a:extLst>
                          </a:blip>
                          <a:srcRect l="4082" t="25474" r="5229" b="20888"/>
                          <a:stretch>
                            <a:fillRect/>
                          </a:stretch>
                        </pic:blipFill>
                        <pic:spPr>
                          <a:xfrm>
                            <a:off x="0" y="0"/>
                            <a:ext cx="1521460" cy="899795"/>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3202FB8"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7D35E9">
              <w:t xml:space="preserve">LA Referencia is a network of repositories in Latin America promoting open and free visibility of research. </w:t>
            </w:r>
          </w:p>
          <w:p w14:paraId="14D38528"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11A804CF" w14:textId="3FE16A48"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 xml:space="preserve">La Referencia and OpenAIRE (below) account for half of the world’s </w:t>
            </w:r>
            <w:r w:rsidR="00434FBB">
              <w:t>open access</w:t>
            </w:r>
            <w:r w:rsidRPr="007D35E9">
              <w:t xml:space="preserve"> repositories.</w:t>
            </w:r>
            <w:r w:rsidRPr="2F55E833">
              <w:rPr>
                <w:rStyle w:val="FootnoteReference"/>
                <w:rFonts w:cstheme="minorBidi"/>
              </w:rPr>
              <w:footnoteReference w:id="167"/>
            </w:r>
            <w:r w:rsidRPr="007D35E9">
              <w:t xml:space="preserve"> </w:t>
            </w:r>
          </w:p>
          <w:p w14:paraId="75CD324B"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p>
        </w:tc>
      </w:tr>
      <w:tr w:rsidR="005E6933" w:rsidRPr="007D35E9" w14:paraId="08BF1819" w14:textId="77777777" w:rsidTr="001142DC">
        <w:trPr>
          <w:cantSplit/>
          <w:trHeight w:val="11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9C5F94" w14:textId="1883ED23" w:rsidR="005E6933" w:rsidRPr="00563DEE" w:rsidRDefault="005E6933" w:rsidP="00B07796">
            <w:pPr>
              <w:pStyle w:val="BodyText"/>
              <w:jc w:val="center"/>
              <w:rPr>
                <w:rFonts w:cstheme="minorBidi"/>
                <w:sz w:val="20"/>
                <w:szCs w:val="20"/>
              </w:rPr>
            </w:pPr>
            <w:r>
              <w:rPr>
                <w:noProof/>
              </w:rPr>
              <w:drawing>
                <wp:anchor distT="0" distB="0" distL="114300" distR="114300" simplePos="0" relativeHeight="251658251" behindDoc="0" locked="0" layoutInCell="1" allowOverlap="1" wp14:anchorId="53871F05" wp14:editId="2342DF42">
                  <wp:simplePos x="786809" y="6198781"/>
                  <wp:positionH relativeFrom="margin">
                    <wp:align>center</wp:align>
                  </wp:positionH>
                  <wp:positionV relativeFrom="margin">
                    <wp:align>center</wp:align>
                  </wp:positionV>
                  <wp:extent cx="1561606" cy="720000"/>
                  <wp:effectExtent l="0" t="0" r="635" b="4445"/>
                  <wp:wrapNone/>
                  <wp:docPr id="106" name="Picture 6" descr="Logo of the OA2020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 descr="Logo of the OA2020 initiative."/>
                          <pic:cNvPicPr/>
                        </pic:nvPicPr>
                        <pic:blipFill>
                          <a:blip r:embed="rId74">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18F49959-9D01-41C4-9373-EB8E0ECCF3B3}"/>
                              </a:ext>
                            </a:extLst>
                          </a:blip>
                          <a:srcRect l="6577" t="7480" r="5893" b="10001"/>
                          <a:stretch>
                            <a:fillRect/>
                          </a:stretch>
                        </pic:blipFill>
                        <pic:spPr>
                          <a:xfrm>
                            <a:off x="0" y="0"/>
                            <a:ext cx="1561606" cy="720000"/>
                          </a:xfrm>
                          <a:prstGeom prst="rect">
                            <a:avLst/>
                          </a:prstGeom>
                        </pic:spPr>
                      </pic:pic>
                    </a:graphicData>
                  </a:graphic>
                </wp:anchor>
              </w:drawing>
            </w:r>
          </w:p>
        </w:tc>
        <w:tc>
          <w:tcPr>
            <w:tcW w:w="0" w:type="auto"/>
          </w:tcPr>
          <w:p w14:paraId="540BA20E" w14:textId="089BFED8"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rsidRPr="007D35E9">
              <w:t xml:space="preserve">OA2020 is a global alliance aiming to convert journals from </w:t>
            </w:r>
            <w:r w:rsidR="009B25E5">
              <w:t xml:space="preserve">a </w:t>
            </w:r>
            <w:r w:rsidRPr="007D35E9">
              <w:t>subscription</w:t>
            </w:r>
            <w:r w:rsidR="009B25E5">
              <w:t xml:space="preserve"> based</w:t>
            </w:r>
            <w:r w:rsidRPr="007D35E9">
              <w:t xml:space="preserve"> to </w:t>
            </w:r>
            <w:r w:rsidR="007E2597">
              <w:t>open access</w:t>
            </w:r>
            <w:r w:rsidRPr="007D35E9">
              <w:t xml:space="preserve"> </w:t>
            </w:r>
            <w:r w:rsidR="00271581">
              <w:t>model</w:t>
            </w:r>
            <w:r w:rsidRPr="007D35E9">
              <w:t xml:space="preserve"> through a collaborative agreement, community of practice and repurposed funding. </w:t>
            </w:r>
          </w:p>
          <w:p w14:paraId="5D54E580" w14:textId="77777777"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1CF5475A"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rsidRPr="007D35E9">
              <w:t>Open Access Australasia have signed this agreement.</w:t>
            </w:r>
            <w:r w:rsidRPr="2F55E833">
              <w:rPr>
                <w:rStyle w:val="FootnoteReference"/>
                <w:rFonts w:cstheme="minorBidi"/>
              </w:rPr>
              <w:footnoteReference w:id="168"/>
            </w:r>
            <w:r w:rsidRPr="007D35E9">
              <w:t xml:space="preserve">  </w:t>
            </w:r>
          </w:p>
        </w:tc>
      </w:tr>
      <w:tr w:rsidR="005E6933" w:rsidRPr="007D35E9" w14:paraId="44B7AEA0" w14:textId="77777777" w:rsidTr="00114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0C26BD" w14:textId="12229C3D" w:rsidR="005E6933" w:rsidRPr="00563DEE" w:rsidRDefault="005E6933" w:rsidP="00B07796">
            <w:pPr>
              <w:pStyle w:val="BodyText"/>
              <w:jc w:val="center"/>
              <w:rPr>
                <w:rFonts w:cstheme="minorBidi"/>
                <w:sz w:val="20"/>
                <w:szCs w:val="20"/>
              </w:rPr>
            </w:pPr>
            <w:r>
              <w:rPr>
                <w:noProof/>
              </w:rPr>
              <w:lastRenderedPageBreak/>
              <w:drawing>
                <wp:anchor distT="0" distB="0" distL="114300" distR="114300" simplePos="0" relativeHeight="251658252" behindDoc="0" locked="0" layoutInCell="1" allowOverlap="1" wp14:anchorId="6CA160DF" wp14:editId="4D2FC281">
                  <wp:simplePos x="786809" y="797442"/>
                  <wp:positionH relativeFrom="margin">
                    <wp:align>center</wp:align>
                  </wp:positionH>
                  <wp:positionV relativeFrom="margin">
                    <wp:align>center</wp:align>
                  </wp:positionV>
                  <wp:extent cx="1040990" cy="900000"/>
                  <wp:effectExtent l="0" t="0" r="6985" b="0"/>
                  <wp:wrapSquare wrapText="bothSides"/>
                  <wp:docPr id="107" name="Picture 6" descr="OpenAIRE Guidelines — OpenAIRE Guidelines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5">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683E2303-8230-454D-A642-4EA9BA379DB7}"/>
                              </a:ext>
                            </a:extLst>
                          </a:blip>
                          <a:srcRect b="13544"/>
                          <a:stretch>
                            <a:fillRect/>
                          </a:stretch>
                        </pic:blipFill>
                        <pic:spPr>
                          <a:xfrm>
                            <a:off x="0" y="0"/>
                            <a:ext cx="1040990" cy="900000"/>
                          </a:xfrm>
                          <a:prstGeom prst="rect">
                            <a:avLst/>
                          </a:prstGeom>
                        </pic:spPr>
                      </pic:pic>
                    </a:graphicData>
                  </a:graphic>
                </wp:anchor>
              </w:drawing>
            </w:r>
            <w:r>
              <w:rPr>
                <w:noProof/>
              </w:rPr>
              <w:drawing>
                <wp:anchor distT="0" distB="0" distL="114300" distR="114300" simplePos="0" relativeHeight="251658253" behindDoc="0" locked="0" layoutInCell="1" allowOverlap="1" wp14:anchorId="3C691A7B" wp14:editId="1BDE3628">
                  <wp:simplePos x="786809" y="797442"/>
                  <wp:positionH relativeFrom="margin">
                    <wp:align>center</wp:align>
                  </wp:positionH>
                  <wp:positionV relativeFrom="margin">
                    <wp:align>center</wp:align>
                  </wp:positionV>
                  <wp:extent cx="1040990" cy="900000"/>
                  <wp:effectExtent l="0" t="0" r="6985" b="0"/>
                  <wp:wrapSquare wrapText="bothSides"/>
                  <wp:docPr id="18" name="Picture 6" descr="OpenAIRE Guidel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OpenAIRE Guidelines logo."/>
                          <pic:cNvPicPr/>
                        </pic:nvPicPr>
                        <pic:blipFill>
                          <a:blip r:embed="rId75">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683E2303-8230-454D-A642-4EA9BA379DB7}"/>
                              </a:ext>
                            </a:extLst>
                          </a:blip>
                          <a:srcRect b="13544"/>
                          <a:stretch>
                            <a:fillRect/>
                          </a:stretch>
                        </pic:blipFill>
                        <pic:spPr>
                          <a:xfrm>
                            <a:off x="0" y="0"/>
                            <a:ext cx="1040990" cy="900000"/>
                          </a:xfrm>
                          <a:prstGeom prst="rect">
                            <a:avLst/>
                          </a:prstGeom>
                        </pic:spPr>
                      </pic:pic>
                    </a:graphicData>
                  </a:graphic>
                </wp:anchor>
              </w:drawing>
            </w:r>
          </w:p>
        </w:tc>
        <w:tc>
          <w:tcPr>
            <w:tcW w:w="0" w:type="auto"/>
          </w:tcPr>
          <w:p w14:paraId="3B36E838"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7D35E9">
              <w:t xml:space="preserve">OpenAIRE is a participatory initiative to support Open Science in Europe through repository infrastructure, guidelines, training and network support. </w:t>
            </w:r>
          </w:p>
          <w:p w14:paraId="447771BA"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3552CE0E"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Net social value is estimated to be five times higher than costs.</w:t>
            </w:r>
            <w:r w:rsidRPr="2F55E833">
              <w:rPr>
                <w:rStyle w:val="FootnoteReference"/>
                <w:rFonts w:cstheme="minorBidi"/>
              </w:rPr>
              <w:footnoteReference w:id="169"/>
            </w:r>
          </w:p>
        </w:tc>
      </w:tr>
      <w:tr w:rsidR="005E6933" w:rsidRPr="007D35E9" w14:paraId="61CF68AB" w14:textId="77777777" w:rsidTr="001142DC">
        <w:trPr>
          <w:cantSplit/>
          <w:trHeight w:val="11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B30B29" w14:textId="30EA9633" w:rsidR="005E6933" w:rsidRPr="00563DEE" w:rsidRDefault="005E6933" w:rsidP="00B07796">
            <w:pPr>
              <w:pStyle w:val="BodyText"/>
              <w:jc w:val="center"/>
              <w:rPr>
                <w:rFonts w:cstheme="minorBidi"/>
                <w:sz w:val="20"/>
                <w:szCs w:val="20"/>
              </w:rPr>
            </w:pPr>
            <w:r>
              <w:rPr>
                <w:noProof/>
              </w:rPr>
              <w:drawing>
                <wp:inline distT="0" distB="0" distL="0" distR="0" wp14:anchorId="6C65B14B" wp14:editId="3609149F">
                  <wp:extent cx="1898338" cy="720000"/>
                  <wp:effectExtent l="0" t="0" r="6985" b="4445"/>
                  <wp:docPr id="108" name="Picture 2" descr="Plan 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 descr="Plan S logo."/>
                          <pic:cNvPicPr/>
                        </pic:nvPicPr>
                        <pic:blipFill>
                          <a:blip r:embed="rId76">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A955EC4A-C7EE-46BD-80C1-98A7B131C52E}"/>
                              </a:ext>
                            </a:extLst>
                          </a:blip>
                          <a:srcRect l="9353" t="19060" r="11686" b="18666"/>
                          <a:stretch>
                            <a:fillRect/>
                          </a:stretch>
                        </pic:blipFill>
                        <pic:spPr>
                          <a:xfrm>
                            <a:off x="0" y="0"/>
                            <a:ext cx="1898338" cy="720000"/>
                          </a:xfrm>
                          <a:prstGeom prst="rect">
                            <a:avLst/>
                          </a:prstGeom>
                        </pic:spPr>
                      </pic:pic>
                    </a:graphicData>
                  </a:graphic>
                </wp:inline>
              </w:drawing>
            </w:r>
          </w:p>
        </w:tc>
        <w:tc>
          <w:tcPr>
            <w:tcW w:w="0" w:type="auto"/>
          </w:tcPr>
          <w:p w14:paraId="50C01855" w14:textId="545003DA" w:rsidR="005E6933" w:rsidRPr="007D35E9" w:rsidRDefault="005E6933" w:rsidP="00054830">
            <w:pPr>
              <w:pStyle w:val="TableText"/>
              <w:cnfStyle w:val="000000000000" w:firstRow="0" w:lastRow="0" w:firstColumn="0" w:lastColumn="0" w:oddVBand="0" w:evenVBand="0" w:oddHBand="0" w:evenHBand="0" w:firstRowFirstColumn="0" w:firstRowLastColumn="0" w:lastRowFirstColumn="0" w:lastRowLastColumn="0"/>
            </w:pPr>
            <w:r w:rsidRPr="007D35E9">
              <w:t>Plan S is an initiative to accelerate the transition to full and immediate open access.</w:t>
            </w:r>
            <w:r w:rsidRPr="2F55E833">
              <w:rPr>
                <w:rStyle w:val="FootnoteReference"/>
                <w:rFonts w:cstheme="minorBidi"/>
              </w:rPr>
              <w:t xml:space="preserve"> </w:t>
            </w:r>
            <w:r w:rsidRPr="007D35E9">
              <w:t>Participating funders agree to a set of 10 open access principles.</w:t>
            </w:r>
            <w:r w:rsidRPr="2F55E833">
              <w:rPr>
                <w:rStyle w:val="FootnoteReference"/>
                <w:rFonts w:cstheme="minorBidi"/>
              </w:rPr>
              <w:t xml:space="preserve"> </w:t>
            </w:r>
            <w:r w:rsidRPr="2F55E833">
              <w:rPr>
                <w:rStyle w:val="FootnoteReference"/>
                <w:rFonts w:cstheme="minorBidi"/>
              </w:rPr>
              <w:footnoteReference w:id="170"/>
            </w:r>
          </w:p>
        </w:tc>
        <w:tc>
          <w:tcPr>
            <w:tcW w:w="0" w:type="auto"/>
          </w:tcPr>
          <w:p w14:paraId="7472590E" w14:textId="77777777" w:rsidR="005E6933" w:rsidRPr="007D35E9" w:rsidRDefault="005E6933" w:rsidP="00054830">
            <w:pPr>
              <w:pStyle w:val="TableBullet"/>
              <w:cnfStyle w:val="000000000000" w:firstRow="0" w:lastRow="0" w:firstColumn="0" w:lastColumn="0" w:oddVBand="0" w:evenVBand="0" w:oddHBand="0" w:evenHBand="0" w:firstRowFirstColumn="0" w:firstRowLastColumn="0" w:lastRowFirstColumn="0" w:lastRowLastColumn="0"/>
            </w:pPr>
            <w:r>
              <w:t>O</w:t>
            </w:r>
            <w:r w:rsidRPr="007D35E9">
              <w:t xml:space="preserve">rganisations </w:t>
            </w:r>
            <w:r>
              <w:t xml:space="preserve">that support the Plan S initiative form the international cOAlition S consortium. Supporting members </w:t>
            </w:r>
            <w:r w:rsidRPr="007D35E9">
              <w:t>include the European Commission, the World Health Organisation, and the Gates Foundation.</w:t>
            </w:r>
            <w:r w:rsidRPr="2F55E833">
              <w:rPr>
                <w:rStyle w:val="FootnoteReference"/>
                <w:rFonts w:cstheme="minorBidi"/>
              </w:rPr>
              <w:footnoteReference w:id="171"/>
            </w:r>
            <w:r w:rsidRPr="007D35E9">
              <w:tab/>
            </w:r>
          </w:p>
        </w:tc>
      </w:tr>
      <w:tr w:rsidR="005E6933" w:rsidRPr="007D35E9" w14:paraId="5D33C62D" w14:textId="77777777" w:rsidTr="00114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EF4840" w14:textId="0430EB90" w:rsidR="005E6933" w:rsidRPr="00563DEE" w:rsidRDefault="005E6933" w:rsidP="00B07796">
            <w:pPr>
              <w:pStyle w:val="BodyText"/>
              <w:jc w:val="center"/>
              <w:rPr>
                <w:rFonts w:cstheme="minorBidi"/>
                <w:sz w:val="20"/>
                <w:szCs w:val="20"/>
              </w:rPr>
            </w:pPr>
            <w:r>
              <w:rPr>
                <w:noProof/>
              </w:rPr>
              <w:drawing>
                <wp:anchor distT="0" distB="0" distL="114300" distR="114300" simplePos="0" relativeHeight="251658254" behindDoc="0" locked="0" layoutInCell="1" allowOverlap="1" wp14:anchorId="47297602" wp14:editId="5CA2EB4F">
                  <wp:simplePos x="786809" y="3402419"/>
                  <wp:positionH relativeFrom="margin">
                    <wp:align>center</wp:align>
                  </wp:positionH>
                  <wp:positionV relativeFrom="margin">
                    <wp:align>center</wp:align>
                  </wp:positionV>
                  <wp:extent cx="1019231" cy="900000"/>
                  <wp:effectExtent l="0" t="0" r="0" b="0"/>
                  <wp:wrapSquare wrapText="bothSides"/>
                  <wp:docPr id="1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7">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6838DE27-C49F-4582-852B-27A04258420C}"/>
                              </a:ext>
                            </a:extLst>
                          </a:blip>
                          <a:srcRect r="4769"/>
                          <a:stretch>
                            <a:fillRect/>
                          </a:stretch>
                        </pic:blipFill>
                        <pic:spPr>
                          <a:xfrm>
                            <a:off x="0" y="0"/>
                            <a:ext cx="1019231" cy="900000"/>
                          </a:xfrm>
                          <a:prstGeom prst="rect">
                            <a:avLst/>
                          </a:prstGeom>
                        </pic:spPr>
                      </pic:pic>
                    </a:graphicData>
                  </a:graphic>
                </wp:anchor>
              </w:drawing>
            </w:r>
            <w:r>
              <w:rPr>
                <w:noProof/>
              </w:rPr>
              <w:drawing>
                <wp:anchor distT="0" distB="0" distL="114300" distR="114300" simplePos="0" relativeHeight="251658255" behindDoc="0" locked="0" layoutInCell="1" allowOverlap="1" wp14:anchorId="19C47DE7" wp14:editId="4A29DCE3">
                  <wp:simplePos x="786809" y="3402419"/>
                  <wp:positionH relativeFrom="margin">
                    <wp:align>center</wp:align>
                  </wp:positionH>
                  <wp:positionV relativeFrom="margin">
                    <wp:align>center</wp:align>
                  </wp:positionV>
                  <wp:extent cx="1019231" cy="900000"/>
                  <wp:effectExtent l="0" t="0" r="0" b="0"/>
                  <wp:wrapSquare wrapText="bothSides"/>
                  <wp:docPr id="20" name="Picture 16" descr="SH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SHARE logo."/>
                          <pic:cNvPicPr/>
                        </pic:nvPicPr>
                        <pic:blipFill>
                          <a:blip r:embed="rId77">
                            <a:extLst>
                              <a:ext uri="{FF2B5EF4-FFF2-40B4-BE49-F238E27FC236}">
                                <a16:creationId xmlns:asvg="http://schemas.microsoft.com/office/drawing/2016/SVG/main" xmlns:dgm="http://schemas.openxmlformats.org/drawingml/2006/diagram" xmlns:arto="http://schemas.microsoft.com/office/word/2006/arto" xmlns:a16="http://schemas.microsoft.com/office/drawing/2014/main" xmlns:c="http://schemas.openxmlformats.org/drawingml/2006/chart"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6838DE27-C49F-4582-852B-27A04258420C}"/>
                              </a:ext>
                            </a:extLst>
                          </a:blip>
                          <a:srcRect r="4769"/>
                          <a:stretch>
                            <a:fillRect/>
                          </a:stretch>
                        </pic:blipFill>
                        <pic:spPr>
                          <a:xfrm>
                            <a:off x="0" y="0"/>
                            <a:ext cx="1019231" cy="900000"/>
                          </a:xfrm>
                          <a:prstGeom prst="rect">
                            <a:avLst/>
                          </a:prstGeom>
                        </pic:spPr>
                      </pic:pic>
                    </a:graphicData>
                  </a:graphic>
                </wp:anchor>
              </w:drawing>
            </w:r>
          </w:p>
        </w:tc>
        <w:tc>
          <w:tcPr>
            <w:tcW w:w="0" w:type="auto"/>
          </w:tcPr>
          <w:p w14:paraId="32B3C12D" w14:textId="77777777" w:rsidR="005E6933" w:rsidRPr="007D35E9" w:rsidRDefault="005E6933" w:rsidP="00054830">
            <w:pPr>
              <w:pStyle w:val="TableText"/>
              <w:cnfStyle w:val="000000100000" w:firstRow="0" w:lastRow="0" w:firstColumn="0" w:lastColumn="0" w:oddVBand="0" w:evenVBand="0" w:oddHBand="1" w:evenHBand="0" w:firstRowFirstColumn="0" w:firstRowLastColumn="0" w:lastRowFirstColumn="0" w:lastRowLastColumn="0"/>
            </w:pPr>
            <w:r w:rsidRPr="007D35E9">
              <w:t>SHARE is a community based open-source initiative to enable new discoveries through tools and services able to link related research.</w:t>
            </w:r>
            <w:r w:rsidRPr="2F55E833">
              <w:rPr>
                <w:rStyle w:val="FootnoteReference"/>
                <w:rFonts w:cstheme="minorBidi"/>
              </w:rPr>
              <w:footnoteReference w:id="172"/>
            </w:r>
            <w:r w:rsidRPr="007D35E9">
              <w:t xml:space="preserve"> Involves a partnership between the Association of Research Libraries (ARL) and Centre for Open Science (COS).</w:t>
            </w:r>
          </w:p>
        </w:tc>
        <w:tc>
          <w:tcPr>
            <w:tcW w:w="0" w:type="auto"/>
          </w:tcPr>
          <w:p w14:paraId="3506B3FD" w14:textId="77777777" w:rsidR="005E6933" w:rsidRPr="007D35E9" w:rsidRDefault="005E6933" w:rsidP="00054830">
            <w:pPr>
              <w:pStyle w:val="TableBullet"/>
              <w:cnfStyle w:val="000000100000" w:firstRow="0" w:lastRow="0" w:firstColumn="0" w:lastColumn="0" w:oddVBand="0" w:evenVBand="0" w:oddHBand="1" w:evenHBand="0" w:firstRowFirstColumn="0" w:firstRowLastColumn="0" w:lastRowFirstColumn="0" w:lastRowLastColumn="0"/>
            </w:pPr>
            <w:r w:rsidRPr="007D35E9">
              <w:t>ARL includes 123 universities across the US and Canada.</w:t>
            </w:r>
            <w:r w:rsidRPr="2F55E833">
              <w:rPr>
                <w:rStyle w:val="FootnoteReference"/>
                <w:rFonts w:cstheme="minorBidi"/>
              </w:rPr>
              <w:t xml:space="preserve"> </w:t>
            </w:r>
            <w:r w:rsidRPr="2F55E833">
              <w:rPr>
                <w:rStyle w:val="FootnoteReference"/>
                <w:rFonts w:cstheme="minorBidi"/>
              </w:rPr>
              <w:footnoteReference w:id="173"/>
            </w:r>
          </w:p>
        </w:tc>
      </w:tr>
    </w:tbl>
    <w:p w14:paraId="2646A150" w14:textId="77777777" w:rsidR="005E6933" w:rsidRPr="0037142D" w:rsidRDefault="005E6933" w:rsidP="005E6933">
      <w:r w:rsidRPr="007D35E9">
        <w:br w:type="page"/>
      </w:r>
    </w:p>
    <w:p w14:paraId="7EA7424A" w14:textId="77777777" w:rsidR="005E6933" w:rsidRPr="00563DEE" w:rsidRDefault="005E6933" w:rsidP="00A47B69">
      <w:pPr>
        <w:pStyle w:val="BodyText"/>
      </w:pPr>
    </w:p>
    <w:p w14:paraId="71A714FB" w14:textId="77777777" w:rsidR="005E6933" w:rsidRPr="00563DEE" w:rsidRDefault="005E6933" w:rsidP="00A47B69">
      <w:pPr>
        <w:pStyle w:val="BodyText"/>
      </w:pPr>
    </w:p>
    <w:p w14:paraId="31DCC404" w14:textId="77777777" w:rsidR="005E6933" w:rsidRPr="007D35E9" w:rsidRDefault="005E6933" w:rsidP="005E6933"/>
    <w:p w14:paraId="7D589767" w14:textId="77777777" w:rsidR="005E6933" w:rsidRPr="007D35E9" w:rsidRDefault="005E6933" w:rsidP="005E6933"/>
    <w:sdt>
      <w:sdtPr>
        <w:rPr>
          <w:rFonts w:asciiTheme="minorHAnsi" w:hAnsiTheme="minorHAnsi" w:cstheme="minorHAnsi"/>
          <w:b w:val="0"/>
          <w:color w:val="000000"/>
          <w:sz w:val="24"/>
          <w:szCs w:val="24"/>
        </w:rPr>
        <w:id w:val="-86692979"/>
        <w:docPartObj>
          <w:docPartGallery w:val="Cover Pages"/>
        </w:docPartObj>
      </w:sdtPr>
      <w:sdtEndPr>
        <w:rPr>
          <w:rFonts w:ascii="Calibri" w:hAnsi="Calibri" w:cs="Times New Roman"/>
          <w:szCs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5E6933" w:rsidRPr="007D35E9" w14:paraId="3BA223E2" w14:textId="77777777" w:rsidTr="00076358">
            <w:tc>
              <w:tcPr>
                <w:tcW w:w="3652" w:type="dxa"/>
              </w:tcPr>
              <w:p w14:paraId="4AB55556" w14:textId="77777777" w:rsidR="005E6933" w:rsidRPr="00563DEE" w:rsidRDefault="005E6933" w:rsidP="00076358">
                <w:pPr>
                  <w:pStyle w:val="BackCoverContactHeading"/>
                  <w:spacing w:after="120"/>
                  <w:rPr>
                    <w:rFonts w:asciiTheme="minorHAnsi" w:hAnsiTheme="minorHAnsi" w:cstheme="minorHAnsi"/>
                    <w:sz w:val="24"/>
                    <w:szCs w:val="24"/>
                  </w:rPr>
                </w:pPr>
                <w:r w:rsidRPr="00563DEE">
                  <w:rPr>
                    <w:rFonts w:asciiTheme="minorHAnsi" w:hAnsiTheme="minorHAnsi" w:cstheme="minorHAnsi"/>
                    <w:sz w:val="24"/>
                    <w:szCs w:val="24"/>
                  </w:rPr>
                  <w:t>As Australia’s national science agency and innovation catalyst, CSIRO is solving the greatest challenges through innovative science and technology.</w:t>
                </w:r>
              </w:p>
              <w:p w14:paraId="29979517" w14:textId="77777777" w:rsidR="005E6933" w:rsidRPr="00563DEE" w:rsidRDefault="005E6933" w:rsidP="00076358">
                <w:pPr>
                  <w:pStyle w:val="BackCoverContactDetails"/>
                  <w:rPr>
                    <w:rFonts w:asciiTheme="minorHAnsi" w:hAnsiTheme="minorHAnsi" w:cstheme="minorHAnsi"/>
                    <w:sz w:val="24"/>
                    <w:szCs w:val="24"/>
                  </w:rPr>
                </w:pPr>
                <w:r w:rsidRPr="00563DEE">
                  <w:rPr>
                    <w:rFonts w:asciiTheme="minorHAnsi" w:hAnsiTheme="minorHAnsi" w:cstheme="minorHAnsi"/>
                    <w:sz w:val="24"/>
                    <w:szCs w:val="24"/>
                  </w:rPr>
                  <w:t>CSIRO. Unlocking a better future for everyone.</w:t>
                </w:r>
              </w:p>
              <w:p w14:paraId="373F6CD2" w14:textId="77777777" w:rsidR="005E6933" w:rsidRPr="00563DEE" w:rsidRDefault="005E6933" w:rsidP="00076358">
                <w:pPr>
                  <w:pStyle w:val="BackCoverContactHeading"/>
                  <w:rPr>
                    <w:rFonts w:asciiTheme="minorHAnsi" w:hAnsiTheme="minorHAnsi" w:cstheme="minorHAnsi"/>
                  </w:rPr>
                </w:pPr>
                <w:r w:rsidRPr="00563DEE">
                  <w:rPr>
                    <w:rFonts w:asciiTheme="minorHAnsi" w:hAnsiTheme="minorHAnsi" w:cstheme="minorHAnsi"/>
                  </w:rPr>
                  <w:t>Contact us</w:t>
                </w:r>
              </w:p>
              <w:p w14:paraId="173E897C" w14:textId="77777777" w:rsidR="005E6933" w:rsidRPr="00563DEE" w:rsidRDefault="005E6933" w:rsidP="00076358">
                <w:pPr>
                  <w:pStyle w:val="BackCoverContactDetails"/>
                  <w:rPr>
                    <w:rFonts w:asciiTheme="minorHAnsi" w:hAnsiTheme="minorHAnsi" w:cstheme="minorHAnsi"/>
                  </w:rPr>
                </w:pPr>
                <w:r w:rsidRPr="00563DEE">
                  <w:rPr>
                    <w:rFonts w:asciiTheme="minorHAnsi" w:hAnsiTheme="minorHAnsi" w:cstheme="minorHAnsi"/>
                  </w:rPr>
                  <w:t>1300 363 400</w:t>
                </w:r>
              </w:p>
              <w:p w14:paraId="552D21AD" w14:textId="77777777" w:rsidR="005E6933" w:rsidRPr="00563DEE" w:rsidRDefault="005E6933" w:rsidP="00076358">
                <w:pPr>
                  <w:pStyle w:val="BackCoverContactDetails"/>
                  <w:rPr>
                    <w:rFonts w:asciiTheme="minorHAnsi" w:hAnsiTheme="minorHAnsi" w:cstheme="minorHAnsi"/>
                    <w:szCs w:val="22"/>
                  </w:rPr>
                </w:pPr>
                <w:r w:rsidRPr="00563DEE">
                  <w:rPr>
                    <w:rFonts w:asciiTheme="minorHAnsi" w:hAnsiTheme="minorHAnsi" w:cstheme="minorHAnsi"/>
                  </w:rPr>
                  <w:t>+61 3 9545 2176</w:t>
                </w:r>
              </w:p>
              <w:p w14:paraId="3F71DC90" w14:textId="77777777" w:rsidR="005E6933" w:rsidRPr="00563DEE" w:rsidRDefault="005E6933" w:rsidP="00076358">
                <w:pPr>
                  <w:pStyle w:val="BackCoverContactDetails"/>
                  <w:rPr>
                    <w:rFonts w:asciiTheme="minorHAnsi" w:hAnsiTheme="minorHAnsi" w:cstheme="minorHAnsi"/>
                  </w:rPr>
                </w:pPr>
                <w:r w:rsidRPr="00563DEE">
                  <w:rPr>
                    <w:rFonts w:asciiTheme="minorHAnsi" w:hAnsiTheme="minorHAnsi" w:cstheme="minorHAnsi"/>
                  </w:rPr>
                  <w:t>csiroenquiries@csiro.au</w:t>
                </w:r>
              </w:p>
              <w:p w14:paraId="0E275DAD" w14:textId="77777777" w:rsidR="005E6933" w:rsidRPr="00563DEE" w:rsidRDefault="005E6933" w:rsidP="00076358">
                <w:pPr>
                  <w:pStyle w:val="BackCoverContactDetails"/>
                  <w:rPr>
                    <w:rFonts w:asciiTheme="minorHAnsi" w:hAnsiTheme="minorHAnsi" w:cstheme="minorHAnsi"/>
                  </w:rPr>
                </w:pPr>
                <w:r w:rsidRPr="00563DEE">
                  <w:rPr>
                    <w:rFonts w:asciiTheme="minorHAnsi" w:hAnsiTheme="minorHAnsi" w:cstheme="minorHAnsi"/>
                  </w:rPr>
                  <w:t>csiro.au</w:t>
                </w:r>
              </w:p>
              <w:p w14:paraId="174175C4" w14:textId="77777777" w:rsidR="005E6933" w:rsidRPr="00563DEE" w:rsidRDefault="005E6933" w:rsidP="00076358">
                <w:pPr>
                  <w:pStyle w:val="BackCoverContactDetails"/>
                  <w:rPr>
                    <w:rFonts w:asciiTheme="minorHAnsi" w:hAnsiTheme="minorHAnsi" w:cstheme="minorHAnsi"/>
                  </w:rPr>
                </w:pPr>
              </w:p>
            </w:tc>
            <w:tc>
              <w:tcPr>
                <w:tcW w:w="567" w:type="dxa"/>
              </w:tcPr>
              <w:p w14:paraId="454F915B" w14:textId="77777777" w:rsidR="005E6933" w:rsidRPr="00563DEE" w:rsidRDefault="005E6933" w:rsidP="00076358">
                <w:pPr>
                  <w:pStyle w:val="BackCoverContactHeading"/>
                  <w:rPr>
                    <w:rFonts w:asciiTheme="minorHAnsi" w:hAnsiTheme="minorHAnsi" w:cstheme="minorHAnsi"/>
                  </w:rPr>
                </w:pPr>
              </w:p>
            </w:tc>
            <w:tc>
              <w:tcPr>
                <w:tcW w:w="4536" w:type="dxa"/>
              </w:tcPr>
              <w:p w14:paraId="18882FE5" w14:textId="77777777" w:rsidR="005E6933" w:rsidRPr="00563DEE" w:rsidRDefault="005E6933" w:rsidP="00076358">
                <w:pPr>
                  <w:pStyle w:val="BackCoverContactDetails"/>
                  <w:rPr>
                    <w:rFonts w:asciiTheme="minorHAnsi" w:hAnsiTheme="minorHAnsi" w:cstheme="minorHAnsi"/>
                  </w:rPr>
                </w:pPr>
              </w:p>
            </w:tc>
          </w:tr>
        </w:tbl>
        <w:p w14:paraId="564757B6" w14:textId="77777777" w:rsidR="005E6933" w:rsidRPr="00563DEE" w:rsidRDefault="005E6933" w:rsidP="00A47B69">
          <w:pPr>
            <w:pStyle w:val="BodyText"/>
            <w:rPr>
              <w:b/>
              <w:color w:val="auto"/>
            </w:rPr>
          </w:pPr>
          <w:r w:rsidRPr="00563DEE">
            <w:rPr>
              <w:noProof/>
            </w:rPr>
            <mc:AlternateContent>
              <mc:Choice Requires="wps">
                <w:drawing>
                  <wp:anchor distT="0" distB="0" distL="114300" distR="114300" simplePos="0" relativeHeight="251658240" behindDoc="1" locked="1" layoutInCell="1" allowOverlap="1" wp14:anchorId="69B18F67" wp14:editId="5BD75F66">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c="http://schemas.openxmlformats.org/drawingml/2006/chart"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A4CF137">
                  <v:rect id="Rectangle 1026" style="position:absolute;margin-left:0;margin-top:419.6pt;width:595.3pt;height:42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00a9ce [3204]" stroked="f" w14:anchorId="281FF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">
                    <w10:wrap anchorx="page" anchory="page"/>
                    <w10:anchorlock/>
                  </v:rect>
                </w:pict>
              </mc:Fallback>
            </mc:AlternateContent>
          </w:r>
        </w:p>
      </w:sdtContent>
    </w:sdt>
    <w:p w14:paraId="09FCCD51" w14:textId="77777777" w:rsidR="005E6933" w:rsidRPr="00563DEE" w:rsidRDefault="005E6933" w:rsidP="00A47B69">
      <w:pPr>
        <w:pStyle w:val="BodyText"/>
      </w:pPr>
    </w:p>
    <w:p w14:paraId="425D5AFE" w14:textId="77777777" w:rsidR="005E6933" w:rsidRPr="007D35E9" w:rsidRDefault="005E6933" w:rsidP="005E6933"/>
    <w:p w14:paraId="12788F74" w14:textId="77777777" w:rsidR="005E6933" w:rsidRPr="007D35E9" w:rsidRDefault="005E6933" w:rsidP="005E6933"/>
    <w:p w14:paraId="4FEB17DF" w14:textId="3D3CDEA8" w:rsidR="00835A91" w:rsidRPr="005E6933" w:rsidRDefault="00835A91" w:rsidP="005E6933"/>
    <w:sectPr w:rsidR="00835A91" w:rsidRPr="005E6933" w:rsidSect="0092698B">
      <w:footerReference w:type="even" r:id="rId78"/>
      <w:footerReference w:type="default" r:id="rId79"/>
      <w:pgSz w:w="11906" w:h="16838" w:code="9"/>
      <w:pgMar w:top="1134" w:right="1134" w:bottom="1134" w:left="1134" w:header="510" w:footer="624" w:gutter="0"/>
      <w:pgNumType w:start="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556D8" w14:textId="77777777" w:rsidR="00C45DD8" w:rsidRDefault="00C45DD8" w:rsidP="005E6933">
      <w:r>
        <w:separator/>
      </w:r>
    </w:p>
    <w:p w14:paraId="5F519F4B" w14:textId="77777777" w:rsidR="00C45DD8" w:rsidRDefault="00C45DD8" w:rsidP="005E6933"/>
  </w:endnote>
  <w:endnote w:type="continuationSeparator" w:id="0">
    <w:p w14:paraId="418DC5D6" w14:textId="77777777" w:rsidR="00C45DD8" w:rsidRDefault="00C45DD8" w:rsidP="005E6933">
      <w:r>
        <w:continuationSeparator/>
      </w:r>
    </w:p>
    <w:p w14:paraId="76EB75D6" w14:textId="77777777" w:rsidR="00C45DD8" w:rsidRDefault="00C45DD8" w:rsidP="005E6933"/>
  </w:endnote>
  <w:endnote w:type="continuationNotice" w:id="1">
    <w:p w14:paraId="271D24B4" w14:textId="77777777" w:rsidR="00C45DD8" w:rsidRDefault="00C45D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50238" w14:textId="1C34B928" w:rsidR="00597B45" w:rsidRDefault="00597B45" w:rsidP="00A47B6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sidR="003B28D9">
      <w:fldChar w:fldCharType="begin"/>
    </w:r>
    <w:r w:rsidR="003B28D9">
      <w:instrText xml:space="preserve"> STYLEREF  CoverTitle </w:instrText>
    </w:r>
    <w:r w:rsidR="003B28D9">
      <w:fldChar w:fldCharType="separate"/>
    </w:r>
    <w:r w:rsidR="007E283B">
      <w:rPr>
        <w:noProof/>
      </w:rPr>
      <w:t>Prospective analysis of a national open access strategy for Australia</w:t>
    </w:r>
    <w:r w:rsidR="003B28D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EA8FF" w14:textId="38E809D9" w:rsidR="00597B45" w:rsidRDefault="00597B45" w:rsidP="00A47B69">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2472C5">
      <w:rPr>
        <w:noProof/>
      </w:rPr>
      <w:t>Prospective analysis of a national open access strategy for Australia</w:t>
    </w:r>
    <w:r>
      <w:rPr>
        <w:noProof/>
      </w:rPr>
      <w:fldChar w:fldCharType="end"/>
    </w:r>
    <w:r>
      <w:t xml:space="preserve">  |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A6B24" w14:textId="77777777" w:rsidR="00C45DD8" w:rsidRDefault="00C45DD8" w:rsidP="005E6933">
      <w:r>
        <w:separator/>
      </w:r>
    </w:p>
    <w:p w14:paraId="638D3B23" w14:textId="77777777" w:rsidR="00C45DD8" w:rsidRDefault="00C45DD8" w:rsidP="005E6933"/>
  </w:footnote>
  <w:footnote w:type="continuationSeparator" w:id="0">
    <w:p w14:paraId="1754BA9E" w14:textId="77777777" w:rsidR="00C45DD8" w:rsidRDefault="00C45DD8" w:rsidP="005E6933">
      <w:r>
        <w:continuationSeparator/>
      </w:r>
    </w:p>
    <w:p w14:paraId="28880229" w14:textId="77777777" w:rsidR="00C45DD8" w:rsidRDefault="00C45DD8" w:rsidP="005E6933"/>
  </w:footnote>
  <w:footnote w:type="continuationNotice" w:id="1">
    <w:p w14:paraId="7C1E0071" w14:textId="77777777" w:rsidR="00C45DD8" w:rsidRDefault="00C45DD8">
      <w:pPr>
        <w:spacing w:before="0" w:after="0" w:line="240" w:lineRule="auto"/>
      </w:pPr>
    </w:p>
  </w:footnote>
  <w:footnote w:id="2">
    <w:p w14:paraId="42E6351B" w14:textId="3155FDAE"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Shearer","given":"Kathleen","non-dropping-particle":"","parse-names":false,"suffix":""},{"dropping-particle":"","family":"Chan","given":"Leslie","non-dropping-particle":"","parse-names":false,"suffix":""},{"dropping-particle":"","family":"Kuchma","given":"Iryna","non-dropping-particle":"","parse-names":false,"suffix":""},{"dropping-particle":"","family":"Mounier","given":"Pierre","non-dropping-particle":"","parse-names":false,"suffix":""}],"id":"ITEM-1","issued":{"date-parts":[["2020","4","15"]]},"title":"Fostering Bibliodiversity in Scholarly Communications: A Call for Action","type":"report"},"uris":["http://www.mendeley.com/documents/?uuid=7e467f18-73a7-3726-985f-eef4994edbf0"]}],"mendeley":{"formattedCitation":"Shearer K, Chan L, Kuchma I and Mounier P (2020) Fostering Bibliodiversity in Scholarly Communications: A Call for Action.","plainTextFormattedCitation":"Shearer K, Chan L, Kuchma I and Mounier P (2020) Fostering Bibliodiversity in Scholarly Communications: A Call for Action.","previouslyFormattedCitation":"Shearer K, Chan L, Kuchma I and Mounier P (2020) Fostering Bibliodiversity in Scholarly Communications: A Call for Action."},"properties":{"noteIndex":1},"schema":"https://github.com/citation-style-language/schema/raw/master/csl-citation.json"}</w:instrText>
      </w:r>
      <w:r w:rsidRPr="00B0640C">
        <w:fldChar w:fldCharType="separate"/>
      </w:r>
      <w:r w:rsidRPr="0093165B">
        <w:rPr>
          <w:noProof/>
        </w:rPr>
        <w:t>Shearer K, Chan L, Kuchma I and Mounier P (2020) Fostering Bibliodiversity in Scholarly Communications: A Call for Action.</w:t>
      </w:r>
      <w:r w:rsidRPr="00B0640C">
        <w:fldChar w:fldCharType="end"/>
      </w:r>
    </w:p>
  </w:footnote>
  <w:footnote w:id="3">
    <w:p w14:paraId="149031AA" w14:textId="615539D1"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{"citationItems":[{"id":"ITEM-1","itemData":{"URL":"https://creativecommons.org/licenses/","accessed":{"date-parts":[["2021","10","12"]]},"author":[{"dropping-particle":"","family":"Creative Commons","given":"","non-dropping-particle":"","parse-names":false,"suffix":""}],"id":"ITEM-1","issued":{"date-parts":[["0"]]},"title":"About The Licenses","type":"webpage"},"uris":["http://www.mendeley.com/documents/?uuid=c9f4089c-2201-4b05-a305-ec9e1005c809"]}],"mendeley":{"formattedCitation":"Creative Commons About The Licenses. Viewed 12 October 2021, &lt;https://creativecommons.org/licenses/&gt;.","manualFormatting":"Creative Commons (n.d.) About The Licenses. Viewed 12 October 2021, .","plainTextFormattedCitation":"Creative Commons About The Licenses. Viewed 12 October 2021, .","previouslyFormattedCitation":"Creative Commons About The Licenses. Viewed 12 October 2021, &lt;https://creativecommons.org/licenses/&gt;."},"properties":{"noteIndex":2},"schema":"https://github.com/citation-style-language/schema/raw/master/csl-citation.json"}</w:instrText>
      </w:r>
      <w:r w:rsidRPr="00B0640C">
        <w:fldChar w:fldCharType="separate"/>
      </w:r>
      <w:r w:rsidRPr="00A00E1E">
        <w:rPr>
          <w:noProof/>
        </w:rPr>
        <w:t xml:space="preserve">Creative Commons </w:t>
      </w:r>
      <w:r>
        <w:rPr>
          <w:noProof/>
        </w:rPr>
        <w:t xml:space="preserve">(n.d.) </w:t>
      </w:r>
      <w:r w:rsidRPr="00A00E1E">
        <w:rPr>
          <w:noProof/>
        </w:rPr>
        <w:t>About The Licenses</w:t>
      </w:r>
      <w:r>
        <w:rPr>
          <w:noProof/>
        </w:rPr>
        <w:t>.</w:t>
      </w:r>
      <w:r w:rsidRPr="00A00E1E">
        <w:rPr>
          <w:noProof/>
        </w:rPr>
        <w:t xml:space="preserve"> Viewed 12 October 2021, &lt;https://creativecommons.org/licenses/&gt;.</w:t>
      </w:r>
      <w:r w:rsidRPr="00B0640C">
        <w:fldChar w:fldCharType="end"/>
      </w:r>
    </w:p>
  </w:footnote>
  <w:footnote w:id="4">
    <w:p w14:paraId="7ACE0CF6" w14:textId="77777777" w:rsidR="00597B45" w:rsidRDefault="00597B45" w:rsidP="00E8575C">
      <w:pPr>
        <w:pStyle w:val="FootnoteText"/>
        <w:jc w:val="left"/>
      </w:pPr>
      <w:r>
        <w:rPr>
          <w:rStyle w:val="FootnoteReference"/>
        </w:rPr>
        <w:footnoteRef/>
      </w:r>
      <w:r>
        <w:t xml:space="preserve"> </w:t>
      </w:r>
      <w:r>
        <w:fldChar w:fldCharType="begin" w:fldLock="1"/>
      </w:r>
      <w:r>
        <w:instrText>ADDIN CSL_CITATION {"citationItems":[{"id":"ITEM-1","itemData":{"URL":"https://oaaustralasia.org/2021/05/25/what-are-the-different-types-of-open-access/","accessed":{"date-parts":[["2021","10","29"]]},"author":[{"dropping-particle":"","family":"Open Access Australasia","given":"","non-dropping-particle":"","parse-names":false,"suffix":""}],"id":"ITEM-1","issued":{"date-parts":[["2021"]]},"title":"What are the different types of open access?","type":"webpage"},"uris":["http://www.mendeley.com/documents/?uuid=acd1881c-a7fb-3581-ad64-95c9cf57bf55"]}],"mendeley":{"formattedCitation":"Open Access Australasia (2021) What are the different types of open access? Viewed 29 October 2021, &lt;https://oaaustralasia.org/2021/05/25/what-are-the-different-types-of-open-access/&gt;.","plainTextFormattedCitation":"Open Access Australasia (2021) What are the different types of open access? Viewed 29 October 2021, .","previouslyFormattedCitation":"Open Access Australasia (2021) What are the different types of open access? Viewed 29 October 2021, &lt;https://oaaustralasia.org/2021/05/25/what-are-the-different-types-of-open-access/&gt;."},"properties":{"noteIndex":3},"schema":"https://github.com/citation-style-language/schema/raw/master/csl-citation.json"}</w:instrText>
      </w:r>
      <w:r>
        <w:fldChar w:fldCharType="separate"/>
      </w:r>
      <w:r w:rsidRPr="004D31AB">
        <w:rPr>
          <w:noProof/>
        </w:rPr>
        <w:t>Open Access Australasia (2021) What are the different types of open access? Viewed 29 October 2021, &lt;https://oaaustralasia.org/2021/05/25/what-are-the-different-types-of-open-access/&gt;.</w:t>
      </w:r>
      <w:r>
        <w:fldChar w:fldCharType="end"/>
      </w:r>
    </w:p>
  </w:footnote>
  <w:footnote w:id="5">
    <w:p w14:paraId="4DD44123" w14:textId="22504A4D" w:rsidR="00597B45" w:rsidRDefault="00597B45" w:rsidP="00F910F3">
      <w:pPr>
        <w:pStyle w:val="FootnoteText"/>
        <w:jc w:val="left"/>
      </w:pPr>
      <w:r>
        <w:rPr>
          <w:rStyle w:val="FootnoteReference"/>
        </w:rPr>
        <w:footnoteRef/>
      </w:r>
      <w:r>
        <w:t xml:space="preserve"> </w:t>
      </w:r>
      <w:r>
        <w:fldChar w:fldCharType="begin" w:fldLock="1"/>
      </w:r>
      <w:r>
        <w:instrText>ADDIN CSL_CITATION {"citationItems":[{"id":"ITEM-1","itemData":{"URL":"https://library.unimelb.edu.au/open-scholarship/definitions-in-scholarly-communication","accessed":{"date-parts":[["2021","10","7"]]},"author":[{"dropping-particle":"","family":"The University of Melbourne","given":"","non-dropping-particle":"","parse-names":false,"suffix":""}],"id":"ITEM-1","issued":{"date-parts":[["0"]]},"title":"Open Scholarship | Definitions","type":"webpage"},"uris":["http://www.mendeley.com/documents/?uuid=56997233-c837-3044-a2ba-9378e2b04fde"]}],"mendeley":{"formattedCitation":"The University of Melbourne Open Scholarship | Definitions. Viewed 7 October 2021, &lt;https://library.unimelb.edu.au/open-scholarship/definitions-in-scholarly-communication&gt;.","manualFormatting":"The University of Melbourne (n.d.) Open Scholarship | Definitions. Viewed 7 October 2021, .","plainTextFormattedCitation":"The University of Melbourne Open Scholarship | Definitions. Viewed 7 October 2021, .","previouslyFormattedCitation":"The University of Melbourne Open Scholarship | Definitions. Viewed 7 October 2021, &lt;https://library.unimelb.edu.au/open-scholarship/definitions-in-scholarly-communication&gt;."},"properties":{"noteIndex":4},"schema":"https://github.com/citation-style-language/schema/raw/master/csl-citation.json"}</w:instrText>
      </w:r>
      <w:r>
        <w:fldChar w:fldCharType="separate"/>
      </w:r>
      <w:r w:rsidRPr="00A00E1E">
        <w:rPr>
          <w:noProof/>
        </w:rPr>
        <w:t xml:space="preserve">The University of Melbourne </w:t>
      </w:r>
      <w:r>
        <w:rPr>
          <w:noProof/>
        </w:rPr>
        <w:t xml:space="preserve">(n.d.) </w:t>
      </w:r>
      <w:r w:rsidRPr="00A00E1E">
        <w:rPr>
          <w:noProof/>
        </w:rPr>
        <w:t>Open Scholarship | Definitions</w:t>
      </w:r>
      <w:r>
        <w:rPr>
          <w:noProof/>
        </w:rPr>
        <w:t>.</w:t>
      </w:r>
      <w:r w:rsidRPr="00A00E1E">
        <w:rPr>
          <w:noProof/>
        </w:rPr>
        <w:t xml:space="preserve"> Viewed 7 October 2021, &lt;https://library.unimelb.edu.au/open-scholarship/definitions-in-scholarly-communication&gt;.</w:t>
      </w:r>
      <w:r>
        <w:fldChar w:fldCharType="end"/>
      </w:r>
    </w:p>
  </w:footnote>
  <w:footnote w:id="6">
    <w:p w14:paraId="62D3BAA6" w14:textId="77777777"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{"citationItems":[{"id":"ITEM-1","itemData":{"URL":"https://www.arc.gov.au/excellence-research-australia","accessed":{"date-parts":[["2021","10","12"]]},"author":[{"dropping-particle":"","family":"Australian Research Council","given":"","non-dropping-particle":"","parse-names":false,"suffix":""}],"id":"ITEM-1","issued":{"date-parts":[["2021"]]},"title":"Excellence in Research for Australia","type":"webpage"},"uris":["http://www.mendeley.com/documents/?uuid=0d2cdefb-51c6-33de-b74b-81c26ebe2718"]}],"mendeley":{"formattedCitation":"Australian Research Council (2021) Excellence in Research for Australia. Viewed 12 October 2021, &lt;https://www.arc.gov.au/excellence-research-australia&gt;.","plainTextFormattedCitation":"Australian Research Council (2021) Excellence in Research for Australia. Viewed 12 October 2021, .","previouslyFormattedCitation":"Australian Research Council (2021) Excellence in Research for Australia. Viewed 12 October 2021, &lt;https://www.arc.gov.au/excellence-research-australia&gt;."},"properties":{"noteIndex":5},"schema":"https://github.com/citation-style-language/schema/raw/master/csl-citation.json"}</w:instrText>
      </w:r>
      <w:r w:rsidRPr="00B0640C">
        <w:fldChar w:fldCharType="separate"/>
      </w:r>
      <w:r w:rsidRPr="004D31AB">
        <w:rPr>
          <w:noProof/>
        </w:rPr>
        <w:t>Australian Research Council (2021) Excellence in Research for Australia. Viewed 12 October 2021, &lt;https://www.arc.gov.au/excellence-research-australia&gt;.</w:t>
      </w:r>
      <w:r w:rsidRPr="00B0640C">
        <w:fldChar w:fldCharType="end"/>
      </w:r>
    </w:p>
  </w:footnote>
  <w:footnote w:id="7">
    <w:p w14:paraId="6FAC5176" w14:textId="77777777"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{"citationItems":[{"id":"ITEM-1","itemData":{"URL":"https://authorservices.taylorandfrancis.com/publishing-open-access/requesting-an-apc-waiver/","accessed":{"date-parts":[["2021","10","12"]]},"author":[{"dropping-particle":"","family":"Taylor &amp; Francis","given":"","non-dropping-particle":"","parse-names":false,"suffix":""}],"id":"ITEM-1","issued":{"date-parts":[["2021"]]},"title":"Author Services | How to request an article publishing charge discount or waiver","type":"webpage"},"uris":["http://www.mendeley.com/documents/?uuid=c82bd0ef-3e45-36af-9910-914f0a004e9f"]}],"mendeley":{"formattedCitation":"Taylor &amp; Francis (2021) Author Services | How to request an article publishing charge discount or waiver. Viewed 12 October 2021, &lt;https://authorservices.taylorandfrancis.com/publishing-open-access/requesting-an-apc-waiver/&gt;.","plainTextFormattedCitation":"Taylor &amp; Francis (2021) Author Services | How to request an article publishing charge discount or waiver. Viewed 12 October 2021, .","previouslyFormattedCitation":"Taylor &amp; Francis (2021) Author Services | How to request an article publishing charge discount or waiver. Viewed 12 October 2021, &lt;https://authorservices.taylorandfrancis.com/publishing-open-access/requesting-an-apc-waiver/&gt;."},"properties":{"noteIndex":6},"schema":"https://github.com/citation-style-language/schema/raw/master/csl-citation.json"}</w:instrText>
      </w:r>
      <w:r w:rsidRPr="00B0640C">
        <w:fldChar w:fldCharType="separate"/>
      </w:r>
      <w:r w:rsidRPr="004D31AB">
        <w:rPr>
          <w:noProof/>
        </w:rPr>
        <w:t>Taylor &amp; Francis (2021) Author Services | How to request an article publishing charge discount or waiver. Viewed 12 October 2021, &lt;https://authorservices.taylorandfrancis.com/publishing-open-access/requesting-an-apc-waiver/&gt;.</w:t>
      </w:r>
      <w:r w:rsidRPr="00B0640C">
        <w:fldChar w:fldCharType="end"/>
      </w:r>
    </w:p>
  </w:footnote>
  <w:footnote w:id="8">
    <w:p w14:paraId="5676053C" w14:textId="4698F778" w:rsidR="00597B45" w:rsidRDefault="00597B45" w:rsidP="00DD1760">
      <w:pPr>
        <w:pStyle w:val="FootnoteText"/>
        <w:jc w:val="left"/>
      </w:pPr>
      <w:r>
        <w:rPr>
          <w:rStyle w:val="FootnoteReference"/>
        </w:rPr>
        <w:footnoteRef/>
      </w:r>
      <w:r>
        <w:t xml:space="preserve"> For example, open access articles published in hybrid journals are sometimes considered to be a subset of gold articles. </w:t>
      </w:r>
      <w:r>
        <w:fldChar w:fldCharType="begin" w:fldLock="1"/>
      </w:r>
      <w:r>
        <w:instrText>ADDIN CSL_CITATION {"citationItems":[{"id":"ITEM-1","itemData":{"URL":"https://images.webofknowledge.com/WOKRS533JR18/help/WOS/hp_results.html","accessed":{"date-parts":[["2021","10","28"]]},"author":[{"dropping-particle":"","family":"Clarivate Analytics","given":"","non-dropping-particle":"","parse-names":false,"suffix":""}],"id":"ITEM-1","issued":{"date-parts":[["2020"]]},"title":"Web of Science Core Collection Help","type":"webpage"},"uris":["http://www.mendeley.com/documents/?uuid=63504cfb-44e9-3fe3-aa1c-32bc2adb115c"]}],"mendeley":{"formattedCitation":"Clarivate Analytics (2020) Web of Science Core Collection Help. Viewed 28 October 2021, &lt;https://images.webofknowledge.com/WOKRS533JR18/help/WOS/hp_results.html&gt;.","plainTextFormattedCitation":"Clarivate Analytics (2020) Web of Science Core Collection Help. Viewed 28 October 2021, .","previouslyFormattedCitation":"Clarivate Analytics (2020) Web of Science Core Collection Help. Viewed 28 October 2021, &lt;https://images.webofknowledge.com/WOKRS533JR18/help/WOS/hp_results.html&gt;."},"properties":{"noteIndex":7},"schema":"https://github.com/citation-style-language/schema/raw/master/csl-citation.json"}</w:instrText>
      </w:r>
      <w:r>
        <w:fldChar w:fldCharType="separate"/>
      </w:r>
      <w:r w:rsidRPr="00C77D92">
        <w:rPr>
          <w:noProof/>
        </w:rPr>
        <w:t>Clarivate Analytics (2020) Web of Science Core Collection Help. Viewed 28 October 2021, &lt;https://images.webofknowledge.com/WOKRS533JR18/help/WOS/hp_results.html&gt;.</w:t>
      </w:r>
      <w:r>
        <w:fldChar w:fldCharType="end"/>
      </w:r>
    </w:p>
  </w:footnote>
  <w:footnote w:id="9">
    <w:p w14:paraId="08B3BE98" w14:textId="6E575C52"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Committee."},"properties":{"noteIndex":8},"schema":"https://github.com/citation-style-language/schema/raw/master/csl-citation.json"}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10">
    <w:p w14:paraId="72A380FE" w14:textId="1559AAC8"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scientific-publishing.webshop.elsevier.com/publication-process/difference-between-green-gold-open-access/","accessed":{"date-parts":[["2021","7","5"]]},"author":[{"dropping-particle":"","family":"Elsevier","given":"","non-dropping-particle":"","parse-names":false,"suffix":""}],"id":"ITEM-1","issued":{"date-parts":[["0"]]},"title":"Difference between Green and Gold Open Access ","type":"webpage"},"uris":["http://www.mendeley.com/documents/?uuid=e88e5732-de94-38b6-9016-b26f6f934b34"]}],"mendeley":{"formattedCitation":"Elsevier Difference between Green and Gold Open Access . Viewed 5 July 2021, &lt;https://scientific-publishing.webshop.elsevier.com/publication-process/difference-between-green-gold-open-access/&gt;.","manualFormatting":"Elsevier (n.d.) Difference between Green and Gold Open Access. Viewed 5 July 2021, .","plainTextFormattedCitation":"Elsevier Difference between Green and Gold Open Access . Viewed 5 July 2021, .","previouslyFormattedCitation":"Elsevier Difference between Green and Gold Open Access . Viewed 5 July 2021, &lt;https://scientific-publishing.webshop.elsevier.com/publication-process/difference-between-green-gold-open-access/&gt;."},"properties":{"noteIndex":9},"schema":"https://github.com/citation-style-language/schema/raw/master/csl-citation.json"}</w:instrText>
      </w:r>
      <w:r w:rsidRPr="00B0640C">
        <w:fldChar w:fldCharType="separate"/>
      </w:r>
      <w:r w:rsidRPr="00A00E1E">
        <w:rPr>
          <w:noProof/>
        </w:rPr>
        <w:t xml:space="preserve">Elsevier </w:t>
      </w:r>
      <w:r>
        <w:rPr>
          <w:noProof/>
        </w:rPr>
        <w:t xml:space="preserve">(n.d.) </w:t>
      </w:r>
      <w:r w:rsidRPr="00A00E1E">
        <w:rPr>
          <w:noProof/>
        </w:rPr>
        <w:t>Difference between Green and Gold Open Access</w:t>
      </w:r>
      <w:r>
        <w:rPr>
          <w:noProof/>
        </w:rPr>
        <w:t>.</w:t>
      </w:r>
      <w:r w:rsidRPr="00A00E1E">
        <w:rPr>
          <w:noProof/>
        </w:rPr>
        <w:t xml:space="preserve"> Viewed 5 July 2021, &lt;https://scientific-publishing.webshop.elsevier.com/publication-process/difference-between-green-gold-open-access/&gt;.</w:t>
      </w:r>
      <w:r w:rsidRPr="00B0640C">
        <w:fldChar w:fldCharType="end"/>
      </w:r>
    </w:p>
  </w:footnote>
  <w:footnote w:id="11">
    <w:p w14:paraId="55853846" w14:textId="672CF0A2"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ramond","given":"Stephen","non-dropping-particle":"","parse-names":false,"suffix":""},{"dropping-particle":"","family":"Barnes","given":"Cameron","non-dropping-particle":"","parse-names":false,"suffix":""},{"dropping-particle":"","family":"Lafferty","given":"Susan","non-dropping-particle":"","parse-names":false,"suffix":""},{"dropping-particle":"","family":"Barbour","given":"Virginia","non-dropping-particle":"","parse-names":false,"suffix":""},{"dropping-particle":"","family":"Booth","given":"Debbie","non-dropping-particle":"","parse-names":false,"suffix":""},{"dropping-particle":"","family":"Brown","given":"Karen","non-dropping-particle":"","parse-names":false,"suffix":""},{"dropping-particle":"","family":"Costello","given":"Dianne","non-dropping-particle":"","parse-names":false,"suffix":""},{"dropping-particle":"","family":"Croker","given":"Kate","non-dropping-particle":"","parse-names":false,"suffix":""},{"dropping-particle":"","family":"O'connor","given":"Robert","non-dropping-particle":"","parse-names":false,"suffix":""},{"dropping-particle":"","family":"Rolf","given":"Harry","non-dropping-particle":"","parse-names":false,"suffix":""},{"dropping-particle":"","family":"Ruthven","given":"Tom","non-dropping-particle":"","parse-names":false,"suffix":""},{"dropping-particle":"","family":"Scholfield","given":"Sally","non-dropping-particle":"","parse-names":false,"suffix":""}],"id":"ITEM-1","issued":{"date-parts":[["2019"]]},"title":"Fair, Affordable and Open Access to Knowledge: The CAUL Collection and Reporting of APC Information Project","type":"report"},"uris":["http://www.mendeley.com/documents/?uuid=bb864d40-f1ff-324f-a436-519f1190c769"]}],"mendeley":{"formattedCitation":"Cramond S, Barnes C, Lafferty S, Barbour V, Booth D, Brown K, Costello D, Croker K, O’connor R, Rolf H et al. (2019) Fair, Affordable and Open Access to Knowledge: The CAUL Collection and Reporting of APC Information Project.","plainTextFormattedCitation":"Cramond S, Barnes C, Lafferty S, Barbour V, Booth D, Brown K, Costello D, Croker K, O’connor R, Rolf H et al. (2019) Fair, Affordable and Open Access to Knowledge: The CAUL Collection and Reporting of APC Information Project.","previouslyFormattedCitation":"Cramond S, Barnes C, Lafferty S, Barbour V, Booth D, Brown K, Costello D, Croker K, O’connor R, Rolf H et al. (2019) Fair, Affordable and Open Access to Knowledge: The CAUL Collection and Reporting of APC Information Project."},"properties":{"noteIndex":10},"schema":"https://github.com/citation-style-language/schema/raw/master/csl-citation.json"}</w:instrText>
      </w:r>
      <w:r w:rsidRPr="00B0640C">
        <w:fldChar w:fldCharType="separate"/>
      </w:r>
      <w:r w:rsidRPr="0093165B">
        <w:rPr>
          <w:noProof/>
        </w:rPr>
        <w:t>Cramond S, Barnes C, Lafferty S, Barbour V, Booth D, Brown K, Costello D, Croker K, O’connor R, Rolf H et al. (2019) Fair, Affordable and Open Access to Knowledge: The CAUL Collection and Reporting of APC Information Project.</w:t>
      </w:r>
      <w:r w:rsidRPr="00B0640C">
        <w:fldChar w:fldCharType="end"/>
      </w:r>
    </w:p>
  </w:footnote>
  <w:footnote w:id="12">
    <w:p w14:paraId="47D6CFA1" w14:textId="658FB1BE" w:rsidR="00597B45" w:rsidRPr="00B0640C" w:rsidRDefault="00597B45" w:rsidP="00226E43">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encyclopedia.com/history/dictionaries-thesauruses-pictures-and-press-releases/learned-societies","accessed":{"date-parts":[["2021","10","12"]]},"author":[{"dropping-particle":"","family":"Encyclopedia.com","given":"","non-dropping-particle":"","parse-names":false,"suffix":""}],"id":"ITEM-1","issued":{"date-parts":[["2019"]]},"title":"Learned Societies","type":"webpage"},"uris":["http://www.mendeley.com/documents/?uuid=683e96a6-25e5-3fb3-82f0-9d4fc71f0917"]}],"mendeley":{"formattedCitation":"Encyclopedia.com (2019) Learned Societies. Viewed 12 October 2021, &lt;https://www.encyclopedia.com/history/dictionaries-thesauruses-pictures-and-press-releases/learned-societies&gt;.","plainTextFormattedCitation":"Encyclopedia.com (2019) Learned Societies. Viewed 12 October 2021, .","previouslyFormattedCitation":"Encyclopedia.com (2019) Learned Societies. Viewed 12 October 2021, &lt;https://www.encyclopedia.com/history/dictionaries-thesauruses-pictures-and-press-releases/learned-societies&gt;."},"properties":{"noteIndex":11},"schema":"https://github.com/citation-style-language/schema/raw/master/csl-citation.json"}</w:instrText>
      </w:r>
      <w:r w:rsidRPr="00B0640C">
        <w:fldChar w:fldCharType="separate"/>
      </w:r>
      <w:r w:rsidRPr="00C77D92">
        <w:rPr>
          <w:noProof/>
        </w:rPr>
        <w:t>Encyclopedia.com (2019) Learned Societies. Viewed 12 October 2021, &lt;https://www.encyclopedia.com/history/dictionaries-thesauruses-pictures-and-press-releases/learned-societies&gt;.</w:t>
      </w:r>
      <w:r w:rsidRPr="00B0640C">
        <w:fldChar w:fldCharType="end"/>
      </w:r>
    </w:p>
  </w:footnote>
  <w:footnote w:id="13">
    <w:p w14:paraId="632817A4" w14:textId="3BC3E511" w:rsidR="00597B45" w:rsidRDefault="00597B45">
      <w:pPr>
        <w:pStyle w:val="FootnoteText"/>
      </w:pPr>
      <w:r>
        <w:rPr>
          <w:rStyle w:val="FootnoteReference"/>
        </w:rPr>
        <w:footnoteRef/>
      </w:r>
      <w:r>
        <w:t xml:space="preserve"> </w:t>
      </w:r>
      <w:r>
        <w:fldChar w:fldCharType="begin" w:fldLock="1"/>
      </w:r>
      <w:r>
        <w:instrText>ADDIN CSL_CITATION {"citationItems":[{"id":"ITEM-1","itemData":{"URL":"https://www.budapestopenaccessinitiative.org/read/","accessed":{"date-parts":[["2021","11","15"]]},"author":[{"dropping-particle":"","family":"Budapest Open Access Initiative","given":"","non-dropping-particle":"","parse-names":false,"suffix":""}],"id":"ITEM-1","issued":{"date-parts":[["2002","2","14"]]},"title":"Read the Declaration","type":"webpage"},"uris":["http://www.mendeley.com/documents/?uuid=f9b8408d-6c9e-3e8a-a296-a95aea192917"]}],"mendeley":{"formattedCitation":"Budapest Open Access Initiative (2002) Read the Declaration. Viewed 15 November 2021, &lt;https://www.budapestopenaccessinitiative.org/read/&gt;.","plainTextFormattedCitation":"Budapest Open Access Initiative (2002) Read the Declaration. Viewed 15 November 2021, .","previouslyFormattedCitation":"Budapest Open Access Initiative (2002) Read the Declaration. Viewed 15 November 2021, &lt;https://www.budapestopenaccessinitiative.org/read/&gt;."},"properties":{"noteIndex":12},"schema":"https://github.com/citation-style-language/schema/raw/master/csl-citation.json"}</w:instrText>
      </w:r>
      <w:r>
        <w:fldChar w:fldCharType="separate"/>
      </w:r>
      <w:r w:rsidRPr="00C77D92">
        <w:rPr>
          <w:noProof/>
        </w:rPr>
        <w:t>Budapest Open Access Initiative (2002) Read the Declaration. Viewed 15 November 2021, &lt;https://www.budapestopenaccessinitiative.org/read/&gt;.</w:t>
      </w:r>
      <w:r>
        <w:fldChar w:fldCharType="end"/>
      </w:r>
    </w:p>
  </w:footnote>
  <w:footnote w:id="14">
    <w:p w14:paraId="16E82F47" w14:textId="52341440" w:rsidR="00597B45" w:rsidRDefault="00597B45" w:rsidP="00DD1760">
      <w:pPr>
        <w:pStyle w:val="FootnoteText"/>
        <w:jc w:val="left"/>
      </w:pPr>
      <w:r>
        <w:rPr>
          <w:rStyle w:val="FootnoteReference"/>
        </w:rPr>
        <w:footnoteRef/>
      </w:r>
      <w:r>
        <w:t xml:space="preserve"> </w:t>
      </w:r>
      <w:r>
        <w:fldChar w:fldCharType="begin" w:fldLock="1"/>
      </w:r>
      <w:r>
        <w:instrText>ADDIN CSL_CITATION {"citationItems":[{"id":"ITEM-1","itemData":{"URL":"https://data.gov.au/page/about-open-data","accessed":{"date-parts":[["2021","10","29"]]},"author":[{"dropping-particle":"","family":"Australian Government","given":"","non-dropping-particle":"","parse-names":false,"suffix":""}],"id":"ITEM-1","issued":{"date-parts":[["0"]]},"title":"About Open Data","type":"webpage"},"uris":["http://www.mendeley.com/documents/?uuid=44a45345-c242-330a-ab37-5b9c0d82e2b7"]}],"mendeley":{"formattedCitation":"Australian Government About Open Data. Viewed 29 October 2021, &lt;https://data.gov.au/page/about-open-data&gt;.","manualFormatting":"Australian Government (n.d) About Open Data. Viewed 29 October 2021, .","plainTextFormattedCitation":"Australian Government About Open Data. Viewed 29 October 2021, .","previouslyFormattedCitation":"Australian Government About Open Data. Viewed 29 October 2021, &lt;https://data.gov.au/page/about-open-data&gt;."},"properties":{"noteIndex":13},"schema":"https://github.com/citation-style-language/schema/raw/master/csl-citation.json"}</w:instrText>
      </w:r>
      <w:r>
        <w:fldChar w:fldCharType="separate"/>
      </w:r>
      <w:r w:rsidRPr="0093165B">
        <w:rPr>
          <w:noProof/>
        </w:rPr>
        <w:t xml:space="preserve">Australian Government </w:t>
      </w:r>
      <w:r>
        <w:rPr>
          <w:noProof/>
        </w:rPr>
        <w:t xml:space="preserve">(n.d) </w:t>
      </w:r>
      <w:r w:rsidRPr="0093165B">
        <w:rPr>
          <w:noProof/>
        </w:rPr>
        <w:t>About Open Data. Viewed 29 October 2021, &lt;https://data.gov.au/page/about-open-data&gt;.</w:t>
      </w:r>
      <w:r>
        <w:fldChar w:fldCharType="end"/>
      </w:r>
    </w:p>
  </w:footnote>
  <w:footnote w:id="15">
    <w:p w14:paraId="646A7DD3" w14:textId="137F0A40"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openaire.eu/what-is-open-science","accessed":{"date-parts":[["2021","10","12"]]},"author":[{"dropping-particle":"","family":"OpenAIRE","given":"","non-dropping-particle":"","parse-names":false,"suffix":""}],"id":"ITEM-1","issued":{"date-parts":[["2017"]]},"title":"What is open science","type":"webpage"},"uris":["http://www.mendeley.com/documents/?uuid=73f68199-16ed-3cd9-8c4e-9cb674bbc7f4"]}],"mendeley":{"formattedCitation":"OpenAIRE (2017) What is open science. Viewed 12 October 2021, &lt;https://www.openaire.eu/what-is-open-science&gt;.","plainTextFormattedCitation":"OpenAIRE (2017) What is open science. Viewed 12 October 2021, .","previouslyFormattedCitation":"OpenAIRE (2017) What is open science. Viewed 12 October 2021, &lt;https://www.openaire.eu/what-is-open-science&gt;."},"properties":{"noteIndex":14},"schema":"https://github.com/citation-style-language/schema/raw/master/csl-citation.json"}</w:instrText>
      </w:r>
      <w:r w:rsidRPr="00B0640C">
        <w:fldChar w:fldCharType="separate"/>
      </w:r>
      <w:r w:rsidRPr="00C77D92">
        <w:rPr>
          <w:noProof/>
        </w:rPr>
        <w:t>OpenAIRE (2017) What is open science. Viewed 12 October 2021, &lt;https://www.openaire.eu/what-is-open-science&gt;.</w:t>
      </w:r>
      <w:r w:rsidRPr="00B0640C">
        <w:fldChar w:fldCharType="end"/>
      </w:r>
    </w:p>
  </w:footnote>
  <w:footnote w:id="16">
    <w:p w14:paraId="6469E8FB" w14:textId="3E0033EC" w:rsidR="00597B45" w:rsidRDefault="00597B45" w:rsidP="00DD1760">
      <w:pPr>
        <w:pStyle w:val="FootnoteText"/>
        <w:jc w:val="left"/>
      </w:pPr>
      <w:r>
        <w:rPr>
          <w:rStyle w:val="FootnoteReference"/>
        </w:rPr>
        <w:footnoteRef/>
      </w:r>
      <w:r>
        <w:t xml:space="preserve"> </w:t>
      </w:r>
      <w:r>
        <w:fldChar w:fldCharType="begin" w:fldLock="1"/>
      </w:r>
      <w:r>
        <w:instrText>ADDIN CSL_CITATION {"citationItems":[{"id":"ITEM-1","itemData":{"DOI":"10.5694/MJA2.50265","author":[{"dropping-particle":"","family":"Barbour","given":"Virginia","non-dropping-particle":"","parse-names":false,"suffix":""}],"container-title":"The Medical Journal of Australia","id":"ITEM-1","issue":"4","issued":{"date-parts":[["2019","8","19"]]},"page":"151-152.e1","publisher":"John Wiley and Sons Inc.","title":"The future of academic publishing: disruption, opportunity and a new ecosystem","type":"article-journal","volume":"211"},"uris":["http://www.mendeley.com/documents/?uuid=f30d7a8c-c5f8-33d8-9521-7b23178ce850"]}],"mendeley":{"formattedCitation":"Barbour V (2019) The future of academic publishing: disruption, opportunity and a new ecosystem. The Medical Journal of Australia 211(4), 151-152.e1. DOI: 10.5694/MJA2.50265.","plainTextFormattedCitation":"Barbour V (2019) The future of academic publishing: disruption, opportunity and a new ecosystem. The Medical Journal of Australia 211(4), 151-152.e1. DOI: 10.5694/MJA2.50265.","previouslyFormattedCitation":"Barbour V (2019) The future of academic publishing: disruption, opportunity and a new ecosystem. The Medical Journal of Australia 211(4), 151-152.e1. DOI: 10.5694/MJA2.50265."},"properties":{"noteIndex":15},"schema":"https://github.com/citation-style-language/schema/raw/master/csl-citation.json"}</w:instrText>
      </w:r>
      <w:r>
        <w:fldChar w:fldCharType="separate"/>
      </w:r>
      <w:r w:rsidRPr="00D85CB0">
        <w:rPr>
          <w:noProof/>
        </w:rPr>
        <w:t>Barbour V (2019) The future of academic publishing: disruption, opportunity and a new ecosystem. The Medical Journal of Australia 211(4), 151-152.e1. DOI: 10.5694/MJA2.50265.</w:t>
      </w:r>
      <w:r>
        <w:fldChar w:fldCharType="end"/>
      </w:r>
      <w:r>
        <w:t>Wiley (n.d.) What is peer review? Viewed 29 Oct 2021, &lt;</w:t>
      </w:r>
      <w:r w:rsidRPr="00C0173F">
        <w:t>https://authorservices.wiley.com/Reviewers/journal-reviewers/what-is-peer-review/index.html</w:t>
      </w:r>
      <w:r>
        <w:t>&gt;</w:t>
      </w:r>
    </w:p>
  </w:footnote>
  <w:footnote w:id="17">
    <w:p w14:paraId="4E1BE383" w14:textId="052B1EB4"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{"citationItems":[{"id":"ITEM-1","itemData":{"URL":"https://www.dese.gov.au/research-block-grants","accessed":{"date-parts":[["2021","10","1"]]},"author":[{"dropping-particle":"","family":"Department of Education Skills and Employment","given":"","non-dropping-particle":"","parse-names":false,"suffix":""}],"id":"ITEM-1","issued":{"date-parts":[["2021"]]},"title":"Research Block Grants","type":"webpage"},"uris":["http://www.mendeley.com/documents/?uuid=2478d52f-6038-3589-96ee-c2de77521fb9"]}],"mendeley":{"formattedCitation":"Department of Education Skills and Employment (2021) Research Block Grants. Viewed 1 October 2021, &lt;https://www.dese.gov.au/research-block-grants&gt;.","plainTextFormattedCitation":"Department of Education Skills and Employment (2021) Research Block Grants. Viewed 1 October 2021, .","previouslyFormattedCitation":"Department of Education Skills and Employment (2021) Research Block Grants. Viewed 1 October 2021, &lt;https://www.dese.gov.au/research-block-grants&gt;."},"properties":{"noteIndex":16},"schema":"https://github.com/citation-style-language/schema/raw/master/csl-citation.json"}</w:instrText>
      </w:r>
      <w:r w:rsidRPr="00B0640C">
        <w:fldChar w:fldCharType="separate"/>
      </w:r>
      <w:r w:rsidRPr="00C77D92">
        <w:rPr>
          <w:noProof/>
        </w:rPr>
        <w:t>Department of Education Skills and Employment (2021) Research Block Grants. Viewed 1 October 2021, &lt;https://www.dese.gov.au/research-block-grants&gt;.</w:t>
      </w:r>
      <w:r w:rsidRPr="00B0640C">
        <w:fldChar w:fldCharType="end"/>
      </w:r>
    </w:p>
  </w:footnote>
  <w:footnote w:id="18">
    <w:p w14:paraId="1EF3FBDF" w14:textId="3533DDDE"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{"citationItems":[{"id":"ITEM-1","itemData":{"URL":"https://www.dese.gov.au/research-block-grants","accessed":{"date-parts":[["2021","10","1"]]},"author":[{"dropping-particle":"","family":"Department of Education Skills and Employment","given":"","non-dropping-particle":"","parse-names":false,"suffix":""}],"id":"ITEM-1","issued":{"date-parts":[["2021"]]},"title":"Research Block Grants","type":"webpage"},"uris":["http://www.mendeley.com/documents/?uuid=2478d52f-6038-3589-96ee-c2de77521fb9"]}],"mendeley":{"formattedCitation":"Department of Education Skills and Employment (2021) Research Block Grants. Viewed 1 October 2021, &lt;https://www.dese.gov.au/research-block-grants&gt;.","plainTextFormattedCitation":"Department of Education Skills and Employment (2021) Research Block Grants. Viewed 1 October 2021, .","previouslyFormattedCitation":"Department of Education Skills and Employment (2021) Research Block Grants. Viewed 1 October 2021, &lt;https://www.dese.gov.au/research-block-grants&gt;."},"properties":{"noteIndex":17},"schema":"https://github.com/citation-style-language/schema/raw/master/csl-citation.json"}</w:instrText>
      </w:r>
      <w:r w:rsidRPr="00B0640C">
        <w:fldChar w:fldCharType="separate"/>
      </w:r>
      <w:r w:rsidRPr="00C77D92">
        <w:rPr>
          <w:noProof/>
        </w:rPr>
        <w:t>Department of Education Skills and Employment (2021) Research Block Grants. Viewed 1 October 2021, &lt;https://www.dese.gov.au/research-block-grants&gt;.</w:t>
      </w:r>
      <w:r w:rsidRPr="00B0640C">
        <w:fldChar w:fldCharType="end"/>
      </w:r>
    </w:p>
  </w:footnote>
  <w:footnote w:id="19">
    <w:p w14:paraId="11126757" w14:textId="49149810"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{"citationItems":[{"id":"ITEM-1","itemData":{"ISSN":"1741-4857","abstract":"Transformative agreements, also known as ‘offsetting’, ‘read and publish’, or ‘publish and read’ agreements, have shifted the focus of scholarly journal licensing from cost containment towards open access publication. An analysis of 36 full-text transformative agreements recorded in the ESAC registry shows that ‘transformative agreement’ is an umbrella term that encompasses different kinds of contracts. We differentiate between pre-transformative, partially transformative, and fully transformative agreements. Pre-transformative agreements are traditional subscription licences that grant article processing charge (APC) discounts or vouchers for open access publication of a limited number of articles. Partially transformative agreements differentiate between a read fee and a publish fee to cover the processing charges of a certain number of articles. Fully transformative agreements allow unlimited open access publication of the scholarly output of the subscribing institution. In all three categories, some agreements restrict open access publication to hybrid journals, whereas others allow publication in both hybrid and gold journals. Transformative agreements are more transparent than traditional journal licences, allow authors to retain copyright, and make provisions to facilitate the management of open access workflows. It is hard to assess whether these agreements are just a temporary phase in the transition towards open access or will perpetuate the current structure of the scholarly communication system and its associated high costs.","author":[{"dropping-particle":"","family":"Borrego","given":"Ángel","non-dropping-particle":"","parse-names":false,"suffix":""},{"dropping-particle":"","family":"Anglada","given":"Lluís","non-dropping-particle":"","parse-names":false,"suffix":""},{"dropping-particle":"","family":"Abadal","given":"Ernest","non-dropping-particle":"","parse-names":false,"suffix":""}],"container-title":"Learned Publishing","id":"ITEM-1","issue":"2","issued":{"date-parts":[["2021","4","1"]]},"page":"216-232","publisher":"John Wiley &amp; Sons, Ltd","title":"Transformative agreements: Do they pave the way to open access?","type":"article-journal","volume":"34"},"uris":["http://www.mendeley.com/documents/?uuid=09d77b32-8b58-3362-9ab7-0b9a44a11abd"]}],"mendeley":{"formattedCitation":"Borrego Á, Anglada L and Abadal E (2021) Transformative agreements: Do they pave the way to open access? Learned Publishing 34(2), 216–232.","plainTextFormattedCitation":"Borrego Á, Anglada L and Abadal E (2021) Transformative agreements: Do they pave the way to open access? Learned Publishing 34(2), 216–232.","previouslyFormattedCitation":"Borrego Á, Anglada L and Abadal E (2021) Transformative agreements: Do they pave the way to open access? Learned Publishing 34(2), 216–232."},"properties":{"noteIndex":18},"schema":"https://github.com/citation-style-language/schema/raw/master/csl-citation.json"}</w:instrText>
      </w:r>
      <w:r w:rsidRPr="00B0640C">
        <w:fldChar w:fldCharType="separate"/>
      </w:r>
      <w:r w:rsidRPr="00114706">
        <w:rPr>
          <w:noProof/>
        </w:rPr>
        <w:t>Borrego Á, Anglada L and Abadal E (2021) Transformative agreements: Do they pave the way to open access? Learned Publishing 34(2), 216–232.</w:t>
      </w:r>
      <w:r w:rsidRPr="00B0640C">
        <w:fldChar w:fldCharType="end"/>
      </w:r>
    </w:p>
  </w:footnote>
  <w:footnote w:id="20">
    <w:p w14:paraId="0A133978" w14:textId="237D2D11"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{"citationItems":[{"id":"ITEM-1","itemData":{"DOI":"10.1080/21670811.2013.813214","author":[{"dropping-particle":"","family":"Merja Myllylahti","given":"","non-dropping-particle":"","parse-names":false,"suffix":""}],"container-title":"Digital Journalism","id":"ITEM-1","issue":"2","issued":{"date-parts":[["2018"]]},"page":"179-194","publisher":"Routledge","publisher-place":"London","title":"Newspaper Paywalls—the Hype and the Reality","type":"article-journal","volume":"2"},"uris":["http://www.mendeley.com/documents/?uuid=43254425-d812-3e1a-ab60-94515d611337"]}],"mendeley":{"formattedCitation":"Merja Myllylahti (2018) Newspaper Paywalls—the Hype and the Reality. Digital Journalism 2(2), 179–194. DOI: 10.1080/21670811.2013.813214.","plainTextFormattedCitation":"Merja Myllylahti (2018) Newspaper Paywalls—the Hype and the Reality. Digital Journalism 2(2), 179–194. DOI: 10.1080/21670811.2013.813214.","previouslyFormattedCitation":"Merja Myllylahti (2018) Newspaper Paywalls—the Hype and the Reality. Digital Journalism 2(2), 179–194. DOI: 10.1080/21670811.2013.813214."},"properties":{"noteIndex":19},"schema":"https://github.com/citation-style-language/schema/raw/master/csl-citation.json"}</w:instrText>
      </w:r>
      <w:r w:rsidRPr="00B0640C">
        <w:fldChar w:fldCharType="separate"/>
      </w:r>
      <w:r w:rsidRPr="00B0640C">
        <w:rPr>
          <w:noProof/>
        </w:rPr>
        <w:t>Merja Myllylahti (2018) Newspaper Paywalls—the Hype and the Reality. Digital Journalism 2(2), 179–194. DOI: 10.1080/21670811.2013.813214.</w:t>
      </w:r>
      <w:r w:rsidRPr="00B0640C">
        <w:fldChar w:fldCharType="end"/>
      </w:r>
    </w:p>
  </w:footnote>
  <w:footnote w:id="21">
    <w:p w14:paraId="1E90614D" w14:textId="65EF9F09"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Barneveld-Biesma","given":"Annemieke","non-dropping-particle":"Van","parse-names":false,"suffix":""},{"dropping-particle":"","family":"Campbell","given":"Colleen","non-dropping-particle":"","parse-names":false,"suffix":""},{"dropping-particle":"","family":"Dujso","given":"Elma","non-dropping-particle":"","parse-names":false,"suffix":""},{"dropping-particle":"","family":"Ligtvoet","given":"Andreas","non-dropping-particle":"","parse-names":false,"suffix":""},{"dropping-particle":"","family":"Scholten","given":"Chiel","non-dropping-particle":"","parse-names":false,"suffix":""},{"dropping-particle":"","family":"Velten","given":"Lennart","non-dropping-particle":"","parse-names":false,"suffix":""}],"id":"ITEM-1","issued":{"date-parts":[["2020"]]},"title":"Read &amp; Publish contracts in the context of a dynamic scholarly publishing system: A study on future scenarios for the scholarly publishing system","type":"report"},"uris":["http://www.mendeley.com/documents/?uuid=ae90de9e-3ddb-31e4-904b-5ede9300e8d7"]}],"mendeley":{"formattedCitation":"Van Barneveld-Biesma A, Campbell C, Dujso E, Ligtvoet A, Scholten C and Velten L (2020) Read &amp; Publish contracts in the context of a dynamic scholarly publishing system: A study on future scenarios for the scholarly publishing system.","plainTextFormattedCitation":"Van Barneveld-Biesma A, Campbell C, Dujso E, Ligtvoet A, Scholten C and Velten L (2020) Read &amp; Publish contracts in the context of a dynamic scholarly publishing system: A study on future scenarios for the scholarly publishing system.","previouslyFormattedCitation":"Van Barneveld-Biesma A, Campbell C, Dujso E, Ligtvoet A, Scholten C and Velten L (2020) Read &amp; Publish contracts in the context of a dynamic scholarly publishing system: A study on future scenarios for the scholarly publishing system."},"properties":{"noteIndex":20},"schema":"https://github.com/citation-style-language/schema/raw/master/csl-citation.json"}</w:instrText>
      </w:r>
      <w:r w:rsidRPr="00B0640C">
        <w:fldChar w:fldCharType="separate"/>
      </w:r>
      <w:r w:rsidRPr="00B0640C">
        <w:rPr>
          <w:noProof/>
        </w:rPr>
        <w:t>Van Barneveld-Biesma A, Campbell C, Dujso E, Ligtvoet A, Scholten C and Velten L (2020) Read &amp; Publish contracts in the context of a dynamic scholarly publishing system: A study on future scenarios for the scholarly publishing system.</w:t>
      </w:r>
      <w:r w:rsidRPr="00B0640C">
        <w:fldChar w:fldCharType="end"/>
      </w:r>
    </w:p>
  </w:footnote>
  <w:footnote w:id="22">
    <w:p w14:paraId="2FB15690" w14:textId="69A58CBC"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See Appendix E for a description of common open access models. </w:t>
      </w:r>
      <w:r w:rsidR="003A46C1">
        <w:t xml:space="preserve">Data and chart from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&lt;http://openknowledge.community/dashboards/coki-open-access-dashboard/&gt;."},"properties":{"noteIndex":21},"schema":"https://github.com/citation-style-language/schema/raw/master/csl-citation.json"}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23">
    <w:p w14:paraId="4152ACAD" w14:textId="46E1033F"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abs.gov.au/statistics/industry/technology-and-innovation/research-and-experimental-development-businesses-australia/2019-20","accessed":{"date-parts":[["2021","9","23"]]},"author":[{"dropping-particle":"","family":"Australian Bureau of Statistics","given":"","non-dropping-particle":"","parse-names":false,"suffix":""}],"id":"ITEM-1","issued":{"date-parts":[["0"]]},"title":"Research and Experimental Development, Businesses, Australia","type":"webpage"},"uris":["http://www.mendeley.com/documents/?uuid=6d7f9e10-9721-3726-b40e-0ea8529d37e1"]}],"mendeley":{"formattedCitation":"Australian Bureau of Statistics Research and Experimental Development, Businesses, Australia. Viewed 23 September 2021, &lt;https://www.abs.gov.au/statistics/industry/technology-and-innovation/research-and-experimental-development-businesses-australia/2019-20&gt;.","plainTextFormattedCitation":"Australian Bureau of Statistics Research and Experimental Development, Businesses, Australia. Viewed 23 September 2021, .","previouslyFormattedCitation":"Australian Bureau of Statistics Research and Experimental Development, Businesses, Australia. Viewed 23 September 2021, &lt;https://www.abs.gov.au/statistics/industry/technology-and-innovation/research-and-experimental-development-businesses-australia/2019-20&gt;."},"properties":{"noteIndex":22},"schema":"https://github.com/citation-style-language/schema/raw/master/csl-citation.json"}</w:instrText>
      </w:r>
      <w:r w:rsidRPr="00B0640C">
        <w:fldChar w:fldCharType="separate"/>
      </w:r>
      <w:r w:rsidRPr="00C77D92">
        <w:rPr>
          <w:noProof/>
        </w:rPr>
        <w:t>Australian Bureau of Statistics Research and Experimental Development, Businesses, Australia. Viewed 23 September 2021, &lt;https://www.abs.gov.au/statistics/industry/technology-and-innovation/research-and-experimental-development-businesses-australia/2019-20&gt;.</w:t>
      </w:r>
      <w:r w:rsidRPr="00B0640C">
        <w:fldChar w:fldCharType="end"/>
      </w:r>
    </w:p>
  </w:footnote>
  <w:footnote w:id="24">
    <w:p w14:paraId="1BB744F0" w14:textId="366A591C" w:rsidR="00597B45" w:rsidRPr="00B0640C" w:rsidRDefault="00597B45" w:rsidP="00DD1760">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{"citationItems":[{"id":"ITEM-1","itemData":{"abstract":"Opportunities for Australia to overcome innovation challenges and realise greater value from innovation investments","author":[{"dropping-particle":"","family":"CSIRO Futures","given":"","non-dropping-particle":"","parse-names":false,"suffix":""}],"id":"ITEM-1","issued":{"date-parts":[["2020"]]},"publisher":"CSIRO","publisher-place":"Australia","title":"Value of science and technology","type":"report"},"uris":["http://www.mendeley.com/documents/?uuid=ad3156db-a8a2-34fb-b5a0-a94c5e32b8d1"]}],"mendeley":{"formattedCitation":"CSIRO Futures (2020) Value of science and technology. CSIRO, Australia.","plainTextFormattedCitation":"CSIRO Futures (2020) Value of science and technology. CSIRO, Australia.","previouslyFormattedCitation":"CSIRO Futures (2020) Value of science and technology. CSIRO, Australia."},"properties":{"noteIndex":23},"schema":"https://github.com/citation-style-language/schema/raw/master/csl-citation.json"}</w:instrText>
      </w:r>
      <w:r w:rsidRPr="00B0640C">
        <w:fldChar w:fldCharType="separate"/>
      </w:r>
      <w:r w:rsidRPr="0093165B">
        <w:rPr>
          <w:noProof/>
        </w:rPr>
        <w:t>CSIRO Futures (2020) Value of science and technology. CSIRO, Australia.</w:t>
      </w:r>
      <w:r w:rsidRPr="00B0640C">
        <w:fldChar w:fldCharType="end"/>
      </w:r>
    </w:p>
  </w:footnote>
  <w:footnote w:id="25">
    <w:p w14:paraId="60DC67BA" w14:textId="77777777"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Image provided by the OCS.</w:t>
      </w:r>
    </w:p>
  </w:footnote>
  <w:footnote w:id="26">
    <w:p w14:paraId="0C83D824" w14:textId="5BF5F534" w:rsidR="00597B45" w:rsidRPr="00B0640C" w:rsidRDefault="00597B45" w:rsidP="00C5279A">
      <w:pPr>
        <w:pStyle w:val="FootnoteText"/>
        <w:jc w:val="left"/>
      </w:pPr>
      <w:r w:rsidRPr="00B0640C">
        <w:rPr>
          <w:rStyle w:val="FootnoteReference"/>
          <w:rFonts w:asciiTheme="minorHAnsi" w:hAnsiTheme="minorHAnsi" w:cstheme="minorHAnsi"/>
          <w:szCs w:val="16"/>
        </w:rPr>
        <w:footnoteRef/>
      </w:r>
      <w:r w:rsidRPr="00B0640C">
        <w:t xml:space="preserve"> Australian stakeholders paid more than $3</w:t>
      </w:r>
      <w:r>
        <w:t>03</w:t>
      </w:r>
      <w:r w:rsidRPr="00B0640C">
        <w:t xml:space="preserve"> million to publishers for access to journal articles</w:t>
      </w:r>
      <w:r>
        <w:t xml:space="preserve"> in 2020</w:t>
      </w:r>
      <w:r w:rsidRPr="00B0640C">
        <w:t>. See Appendix B.</w:t>
      </w:r>
    </w:p>
  </w:footnote>
  <w:footnote w:id="27">
    <w:p w14:paraId="26DC6F1F" w14:textId="31CD50B5"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{"citationItems":[{"id":"ITEM-1","itemData":{"URL":"http://thecostofknowledge.com/","accessed":{"date-parts":[["2021","9","28"]]},"author":[{"dropping-particle":"","family":"The Cost of Knowledge","given":"","non-dropping-particle":"","parse-names":false,"suffix":""}],"id":"ITEM-1","issued":{"date-parts":[["2021"]]},"title":"The Cost of Knowledge","type":"webpage"},"uris":["http://www.mendeley.com/documents/?uuid=855c6719-d282-3909-a3f2-8e15976e539b"]}],"mendeley":{"formattedCitation":"The Cost of Knowledge (2021) The Cost of Knowledge. Viewed 28 September 2021, &lt;http://thecostofknowledge.com/&gt;.","plainTextFormattedCitation":"The Cost of Knowledge (2021) The Cost of Knowledge. Viewed 28 September 2021, .","previouslyFormattedCitation":"The Cost of Knowledge (2021) The Cost of Knowledge. Viewed 28 September 2021, &lt;http://thecostofknowledge.com/&gt;."},"properties":{"noteIndex":26},"schema":"https://github.com/citation-style-language/schema/raw/master/csl-citation.json"}</w:instrText>
      </w:r>
      <w:r w:rsidRPr="00B0640C">
        <w:fldChar w:fldCharType="separate"/>
      </w:r>
      <w:r w:rsidRPr="00C77D92">
        <w:rPr>
          <w:noProof/>
        </w:rPr>
        <w:t>The Cost of Knowledge (2021) The Cost of Knowledge. Viewed 28 September 2021, &lt;http://thecostofknowledge.com/&gt;.</w:t>
      </w:r>
      <w:r w:rsidRPr="00B0640C">
        <w:fldChar w:fldCharType="end"/>
      </w:r>
    </w:p>
  </w:footnote>
  <w:footnote w:id="28">
    <w:p w14:paraId="719FCD74" w14:textId="1058BBC3"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{"citationItems":[{"id":"ITEM-1","itemData":{"abstract":"This article briefly sets out a political economy of academic publishing, exploring what the costs and benefits of this model are/were for the academic community. It then moves to explore forms of ...","author":[{"dropping-particle":"","family":"May","given":"Christopher","non-dropping-particle":"","parse-names":false,"suffix":""}],"container-title":"Politics","id":"ITEM-1","issue":"1","issued":{"date-parts":[["2019","6","25"]]},"page":"120-135","publisher":"SAGE PublicationsSage UK: London, England","title":"Academic publishing and open access: Costs, benefits and options for publishing research","type":"article-journal","volume":"40"},"uris":["http://www.mendeley.com/documents/?uuid=72a4cb6c-a125-39e2-b61c-b342aa1136d4"]}],"mendeley":{"formattedCitation":"May C (2019) Academic publishing and open access: Costs, benefits and options for publishing research. Politics 40(1), 120–135.","plainTextFormattedCitation":"May C (2019) Academic publishing and open access: Costs, benefits and options for publishing research. Politics 40(1), 120–135.","previouslyFormattedCitation":"May C (2019) Academic publishing and open access: Costs, benefits and options for publishing research. Politics 40(1), 120–135."},"properties":{"noteIndex":27},"schema":"https://github.com/citation-style-language/schema/raw/master/csl-citation.json"}</w:instrText>
      </w:r>
      <w:r w:rsidRPr="00B0640C">
        <w:fldChar w:fldCharType="separate"/>
      </w:r>
      <w:r w:rsidRPr="00F947B1">
        <w:rPr>
          <w:noProof/>
        </w:rPr>
        <w:t>May C (2019) Academic publishing and open access: Costs, benefits and options for publishing research. Politics 40(1), 120–135.</w:t>
      </w:r>
      <w:r w:rsidRPr="00B0640C">
        <w:fldChar w:fldCharType="end"/>
      </w:r>
    </w:p>
  </w:footnote>
  <w:footnote w:id="29">
    <w:p w14:paraId="1A99E024" w14:textId="732A1BB1"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{"citationItems":[{"id":"ITEM-1","itemData":{"author":[{"dropping-particle":"","family":"Productivity Commission","given":"","non-dropping-particle":"","parse-names":false,"suffix":""}],"id":"ITEM-1","issued":{"date-parts":[["2016"]]},"title":"Intellectual Property Arrangements, Inquiry Report","type":"report"},"uris":["http://www.mendeley.com/documents/?uuid=55feaa73-32fd-3276-bbcf-be2935dff91b"]}],"mendeley":{"formattedCitation":"Productivity Commission (2016) Intellectual Property Arrangements, Inquiry Report.","plainTextFormattedCitation":"Productivity Commission (2016) Intellectual Property Arrangements, Inquiry Report.","previouslyFormattedCitation":"Productivity Commission (2016) Intellectual Property Arrangements, Inquiry Report."},"properties":{"noteIndex":28},"schema":"https://github.com/citation-style-language/schema/raw/master/csl-citation.json"}</w:instrText>
      </w:r>
      <w:r w:rsidRPr="00B0640C">
        <w:fldChar w:fldCharType="separate"/>
      </w:r>
      <w:r w:rsidRPr="0093165B">
        <w:rPr>
          <w:noProof/>
        </w:rPr>
        <w:t>Productivity Commission (2016) Intellectual Property Arrangements, Inquiry Report.</w:t>
      </w:r>
      <w:r w:rsidRPr="00B0640C">
        <w:fldChar w:fldCharType="end"/>
      </w:r>
    </w:p>
  </w:footnote>
  <w:footnote w:id="30">
    <w:p w14:paraId="1C388871" w14:textId="4D1D0DA6"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{"citationItems":[{"id":"ITEM-1","itemData":{"author":[{"dropping-particle":"","family":"Australian Government","given":"","non-dropping-particle":"","parse-names":false,"suffix":""}],"id":"ITEM-1","issued":{"date-parts":[["2017"]]},"title":"Australian Government Response to the Productivity Commission Inquiry into Intellectual Property Arrangements","type":"report"},"uris":["http://www.mendeley.com/documents/?uuid=720a3206-ee9e-3e97-8f99-fe342886f99b"]}],"mendeley":{"formattedCitation":"Australian Government (2017) Australian Government Response to the Productivity Commission Inquiry into Intellectual Property Arrangements.","plainTextFormattedCitation":"Australian Government (2017) Australian Government Response to the Productivity Commission Inquiry into Intellectual Property Arrangements.","previouslyFormattedCitation":"Australian Government (2017) Australian Government Response to the Productivity Commission Inquiry into Intellectual Property Arrangements."},"properties":{"noteIndex":29},"schema":"https://github.com/citation-style-language/schema/raw/master/csl-citation.json"}</w:instrText>
      </w:r>
      <w:r w:rsidRPr="00B0640C">
        <w:fldChar w:fldCharType="separate"/>
      </w:r>
      <w:r w:rsidRPr="0093165B">
        <w:rPr>
          <w:noProof/>
        </w:rPr>
        <w:t>Australian Government (2017) Australian Government Response to the Productivity Commission Inquiry into Intellectual Property Arrangements.</w:t>
      </w:r>
      <w:r w:rsidRPr="00B0640C">
        <w:fldChar w:fldCharType="end"/>
      </w:r>
    </w:p>
  </w:footnote>
  <w:footnote w:id="31">
    <w:p w14:paraId="3FD715D7" w14:textId="2511B54D"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{"citationItems":[{"id":"ITEM-1","itemData":{"ISBN":"978-1-74366-912-9","author":[{"dropping-particle":"","family":"Standing Committee on Employment Education and Training","given":"","non-dropping-particle":"","parse-names":false,"suffix":""}],"id":"ITEM-1","issued":{"date-parts":[["2018"]]},"title":"Australian Government Funding Arrangements for non-NHMRC Research.","type":"report"},"uris":["http://www.mendeley.com/documents/?uuid=798fac00-80fa-3b14-9d88-2eb90761a865"]}],"mendeley":{"formattedCitation":"Standing Committee on Employment Education and Training (2018) Australian Government Funding Arrangements for non-NHMRC Research.","plainTextFormattedCitation":"Standing Committee on Employment Education and Training (2018) Australian Government Funding Arrangements for non-NHMRC Research.","previouslyFormattedCitation":"Standing Committee on Employment Education and Training (2018) Australian Government Funding Arrangements for non-NHMRC Research."},"properties":{"noteIndex":30},"schema":"https://github.com/citation-style-language/schema/raw/master/csl-citation.json"}</w:instrText>
      </w:r>
      <w:r w:rsidRPr="00B0640C">
        <w:fldChar w:fldCharType="separate"/>
      </w:r>
      <w:r w:rsidRPr="00B0640C">
        <w:rPr>
          <w:noProof/>
        </w:rPr>
        <w:t>Standing Committee on Employment Education and Training (2018) Australian Government Funding Arrangements for non-NHMRC Research.</w:t>
      </w:r>
      <w:r w:rsidRPr="00B0640C">
        <w:fldChar w:fldCharType="end"/>
      </w:r>
      <w:r w:rsidRPr="00B0640C">
        <w:t>s</w:t>
      </w:r>
    </w:p>
  </w:footnote>
  <w:footnote w:id="32">
    <w:p w14:paraId="396DBB30" w14:textId="03438FAD"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Only 38.4% of Australian publications (published between 2000-2020) are now openly accessible.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&lt;http://openknowledge.community/dashboards/coki-open-access-dashboard/&gt;.","manualFormatting":"Curtin Open Knowledge Institute (2021) COKI Open Access Dashboard. Viewed 21 October 2021, .","plainTextFormattedCitation":"Curtin Open Knowledge Institute (2021) COKI Open Access Dashboard. .","previouslyFormattedCitation":"Curtin Open Knowledge Institute (2021) COKI Open Access Dashboard. &lt;http://openknowledge.community/dashboards/coki-open-access-dashboard/&gt;."},"properties":{"noteIndex":31},"schema":"https://github.com/citation-style-language/schema/raw/master/csl-citation.json"}</w:instrText>
      </w:r>
      <w:r w:rsidRPr="00B0640C">
        <w:fldChar w:fldCharType="separate"/>
      </w:r>
      <w:r w:rsidRPr="00A00E1E">
        <w:rPr>
          <w:noProof/>
        </w:rPr>
        <w:t xml:space="preserve">Curtin Open Knowledge Institute (2021) COKI Open Access Dashboard. </w:t>
      </w:r>
      <w:r>
        <w:rPr>
          <w:noProof/>
        </w:rPr>
        <w:t xml:space="preserve">Viewed 21 October 2021, </w:t>
      </w:r>
      <w:r w:rsidRPr="00A00E1E">
        <w:rPr>
          <w:noProof/>
        </w:rPr>
        <w:t>&lt;http://openknowledge.community/dashboards/coki-open-access-dashboard/&gt;.</w:t>
      </w:r>
      <w:r w:rsidRPr="00B0640C">
        <w:fldChar w:fldCharType="end"/>
      </w:r>
    </w:p>
  </w:footnote>
  <w:footnote w:id="33">
    <w:p w14:paraId="41B2F15C" w14:textId="77777777" w:rsidR="00597B45" w:rsidRPr="00B0640C" w:rsidRDefault="00597B45" w:rsidP="00E8575C">
      <w:pPr>
        <w:pStyle w:val="FootnoteText"/>
        <w:jc w:val="left"/>
      </w:pPr>
      <w:r w:rsidRPr="00B0640C">
        <w:rPr>
          <w:rStyle w:val="FootnoteReference"/>
          <w:rFonts w:asciiTheme="minorHAnsi" w:hAnsiTheme="minorHAnsi" w:cstheme="minorHAnsi"/>
          <w:szCs w:val="16"/>
        </w:rPr>
        <w:footnoteRef/>
      </w:r>
      <w:r w:rsidRPr="00B0640C">
        <w:t xml:space="preserve"> </w:t>
      </w:r>
      <w:r w:rsidRPr="00B0640C">
        <w:rPr>
          <w:lang w:val="en-GB"/>
        </w:rPr>
        <w:t>For example, 51.2% of Australian life sciences articles and reviews are open access, compared to only 10.8% of those in the arts and humanities.</w:t>
      </w:r>
      <w:r w:rsidRPr="00B0640C">
        <w:t xml:space="preserve"> Clarivate analysis of articles and reviews </w:t>
      </w:r>
      <w:r w:rsidRPr="00B0640C">
        <w:rPr>
          <w:lang w:val="en-GB"/>
        </w:rPr>
        <w:t>published between 1 Jan 2016 and 31 Dec 2020.</w:t>
      </w:r>
    </w:p>
  </w:footnote>
  <w:footnote w:id="34">
    <w:p w14:paraId="7BB59A1F" w14:textId="69F03AD5" w:rsidR="00597B45" w:rsidRPr="00B0640C" w:rsidRDefault="00597B45" w:rsidP="00210D25">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{"citationItems":[{"id":"ITEM-1","itemData":{"ISSN":"1932-6203","abstract":"Aims Over the last two decades, the existence of an open access citation advantage (OACA)—increased citation of articles made available open access (OA)—has been the topic of much discussion. While there has been substantial research to address this question, findings have been contradictory and inconclusive. We conducted a systematic review to compare studies of citations to OA and non-OA articles. Methods A systematic search of 17 databases attempted to capture all relevant studies authored since 2001. The protocol was registered in Open Science Framework. We included studies with a direct comparison between OA and non-OA items and reported article-level citation as an outcome. Both randomized and non-randomized studies were included. No limitations were placed on study design, language, or publication type. Results A total of 5,744 items were retrieved. Ultimately, 134 items were identified for inclusion. 64 studies (47.8%) confirmed the existence of OACA, while 37 (27.6%) found that it did not exist, 32 (23.9%) found OACA only in subsets of their sample, and 1 study (0.8%) was inconclusive. Studies with a focus on multiple disciplines were significantly positively associated with finding that OACA exists in subsets, and are less associated with finding that OACA did not exist. In the critical appraisal of the included studies, 3 were found to have an overall low risk of bias. Of these, one found that an OACA existed, one found that it did not, and one found that an OACA occurred in subsets. Conclusions As seen through the large number of studies identified for this review, OACA is a topic of continuing interest. Quality and heterogeneity of the component studies pose challenges for generalization. The results suggest the need for reporting guidelines for bibliometrics studies.","author":[{"dropping-particle":"","family":"Langham-Putrow","given":"Allison","non-dropping-particle":"","parse-names":false,"suffix":""},{"dropping-particle":"","family":"Bakker","given":"Caitlin","non-dropping-particle":"","parse-names":false,"suffix":""},{"dropping-particle":"","family":"Riegelman","given":"Amy","non-dropping-particle":"","parse-names":false,"suffix":""}],"container-title":"PLOS ONE","id":"ITEM-1","issue":"6","issued":{"date-parts":[["2021","6","1"]]},"page":"e0253129","publisher":"Public Library of Science","title":"Is the open access citation advantage real? A systematic review of the citation of open access and subscription-based articles","type":"article-journal","volume":"16"},"uris":["http://www.mendeley.com/documents/?uuid=c86a95bd-380e-3b82-8f33-1e568972c892"]}],"mendeley":{"formattedCitation":"Langham-Putrow A, Bakker C and Riegelman A (2021) Is the open access citation advantage real? A systematic review of the citation of open access and subscription-based articles. PLOS ONE 16(6), e0253129.","plainTextFormattedCitation":"Langham-Putrow A, Bakker C and Riegelman A (2021) Is the open access citation advantage real? A systematic review of the citation of open access and subscription-based articles. PLOS ONE 16(6), e0253129.","previouslyFormattedCitation":"Langham-Putrow A, Bakker C and Riegelman A (2021) Is the open access citation advantage real? A systematic review of the citation of open access and subscription-based articles. PLOS ONE 16(6), e0253129."},"properties":{"noteIndex":33},"schema":"https://github.com/citation-style-language/schema/raw/master/csl-citation.json"}</w:instrText>
      </w:r>
      <w:r w:rsidRPr="00B0640C">
        <w:fldChar w:fldCharType="separate"/>
      </w:r>
      <w:r w:rsidRPr="00B81A87">
        <w:rPr>
          <w:noProof/>
        </w:rPr>
        <w:t>Langham-Putrow A, Bakker C and Riegelman A (2021) Is the open access citation advantage real? A systematic review of the citation of open access and subscription-based articles. PLOS ONE 16(6), e0253129.</w:t>
      </w:r>
      <w:r w:rsidRPr="00B0640C">
        <w:fldChar w:fldCharType="end"/>
      </w:r>
    </w:p>
  </w:footnote>
  <w:footnote w:id="35">
    <w:p w14:paraId="577368E8" w14:textId="09999FDD" w:rsidR="00597B45" w:rsidRPr="00B0640C" w:rsidRDefault="00597B45" w:rsidP="004863FC">
      <w:pPr>
        <w:pStyle w:val="FootnoteText"/>
        <w:jc w:val="left"/>
        <w:rPr>
          <w:rFonts w:asciiTheme="minorHAnsi" w:hAnsiTheme="minorHAnsi" w:cstheme="minorHAnsi"/>
          <w:szCs w:val="16"/>
        </w:rPr>
      </w:pPr>
      <w:r w:rsidRPr="00B0640C">
        <w:rPr>
          <w:rStyle w:val="FootnoteReference"/>
          <w:rFonts w:asciiTheme="minorHAnsi" w:hAnsiTheme="minorHAnsi" w:cstheme="minorHAnsi"/>
          <w:szCs w:val="16"/>
        </w:rPr>
        <w:footnoteRef/>
      </w:r>
      <w:r w:rsidRPr="00B0640C">
        <w:rPr>
          <w:rFonts w:asciiTheme="minorHAnsi" w:hAnsiTheme="minorHAnsi" w:cstheme="minorHAnsi"/>
          <w:szCs w:val="16"/>
        </w:rPr>
        <w:t xml:space="preserve"> </w:t>
      </w:r>
      <w:r>
        <w:rPr>
          <w:rFonts w:asciiTheme="minorHAnsi" w:hAnsiTheme="minorHAnsi" w:cstheme="minorHAnsi"/>
          <w:szCs w:val="16"/>
        </w:rPr>
        <w:fldChar w:fldCharType="begin" w:fldLock="1"/>
      </w:r>
      <w:r>
        <w:rPr>
          <w:rFonts w:asciiTheme="minorHAnsi" w:hAnsiTheme="minorHAnsi" w:cstheme="minorHAnsi"/>
          <w:szCs w:val="16"/>
        </w:rPr>
        <w:instrText>ADDIN CSL_CITATION {"citationItems":[{"id":"ITEM-1","itemData":{"URL":"https://www.oecd.org/coronavirus/policy-responses/why-open-science-is-critical-to-combatting-covid-19","accessed":{"date-parts":[["2021","10","21"]]},"author":[{"dropping-particle":"","family":"OECD","given":"","non-dropping-particle":"","parse-names":false,"suffix":""}],"id":"ITEM-1","issued":{"date-parts":[["2020"]]},"title":"Why open science is critical to combatting COVID-19","type":"webpage"},"uris":["http://www.mendeley.com/documents/?uuid=09cfb34e-58d1-4939-9bd9-8b0032485aeb"]}],"mendeley":{"formattedCitation":"OECD (2020) Why open science is critical to combatting COVID-19. Viewed 21 October 2021, &lt;https://www.oecd.org/coronavirus/policy-responses/why-open-science-is-critical-to-combatting-covid-19&gt;.","plainTextFormattedCitation":"OECD (2020) Why open science is critical to combatting COVID-19. Viewed 21 October 2021, .","previouslyFormattedCitation":"OECD (2020) Why open science is critical to combatting COVID-19. Viewed 21 October 2021, &lt;https://www.oecd.org/coronavirus/policy-responses/why-open-science-is-critical-to-combatting-covid-19&gt;."},"properties":{"noteIndex":34},"schema":"https://github.com/citation-style-language/schema/raw/master/csl-citation.json"}</w:instrText>
      </w:r>
      <w:r>
        <w:rPr>
          <w:rFonts w:asciiTheme="minorHAnsi" w:hAnsiTheme="minorHAnsi" w:cstheme="minorHAnsi"/>
          <w:szCs w:val="16"/>
        </w:rPr>
        <w:fldChar w:fldCharType="separate"/>
      </w:r>
      <w:r w:rsidRPr="00C77D92">
        <w:rPr>
          <w:rFonts w:asciiTheme="minorHAnsi" w:hAnsiTheme="minorHAnsi" w:cstheme="minorHAnsi"/>
          <w:noProof/>
          <w:szCs w:val="16"/>
        </w:rPr>
        <w:t>OECD (2020) Why open science is critical to combatting COVID-19. Viewed 21 October 2021, &lt;https://www.oecd.org/coronavirus/policy-responses/why-open-science-is-critical-to-combatting-covid-19&gt;.</w:t>
      </w:r>
      <w:r>
        <w:rPr>
          <w:rFonts w:asciiTheme="minorHAnsi" w:hAnsiTheme="minorHAnsi" w:cstheme="minorHAnsi"/>
          <w:szCs w:val="16"/>
        </w:rPr>
        <w:fldChar w:fldCharType="end"/>
      </w:r>
    </w:p>
  </w:footnote>
  <w:footnote w:id="36">
    <w:p w14:paraId="063F4EDD" w14:textId="4874030A"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00D06721" w:rsidRPr="00B0640C">
        <w:t>Clarivate</w:t>
      </w:r>
      <w:r w:rsidR="00D06721">
        <w:t xml:space="preserve"> analysis</w:t>
      </w:r>
      <w:r w:rsidR="00D06721" w:rsidRPr="00B0640C">
        <w:t xml:space="preserve"> (2021)</w:t>
      </w:r>
      <w:r w:rsidR="00D06721">
        <w:t xml:space="preserve">. </w:t>
      </w:r>
      <w:r w:rsidRPr="00B0640C">
        <w:t xml:space="preserve">Category Normalised Citation Impact (CNCI) is calculated by dividing the actual count of </w:t>
      </w:r>
      <w:r>
        <w:t>citations</w:t>
      </w:r>
      <w:r w:rsidRPr="00B0640C">
        <w:t xml:space="preserve"> by the expected citation rate for documents </w:t>
      </w:r>
      <w:r>
        <w:t>of</w:t>
      </w:r>
      <w:r w:rsidRPr="00B0640C">
        <w:t xml:space="preserve"> the same type, year and subject area. A result of 1.0 indicates that the document is performing exactly as expected. The results shown here are average CNCIs articles and reviews published between 1 January 2016 and 31 December 2020. </w:t>
      </w:r>
    </w:p>
  </w:footnote>
  <w:footnote w:id="37">
    <w:p w14:paraId="45C116C1" w14:textId="3C6506C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abs.gov.au/statistics/industry/technology-and-innovation/research-and-experimental-development-businesses-australia/2019-20","accessed":{"date-parts":[["2021","9","23"]]},"author":[{"dropping-particle":"","family":"Australian Bureau of Statistics","given":"","non-dropping-particle":"","parse-names":false,"suffix":""}],"id":"ITEM-1","issued":{"date-parts":[["0"]]},"title":"Research and Experimental Development, Businesses, Australia","type":"webpage"},"uris":["http://www.mendeley.com/documents/?uuid=6d7f9e10-9721-3726-b40e-0ea8529d37e1"]}],"mendeley":{"formattedCitation":"Australian Bureau of Statistics Research and Experimental Development, Businesses, Australia. Viewed 23 September 2021, &lt;https://www.abs.gov.au/statistics/industry/technology-and-innovation/research-and-experimental-development-businesses-australia/2019-20&gt;.","plainTextFormattedCitation":"Australian Bureau of Statistics Research and Experimental Development, Businesses, Australia. Viewed 23 September 2021, .","previouslyFormattedCitation":"Australian Bureau of Statistics Research and Experimental Development, Businesses, Australia. Viewed 23 September 2021, &lt;https://www.abs.gov.au/statistics/industry/technology-and-innovation/research-and-experimental-development-businesses-australia/2019-20&gt;."},"properties":{"noteIndex":36},"schema":"https://github.com/citation-style-language/schema/raw/master/csl-citation.json"}</w:instrText>
      </w:r>
      <w:r w:rsidRPr="00B0640C">
        <w:fldChar w:fldCharType="separate"/>
      </w:r>
      <w:r w:rsidRPr="00C77D92">
        <w:rPr>
          <w:noProof/>
        </w:rPr>
        <w:t>Australian Bureau of Statistics Research and Experimental Development, Businesses, Australia. Viewed 23 September 2021, &lt;https://www.abs.gov.au/statistics/industry/technology-and-innovation/research-and-experimental-development-businesses-australia/2019-20&gt;.</w:t>
      </w:r>
      <w:r w:rsidRPr="00B0640C">
        <w:fldChar w:fldCharType="end"/>
      </w:r>
    </w:p>
  </w:footnote>
  <w:footnote w:id="38">
    <w:p w14:paraId="1B92B2DF" w14:textId="3CE7EE21"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Document ratio whose affiliation includes more than one country </w:t>
      </w:r>
      <w:r w:rsidRPr="003A675E">
        <w:t xml:space="preserve">address (rounded). </w:t>
      </w:r>
      <w:r w:rsidRPr="003A675E">
        <w:fldChar w:fldCharType="begin" w:fldLock="1"/>
      </w:r>
      <w:r>
        <w:instrText>ADDIN CSL_CITATION {"citationItems":[{"id":"ITEM-1","itemData":{"URL":"https://www.scimagojr.com/countrysearch.php?country=AU","accessed":{"date-parts":[["2021","9","23"]]},"author":[{"dropping-particle":"","family":"Scimago","given":"","non-dropping-particle":"","parse-names":false,"suffix":""}],"id":"ITEM-1","issued":{"date-parts":[["2021"]]},"title":"Journal &amp; Country Rank - Australia","type":"webpage"},"uris":["http://www.mendeley.com/documents/?uuid=e37d9aae-ba35-33d6-b77a-441fe9089f59"]}],"mendeley":{"formattedCitation":"Scimago (2021) Journal &amp; Country Rank - Australia. Viewed 23 September 2021, &lt;https://www.scimagojr.com/countrysearch.php?country=AU&gt;.","plainTextFormattedCitation":"Scimago (2021) Journal &amp; Country Rank - Australia. Viewed 23 September 2021, .","previouslyFormattedCitation":"Scimago (2021) Journal &amp; Country Rank - Australia. Viewed 23 September 2021, &lt;https://www.scimagojr.com/countrysearch.php?country=AU&gt;."},"properties":{"noteIndex":37},"schema":"https://github.com/citation-style-language/schema/raw/master/csl-citation.json"}</w:instrText>
      </w:r>
      <w:r w:rsidRPr="003A675E">
        <w:fldChar w:fldCharType="separate"/>
      </w:r>
      <w:r w:rsidRPr="00C77D92">
        <w:rPr>
          <w:noProof/>
        </w:rPr>
        <w:t>Scimago (2021) Journal &amp; Country Rank - Australia. Viewed 23 September 2021, &lt;https://www.scimagojr.com/countrysearch.php?country=AU&gt;.</w:t>
      </w:r>
      <w:r w:rsidRPr="003A675E">
        <w:fldChar w:fldCharType="end"/>
      </w:r>
    </w:p>
  </w:footnote>
  <w:footnote w:id="39">
    <w:p w14:paraId="65E4D6CC" w14:textId="28DB2558"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t xml:space="preserve">Journal articles </w:t>
      </w:r>
      <w:r w:rsidRPr="002F208C">
        <w:t xml:space="preserve">with Australian affiliated authors </w:t>
      </w:r>
      <w:r w:rsidRPr="00B0640C">
        <w:t xml:space="preserve">Provided by Springer Nature from Dimensions data. </w:t>
      </w:r>
    </w:p>
  </w:footnote>
  <w:footnote w:id="40">
    <w:p w14:paraId="17113C62" w14:textId="6691CF48"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t xml:space="preserve">Average </w:t>
      </w:r>
      <w:r w:rsidRPr="00B0640C">
        <w:t>annual growth rate for all Australian research outputs (2012-2020). Provided by Springer Nature from Dimensions data.</w:t>
      </w:r>
    </w:p>
  </w:footnote>
  <w:footnote w:id="41">
    <w:p w14:paraId="0B464123" w14:textId="6B0ED149"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publications.industry.gov.au/publications/australianinnovationsystemmonitor/science-and-research/research-output/index.html","accessed":{"date-parts":[["2021","9","23"]]},"author":[{"dropping-particle":"","family":"Department of Industry Science Energy and Resources","given":"","non-dropping-particle":"","parse-names":false,"suffix":""}],"id":"ITEM-1","issued":{"date-parts":[["0"]]},"title":"Research Output | Australian Innovation System Monitor","type":"webpage"},"uris":["http://www.mendeley.com/documents/?uuid=61ca1bc7-9194-3838-8e53-9e6992654f82"]}],"mendeley":{"formattedCitation":"Department of Industry Science Energy and Resources Research Output | Australian Innovation System Monitor. Viewed 23 September 2021, &lt;https://publications.industry.gov.au/publications/australianinnovationsystemmonitor/science-and-research/research-output/index.html&gt;.","manualFormatting":"Department of Industry Science Energy and Resources (n.d.) Research Output | Australian Innovation System Monitor. Viewed 23 September 2021, .","plainTextFormattedCitation":"Department of Industry Science Energy and Resources Research Output | Australian Innovation System Monitor. Viewed 23 September 2021, .","previouslyFormattedCitation":"Department of Industry Science Energy and Resources Research Output | Australian Innovation System Monitor. Viewed 23 September 2021, &lt;https://publications.industry.gov.au/publications/australianinnovationsystemmonitor/science-and-research/research-output/index.html&gt;."},"properties":{"noteIndex":40},"schema":"https://github.com/citation-style-language/schema/raw/master/csl-citation.json"}</w:instrText>
      </w:r>
      <w:r w:rsidRPr="00B0640C">
        <w:fldChar w:fldCharType="separate"/>
      </w:r>
      <w:r w:rsidRPr="00B81A87">
        <w:rPr>
          <w:noProof/>
        </w:rPr>
        <w:t>Department of Industry Science Energy and Resources</w:t>
      </w:r>
      <w:r>
        <w:rPr>
          <w:noProof/>
        </w:rPr>
        <w:t xml:space="preserve"> (n.d.)</w:t>
      </w:r>
      <w:r w:rsidRPr="00B81A87">
        <w:rPr>
          <w:noProof/>
        </w:rPr>
        <w:t xml:space="preserve"> Research Output | Australian Innovation System Monitor. Viewed 23 September 2021, &lt;https://publications.industry.gov.au/publications/australianinnovationsystemmonitor/science-and-research/research-output/index.html&gt;.</w:t>
      </w:r>
      <w:r w:rsidRPr="00B0640C">
        <w:fldChar w:fldCharType="end"/>
      </w:r>
    </w:p>
  </w:footnote>
  <w:footnote w:id="42">
    <w:p w14:paraId="213DA4C6" w14:textId="662E9D5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{"citationItems":[{"id":"ITEM-1","itemData":{"URL":"https://www.arc.gov.au/excellence-research-australia/era-2018-journal-list","accessed":{"date-parts":[["2021","9","23"]]},"author":[{"dropping-particle":"","family":"Australian Research Council","given":"","non-dropping-particle":"","parse-names":false,"suffix":""}],"id":"ITEM-1","issued":{"date-parts":[["2019"]]},"title":"ERA 2018 Journal List","type":"webpage"},"uris":["http://www.mendeley.com/documents/?uuid=a3e96e62-0208-3568-baa7-c153e7945f1c"]}],"mendeley":{"formattedCitation":"Australian Research Council (2019) ERA 2018 Journal List. Viewed 23 September 2021, &lt;https://www.arc.gov.au/excellence-research-australia/era-2018-journal-list&gt;.","plainTextFormattedCitation":"Australian Research Council (2019) ERA 2018 Journal List. Viewed 23 September 2021, .","previouslyFormattedCitation":"Australian Research Council (2019) ERA 2018 Journal List. Viewed 23 September 2021, &lt;https://www.arc.gov.au/excellence-research-australia/era-2018-journal-list&gt;."},"properties":{"noteIndex":41},"schema":"https://github.com/citation-style-language/schema/raw/master/csl-citation.json"}</w:instrText>
      </w:r>
      <w:r w:rsidRPr="00B0640C">
        <w:fldChar w:fldCharType="separate"/>
      </w:r>
      <w:r w:rsidRPr="00C77D92">
        <w:rPr>
          <w:noProof/>
        </w:rPr>
        <w:t>Australian Research Council (2019) ERA 2018 Journal List. Viewed 23 September 2021, &lt;https://www.arc.gov.au/excellence-research-australia/era-2018-journal-list&gt;.</w:t>
      </w:r>
      <w:r w:rsidRPr="00B0640C">
        <w:fldChar w:fldCharType="end"/>
      </w:r>
    </w:p>
  </w:footnote>
  <w:footnote w:id="43">
    <w:p w14:paraId="54E6F73A"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Elsevier, Springer Nature, Wiley and Taylor and Francis published 54% of Australian-affiliated journal articles in Web of Science Core Collection. (2011-2020). Viewed 4 August 2021, &lt;</w:t>
      </w:r>
      <w:hyperlink r:id="rId1" w:history="1">
        <w:r w:rsidRPr="00B0640C">
          <w:rPr>
            <w:rStyle w:val="Hyperlink"/>
            <w:rFonts w:asciiTheme="minorHAnsi" w:hAnsiTheme="minorHAnsi" w:cstheme="minorHAnsi"/>
            <w:szCs w:val="16"/>
          </w:rPr>
          <w:t>https://www.webofscience.com/wos/woscc/summary/9ed172b7-6171-4679-ad51-8d7d5484ed0a-030f2c86/relevance/1</w:t>
        </w:r>
      </w:hyperlink>
      <w:r w:rsidRPr="00B0640C">
        <w:rPr>
          <w:rStyle w:val="Hyperlink"/>
          <w:rFonts w:asciiTheme="minorHAnsi" w:hAnsiTheme="minorHAnsi" w:cstheme="minorHAnsi"/>
          <w:szCs w:val="16"/>
        </w:rPr>
        <w:t>&gt;</w:t>
      </w:r>
    </w:p>
  </w:footnote>
  <w:footnote w:id="44">
    <w:p w14:paraId="3BA747DC" w14:textId="43E7B9FB"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t>1137</w:t>
      </w:r>
      <w:r w:rsidRPr="00B0640C">
        <w:t xml:space="preserve"> publishers published an average of 1 or more Australian-affiliated journal articles per year in the Web of Science Core Collection. (2011-2020). Viewed 4 August 2021, &lt;</w:t>
      </w:r>
      <w:hyperlink r:id="rId2" w:history="1">
        <w:r w:rsidRPr="00B0640C">
          <w:rPr>
            <w:rStyle w:val="Hyperlink"/>
            <w:rFonts w:asciiTheme="minorHAnsi" w:hAnsiTheme="minorHAnsi" w:cstheme="minorHAnsi"/>
            <w:szCs w:val="16"/>
          </w:rPr>
          <w:t>https://www.webofscience.com/wos/woscc/summary/9ed172b7-6171-4679-ad51-8d7d5484ed0a-030f2c86/relevance/1</w:t>
        </w:r>
      </w:hyperlink>
      <w:r w:rsidRPr="00B0640C">
        <w:rPr>
          <w:rStyle w:val="Hyperlink"/>
          <w:rFonts w:asciiTheme="minorHAnsi" w:hAnsiTheme="minorHAnsi" w:cstheme="minorHAnsi"/>
          <w:szCs w:val="16"/>
        </w:rPr>
        <w:t>&gt;</w:t>
      </w:r>
    </w:p>
  </w:footnote>
  <w:footnote w:id="45">
    <w:p w14:paraId="1B7C89F5" w14:textId="72C65F2C"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Percentages of all Australian research outputs (not limited to only journal articles) published between 20</w:t>
      </w:r>
      <w:r>
        <w:t>0</w:t>
      </w:r>
      <w:r w:rsidRPr="00B0640C">
        <w:t>0-2020.</w:t>
      </w:r>
      <w:r>
        <w:t xml:space="preserve"> Gold or hybrid open access and green open access figures are not mutually exclusive; gold or hybrid research outputs can also be uploaded in repositories.</w:t>
      </w:r>
      <w:r w:rsidRPr="00B0640C">
        <w:t xml:space="preserv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&lt;http://openknowledge.community/dashboards/coki-open-access-dashboard/&gt;.","manualFormatting":"Curtin Open Knowledge Institute (2021) COKI Open Access Dashboard. Viewed 21 October 2021, .","plainTextFormattedCitation":"Curtin Open Knowledge Institute (2021) COKI Open Access Dashboard. .","previouslyFormattedCitation":"Curtin Open Knowledge Institute (2021) COKI Open Access Dashboard. &lt;http://openknowledge.community/dashboards/coki-open-access-dashboard/&gt;."},"properties":{"noteIndex":44},"schema":"https://github.com/citation-style-language/schema/raw/master/csl-citation.json"}</w:instrText>
      </w:r>
      <w:r w:rsidRPr="00B0640C">
        <w:fldChar w:fldCharType="separate"/>
      </w:r>
      <w:r w:rsidRPr="00A00E1E">
        <w:rPr>
          <w:noProof/>
        </w:rPr>
        <w:t xml:space="preserve">Curtin Open Knowledge Institute (2021) COKI Open Access Dashboard. </w:t>
      </w:r>
      <w:r>
        <w:rPr>
          <w:noProof/>
        </w:rPr>
        <w:t xml:space="preserve">Viewed 21 October 2021, </w:t>
      </w:r>
      <w:r w:rsidRPr="00A00E1E">
        <w:rPr>
          <w:noProof/>
        </w:rPr>
        <w:t>&lt;http://openknowledge.community/dashboards/coki-open-access-dashboard/&gt;.</w:t>
      </w:r>
      <w:r w:rsidRPr="00B0640C">
        <w:fldChar w:fldCharType="end"/>
      </w:r>
    </w:p>
  </w:footnote>
  <w:footnote w:id="46">
    <w:p w14:paraId="13C536FA"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Each of these figures are expected to be underestimates of total Australian expenditure. See Appendix B for more details. </w:t>
      </w:r>
    </w:p>
  </w:footnote>
  <w:footnote w:id="47">
    <w:p w14:paraId="0FDAC66D" w14:textId="2A136369"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publons.com/country/","accessed":{"date-parts":[["2021","10","20"]]},"author":[{"dropping-particle":"","family":"Clarivate","given":"","non-dropping-particle":"","parse-names":false,"suffix":""}],"id":"ITEM-1","issued":{"date-parts":[["2021"]]},"title":"Publons: Countries/Regions","type":"webpage"},"uris":["http://www.mendeley.com/documents/?uuid=4253dd26-17ca-4522-b7b7-5f941477450c","http://www.mendeley.com/documents/?uuid=104ef669-55cf-4a07-8dbf-128bcb3cd20e"]}],"mendeley":{"formattedCitation":"Clarivate (2021) Publons: Countries/Regions. Viewed 20 October 2021, &lt;https://publons.com/country/&gt;.","plainTextFormattedCitation":"Clarivate (2021) Publons: Countries/Regions. Viewed 20 October 2021, .","previouslyFormattedCitation":"Clarivate (2021) Publons: Countries/Regions. Viewed 20 October 2021, &lt;https://publons.com/country/&gt;."},"properties":{"noteIndex":46},"schema":"https://github.com/citation-style-language/schema/raw/master/csl-citation.json"}</w:instrText>
      </w:r>
      <w:r w:rsidRPr="00B0640C">
        <w:fldChar w:fldCharType="separate"/>
      </w:r>
      <w:r w:rsidRPr="00C77D92">
        <w:rPr>
          <w:noProof/>
        </w:rPr>
        <w:t>Clarivate (2021) Publons: Countries/Regions. Viewed 20 October 2021, &lt;https://publons.com/country/&gt;.</w:t>
      </w:r>
      <w:r w:rsidRPr="00B0640C">
        <w:fldChar w:fldCharType="end"/>
      </w:r>
    </w:p>
  </w:footnote>
  <w:footnote w:id="48">
    <w:p w14:paraId="56FB0083"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Lower bound assumes 4 hours of work per review at a wage of $60/hr, upper bound assumes 6 hours of work per review at a wage of $80/hr.</w:t>
      </w:r>
    </w:p>
  </w:footnote>
  <w:footnote w:id="49">
    <w:p w14:paraId="661EB003"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Publication outputs from Australia in 2020 including 116,255 (86%) journal articles. Provided by Springer Nature from Dimensions data.</w:t>
      </w:r>
    </w:p>
  </w:footnote>
  <w:footnote w:id="50">
    <w:p w14:paraId="42536098" w14:textId="3D009382" w:rsidR="00597B45" w:rsidRPr="00B0640C" w:rsidRDefault="00597B45" w:rsidP="00553A5D">
      <w:pPr>
        <w:pStyle w:val="FootnoteText"/>
        <w:jc w:val="left"/>
        <w:rPr>
          <w:highlight w:val="yellow"/>
        </w:rPr>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publications.industry.gov.au/publications/australianinnovationsystemmonitor/science-and-research/research-output/index.html","accessed":{"date-parts":[["2021","9","23"]]},"author":[{"dropping-particle":"","family":"Department of Industry Science Energy and Resources","given":"","non-dropping-particle":"","parse-names":false,"suffix":""}],"id":"ITEM-1","issued":{"date-parts":[["0"]]},"title":"Research Output | Australian Innovation System Monitor","type":"webpage"},"uris":["http://www.mendeley.com/documents/?uuid=61ca1bc7-9194-3838-8e53-9e6992654f82"]}],"mendeley":{"formattedCitation":"Department of Industry Science Energy and Resources Research Output | Australian Innovation System Monitor. Viewed 23 September 2021, &lt;https://publications.industry.gov.au/publications/australianinnovationsystemmonitor/science-and-research/research-output/index.html&gt;.","manualFormatting":"Department of Industry Science Energy and Resources (n.d.) Research Output | Australian Innovation System Monitor. Viewed 23 September 2021, .","plainTextFormattedCitation":"Department of Industry Science Energy and Resources Research Output | Australian Innovation System Monitor. Viewed 23 September 2021, .","previouslyFormattedCitation":"Department of Industry Science Energy and Resources Research Output | Australian Innovation System Monitor. Viewed 23 September 2021, &lt;https://publications.industry.gov.au/publications/australianinnovationsystemmonitor/science-and-research/research-output/index.html&gt;."},"properties":{"noteIndex":49},"schema":"https://github.com/citation-style-language/schema/raw/master/csl-citation.json"}</w:instrText>
      </w:r>
      <w:r w:rsidRPr="00B0640C">
        <w:fldChar w:fldCharType="separate"/>
      </w:r>
      <w:r w:rsidRPr="00B81A87">
        <w:rPr>
          <w:noProof/>
        </w:rPr>
        <w:t>Department of Industry Science Energy and Resources</w:t>
      </w:r>
      <w:r>
        <w:rPr>
          <w:noProof/>
        </w:rPr>
        <w:t xml:space="preserve"> (n.d.)</w:t>
      </w:r>
      <w:r w:rsidRPr="00B81A87">
        <w:rPr>
          <w:noProof/>
        </w:rPr>
        <w:t xml:space="preserve"> Research Output | Australian Innovation System Monitor. Viewed 23 September 2021, &lt;https://publications.industry.gov.au/publications/australianinnovationsystemmonitor/science-and-research/research-output/index.html&gt;.</w:t>
      </w:r>
      <w:r w:rsidRPr="00B0640C">
        <w:fldChar w:fldCharType="end"/>
      </w:r>
    </w:p>
  </w:footnote>
  <w:footnote w:id="51">
    <w:p w14:paraId="13AD8A94" w14:textId="1CDEF829"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Journals in the ERA list publish original research and were active between 1 January 2011 – 31 December 2016. </w:t>
      </w:r>
      <w:r w:rsidRPr="00B0640C">
        <w:fldChar w:fldCharType="begin" w:fldLock="1"/>
      </w:r>
      <w:r>
        <w:instrText>ADDIN CSL_CITATION {"citationItems":[{"id":"ITEM-1","itemData":{"URL":"https://www.arc.gov.au/excellence-research-australia/era-2018-journal-list","accessed":{"date-parts":[["2021","9","23"]]},"author":[{"dropping-particle":"","family":"Australian Research Council","given":"","non-dropping-particle":"","parse-names":false,"suffix":""}],"id":"ITEM-1","issued":{"date-parts":[["2019"]]},"title":"ERA 2018 Journal List","type":"webpage"},"uris":["http://www.mendeley.com/documents/?uuid=a3e96e62-0208-3568-baa7-c153e7945f1c"]}],"mendeley":{"formattedCitation":"Australian Research Council (2019) ERA 2018 Journal List. Viewed 23 September 2021, &lt;https://www.arc.gov.au/excellence-research-australia/era-2018-journal-list&gt;.","plainTextFormattedCitation":"Australian Research Council (2019) ERA 2018 Journal List. Viewed 23 September 2021, .","previouslyFormattedCitation":"Australian Research Council (2019) ERA 2018 Journal List. Viewed 23 September 2021, &lt;https://www.arc.gov.au/excellence-research-australia/era-2018-journal-list&gt;."},"properties":{"noteIndex":50},"schema":"https://github.com/citation-style-language/schema/raw/master/csl-citation.json"}</w:instrText>
      </w:r>
      <w:r w:rsidRPr="00B0640C">
        <w:fldChar w:fldCharType="separate"/>
      </w:r>
      <w:r w:rsidRPr="00C77D92">
        <w:rPr>
          <w:noProof/>
        </w:rPr>
        <w:t>Australian Research Council (2019) ERA 2018 Journal List. Viewed 23 September 2021, &lt;https://www.arc.gov.au/excellence-research-australia/era-2018-journal-list&gt;.</w:t>
      </w:r>
      <w:r w:rsidRPr="00B0640C">
        <w:fldChar w:fldCharType="end"/>
      </w:r>
    </w:p>
  </w:footnote>
  <w:footnote w:id="52">
    <w:p w14:paraId="03A9FDB3" w14:textId="11585956"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{"citationItems":[{"id":"ITEM-1","itemData":{"URL":"https://www.publishers.asn.au/sectors-committees/sectors-committees/scholarly-and-journal-publishing-committee","accessed":{"date-parts":[["2021","9","23"]]},"author":[{"dropping-particle":"","family":"Australian Publishers Association","given":"","non-dropping-particle":"","parse-names":false,"suffix":""}],"id":"ITEM-1","issued":{"date-parts":[["0"]]},"title":"Scholarly and Journal Publishing Committee","type":"webpage"},"uris":["http://www.mendeley.com/documents/?uuid=a75b5b7f-5128-327c-8a1e-9d6cc0d777b7"]}],"mendeley":{"formattedCitation":"Australian Publishers Association Scholarly and Journal Publishing Committee. Viewed 23 September 2021, &lt;https://www.publishers.asn.au/sectors-committees/sectors-committees/scholarly-and-journal-publishing-committee&gt;.","manualFormatting":"Australian Publishers Association (n.d.) Scholarly and Journal Publishing Committee. Viewed 23 September 2021, .","plainTextFormattedCitation":"Australian Publishers Association Scholarly and Journal Publishing Committee. Viewed 23 September 2021, .","previouslyFormattedCitation":"Australian Publishers Association Scholarly and Journal Publishing Committee. Viewed 23 September 2021, &lt;https://www.publishers.asn.au/sectors-committees/sectors-committees/scholarly-and-journal-publishing-committee&gt;."},"properties":{"noteIndex":51},"schema":"https://github.com/citation-style-language/schema/raw/master/csl-citation.json"}</w:instrText>
      </w:r>
      <w:r w:rsidRPr="00B0640C">
        <w:fldChar w:fldCharType="separate"/>
      </w:r>
      <w:r w:rsidRPr="00B81A87">
        <w:rPr>
          <w:noProof/>
        </w:rPr>
        <w:t xml:space="preserve">Australian Publishers Association </w:t>
      </w:r>
      <w:r>
        <w:rPr>
          <w:noProof/>
        </w:rPr>
        <w:t xml:space="preserve">(n.d.) </w:t>
      </w:r>
      <w:r w:rsidRPr="00B81A87">
        <w:rPr>
          <w:noProof/>
        </w:rPr>
        <w:t>Scholarly and Journal Publishing Committee. Viewed 23 September 2021, &lt;https://www.publishers.asn.au/sectors-committees/sectors-committees/scholarly-and-journal-publishing-committee&gt;.</w:t>
      </w:r>
      <w:r w:rsidRPr="00B0640C">
        <w:fldChar w:fldCharType="end"/>
      </w:r>
    </w:p>
  </w:footnote>
  <w:footnote w:id="53">
    <w:p w14:paraId="2B767CC4" w14:textId="3F554949"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Because the publishing market is so concentrated, a logarithmic scale has been used for the vertical axis. Please note that this data set has not been cleaned and may contain some duplicates (see also </w:t>
      </w:r>
      <w:r w:rsidRPr="00B0640C">
        <w:fldChar w:fldCharType="begin"/>
      </w:r>
      <w:r w:rsidRPr="00B0640C">
        <w:instrText xml:space="preserve"> REF _Ref86328926 \h  \* MERGEFORMAT </w:instrText>
      </w:r>
      <w:r w:rsidRPr="00B0640C">
        <w:fldChar w:fldCharType="separate"/>
      </w:r>
      <w:r w:rsidR="007E283B">
        <w:t xml:space="preserve">Figure </w:t>
      </w:r>
      <w:r w:rsidR="007E283B">
        <w:rPr>
          <w:noProof/>
        </w:rPr>
        <w:t>11</w:t>
      </w:r>
      <w:r w:rsidRPr="00B0640C">
        <w:fldChar w:fldCharType="end"/>
      </w:r>
      <w:r w:rsidRPr="00B0640C">
        <w:t>). Web of Science Core Collection. Country=Australia, Year range: 2011-2020, Document types: Articles. Accessed 4 August 2021, &lt;https://www.webofscience.com/wos/woscc/summary/8cb32269-dfbe-4e21-b01a-b8e9c9f470e3-0ed289f1/relevance/1</w:t>
      </w:r>
      <w:r w:rsidRPr="00B0640C">
        <w:rPr>
          <w:rStyle w:val="Hyperlink"/>
          <w:rFonts w:asciiTheme="minorHAnsi" w:hAnsiTheme="minorHAnsi" w:cstheme="minorHAnsi"/>
          <w:szCs w:val="16"/>
        </w:rPr>
        <w:t>&gt;</w:t>
      </w:r>
    </w:p>
  </w:footnote>
  <w:footnote w:id="54">
    <w:p w14:paraId="7B9D42A4" w14:textId="023C613A"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ramond","given":"Stephen","non-dropping-particle":"","parse-names":false,"suffix":""},{"dropping-particle":"","family":"Barnes","given":"Cameron","non-dropping-particle":"","parse-names":false,"suffix":""},{"dropping-particle":"","family":"Lafferty","given":"Susan","non-dropping-particle":"","parse-names":false,"suffix":""},{"dropping-particle":"","family":"Barbour","given":"Virginia","non-dropping-particle":"","parse-names":false,"suffix":""},{"dropping-particle":"","family":"Booth","given":"Debbie","non-dropping-particle":"","parse-names":false,"suffix":""},{"dropping-particle":"","family":"Brown","given":"Karen","non-dropping-particle":"","parse-names":false,"suffix":""},{"dropping-particle":"","family":"Costello","given":"Dianne","non-dropping-particle":"","parse-names":false,"suffix":""},{"dropping-particle":"","family":"Croker","given":"Kate","non-dropping-particle":"","parse-names":false,"suffix":""},{"dropping-particle":"","family":"O'connor","given":"Robert","non-dropping-particle":"","parse-names":false,"suffix":""},{"dropping-particle":"","family":"Rolf","given":"Harry","non-dropping-particle":"","parse-names":false,"suffix":""},{"dropping-particle":"","family":"Ruthven","given":"Tom","non-dropping-particle":"","parse-names":false,"suffix":""},{"dropping-particle":"","family":"Scholfield","given":"Sally","non-dropping-particle":"","parse-names":false,"suffix":""}],"id":"ITEM-1","issued":{"date-parts":[["2019"]]},"title":"Fair, Affordable and Open Access to Knowledge: The CAUL Collection and Reporting of APC Information Project","type":"report"},"uris":["http://www.mendeley.com/documents/?uuid=bb864d40-f1ff-324f-a436-519f1190c769"]}],"mendeley":{"formattedCitation":"Cramond S, Barnes C, Lafferty S, Barbour V, Booth D, Brown K, Costello D, Croker K, O’connor R, Rolf H et al. (2019) Fair, Affordable and Open Access to Knowledge: The CAUL Collection and Reporting of APC Information Project.","plainTextFormattedCitation":"Cramond S, Barnes C, Lafferty S, Barbour V, Booth D, Brown K, Costello D, Croker K, O’connor R, Rolf H et al. (2019) Fair, Affordable and Open Access to Knowledge: The CAUL Collection and Reporting of APC Information Project.","previouslyFormattedCitation":"Cramond S, Barnes C, Lafferty S, Barbour V, Booth D, Brown K, Costello D, Croker K, O’connor R, Rolf H et al. (2019) Fair, Affordable and Open Access to Knowledge: The CAUL Collection and Reporting of APC Information Project."},"properties":{"noteIndex":53},"schema":"https://github.com/citation-style-language/schema/raw/master/csl-citation.json"}</w:instrText>
      </w:r>
      <w:r w:rsidRPr="00B0640C">
        <w:fldChar w:fldCharType="separate"/>
      </w:r>
      <w:r w:rsidRPr="0093165B">
        <w:rPr>
          <w:noProof/>
        </w:rPr>
        <w:t>Cramond S, Barnes C, Lafferty S, Barbour V, Booth D, Brown K, Costello D, Croker K, O’connor R, Rolf H et al. (2019) Fair, Affordable and Open Access to Knowledge: The CAUL Collection and Reporting of APC Information Project.</w:t>
      </w:r>
      <w:r w:rsidRPr="00B0640C">
        <w:fldChar w:fldCharType="end"/>
      </w:r>
    </w:p>
  </w:footnote>
  <w:footnote w:id="55">
    <w:p w14:paraId="02D9D5C3" w14:textId="1F6E4AD1" w:rsidR="00597B45" w:rsidRDefault="00597B45" w:rsidP="00553A5D">
      <w:pPr>
        <w:pStyle w:val="FootnoteText"/>
        <w:jc w:val="left"/>
      </w:pPr>
      <w:r>
        <w:rPr>
          <w:rStyle w:val="FootnoteReference"/>
        </w:rPr>
        <w:footnoteRef/>
      </w:r>
      <w:r>
        <w:t xml:space="preserve"> </w:t>
      </w:r>
      <w:r>
        <w:fldChar w:fldCharType="begin" w:fldLock="1"/>
      </w:r>
      <w:r>
        <w:instrText>ADDIN CSL_CITATION {"citationItems":[{"id":"ITEM-1","itemData":{"URL":"https://oaaustralasia.org/2021/05/25/what-are-the-different-types-of-open-access/","accessed":{"date-parts":[["2021","10","29"]]},"author":[{"dropping-particle":"","family":"Open Access Australasia","given":"","non-dropping-particle":"","parse-names":false,"suffix":""}],"id":"ITEM-1","issued":{"date-parts":[["2021"]]},"title":"What are the different types of open access?","type":"webpage"},"uris":["http://www.mendeley.com/documents/?uuid=acd1881c-a7fb-3581-ad64-95c9cf57bf55"]}],"mendeley":{"formattedCitation":"Open Access Australasia (2021) What are the different types of open access? Viewed 29 October 2021, &lt;https://oaaustralasia.org/2021/05/25/what-are-the-different-types-of-open-access/&gt;.","plainTextFormattedCitation":"Open Access Australasia (2021) What are the different types of open access? Viewed 29 October 2021, .","previouslyFormattedCitation":"Open Access Australasia (2021) What are the different types of open access? Viewed 29 October 2021, &lt;https://oaaustralasia.org/2021/05/25/what-are-the-different-types-of-open-access/&gt;."},"properties":{"noteIndex":54},"schema":"https://github.com/citation-style-language/schema/raw/master/csl-citation.json"}</w:instrText>
      </w:r>
      <w:r>
        <w:fldChar w:fldCharType="separate"/>
      </w:r>
      <w:r w:rsidRPr="00C77D92">
        <w:rPr>
          <w:noProof/>
        </w:rPr>
        <w:t>Open Access Australasia (2021) What are the different types of open access? Viewed 29 October 2021, &lt;https://oaaustralasia.org/2021/05/25/what-are-the-different-types-of-open-access/&gt;.</w:t>
      </w:r>
      <w:r>
        <w:fldChar w:fldCharType="end"/>
      </w:r>
    </w:p>
  </w:footnote>
  <w:footnote w:id="56">
    <w:p w14:paraId="38D9CD17" w14:textId="6AF2909D"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Committee."},"properties":{"noteIndex":55},"schema":"https://github.com/citation-style-language/schema/raw/master/csl-citation.json"}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57">
    <w:p w14:paraId="169DD0BC" w14:textId="76FBCB92"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scientific-publishing.webshop.elsevier.com/publication-process/difference-between-green-gold-open-access/","accessed":{"date-parts":[["2021","7","5"]]},"author":[{"dropping-particle":"","family":"Elsevier","given":"","non-dropping-particle":"","parse-names":false,"suffix":""}],"id":"ITEM-1","issued":{"date-parts":[["0"]]},"title":"Difference between Green and Gold Open Access ","type":"webpage"},"uris":["http://www.mendeley.com/documents/?uuid=e88e5732-de94-38b6-9016-b26f6f934b34"]}],"mendeley":{"formattedCitation":"Elsevier Difference between Green and Gold Open Access . Viewed 5 July 2021, &lt;https://scientific-publishing.webshop.elsevier.com/publication-process/difference-between-green-gold-open-access/&gt;.","manualFormatting":"Elsevier (n.d.) Difference between Green and Gold Open Access. Viewed 5 July 2021, .","plainTextFormattedCitation":"Elsevier Difference between Green and Gold Open Access . Viewed 5 July 2021, .","previouslyFormattedCitation":"Elsevier Difference between Green and Gold Open Access . Viewed 5 July 2021, &lt;https://scientific-publishing.webshop.elsevier.com/publication-process/difference-between-green-gold-open-access/&gt;."},"properties":{"noteIndex":56},"schema":"https://github.com/citation-style-language/schema/raw/master/csl-citation.json"}</w:instrText>
      </w:r>
      <w:r w:rsidRPr="00B0640C">
        <w:fldChar w:fldCharType="separate"/>
      </w:r>
      <w:r w:rsidRPr="00B81A87">
        <w:rPr>
          <w:noProof/>
        </w:rPr>
        <w:t xml:space="preserve">Elsevier </w:t>
      </w:r>
      <w:r>
        <w:rPr>
          <w:noProof/>
        </w:rPr>
        <w:t xml:space="preserve">(n.d.) </w:t>
      </w:r>
      <w:r w:rsidRPr="00B81A87">
        <w:rPr>
          <w:noProof/>
        </w:rPr>
        <w:t>Difference between Green and Gold Open Access. Viewed 5 July 2021, &lt;https://scientific-publishing.webshop.elsevier.com/publication-process/difference-between-green-gold-open-access/&gt;.</w:t>
      </w:r>
      <w:r w:rsidRPr="00B0640C">
        <w:fldChar w:fldCharType="end"/>
      </w:r>
    </w:p>
  </w:footnote>
  <w:footnote w:id="58">
    <w:p w14:paraId="37594D62" w14:textId="1C38DA88"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Open access is necessary unless on overarching contract prohibits this. </w:t>
      </w:r>
      <w:r w:rsidRPr="00B0640C">
        <w:fldChar w:fldCharType="begin" w:fldLock="1"/>
      </w:r>
      <w:r>
        <w:instrText>ADDIN CSL_CITATION {"citationItems":[{"id":"ITEM-1","itemData":{"URL":"https://www.arc.gov.au/policies-strategies/policy/arc-open-access-policy","accessed":{"date-parts":[["2021","6","25"]]},"author":[{"dropping-particle":"","family":"Australian Research Council","given":"","non-dropping-particle":"","parse-names":false,"suffix":""}],"id":"ITEM-1","issued":{"date-parts":[["2018"]]},"title":"ARC Open Access Policy","type":"webpage"},"uris":["http://www.mendeley.com/documents/?uuid=820d0590-daf3-33f4-93b0-a25657d617af"]}],"mendeley":{"formattedCitation":"Australian Research Council (2018) ARC Open Access Policy. Viewed 25 June 2021, &lt;https://www.arc.gov.au/policies-strategies/policy/arc-open-access-policy&gt;.","plainTextFormattedCitation":"Australian Research Council (2018) ARC Open Access Policy. Viewed 25 June 2021, .","previouslyFormattedCitation":"Australian Research Council (2018) ARC Open Access Policy. Viewed 25 June 2021, &lt;https://www.arc.gov.au/policies-strategies/policy/arc-open-access-policy&gt;."},"properties":{"noteIndex":57},"schema":"https://github.com/citation-style-language/schema/raw/master/csl-citation.json"}</w:instrText>
      </w:r>
      <w:r w:rsidRPr="00B0640C">
        <w:fldChar w:fldCharType="separate"/>
      </w:r>
      <w:r w:rsidRPr="00C77D92">
        <w:rPr>
          <w:noProof/>
        </w:rPr>
        <w:t>Australian Research Council (2018) ARC Open Access Policy. Viewed 25 June 2021, &lt;https://www.arc.gov.au/policies-strategies/policy/arc-open-access-policy&gt;.</w:t>
      </w:r>
      <w:r w:rsidRPr="00B0640C">
        <w:fldChar w:fldCharType="end"/>
      </w:r>
      <w:r w:rsidRPr="00B0640C">
        <w:t xml:space="preserve"> </w:t>
      </w:r>
    </w:p>
  </w:footnote>
  <w:footnote w:id="59">
    <w:p w14:paraId="77FA8942" w14:textId="02600160"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{"citationItems":[{"id":"ITEM-1","itemData":{"author":[{"dropping-particle":"","family":"National Health and Medical Research Council","given":"","non-dropping-particle":"","parse-names":false,"suffix":""}],"id":"ITEM-1","issued":{"date-parts":[["2018"]]},"title":"National Health and Medical Research Council Open Access Policy","type":"report"},"uris":["http://www.mendeley.com/documents/?uuid=10bfe162-c2f4-3766-8212-3e2421a8226a"]}],"mendeley":{"formattedCitation":"National Health and Medical Research Council (2018) National Health and Medical Research Council Open Access Policy.","plainTextFormattedCitation":"National Health and Medical Research Council (2018) National Health and Medical Research Council Open Access Policy.","previouslyFormattedCitation":"National Health and Medical Research Council (2018) National Health and Medical Research Council Open Access Policy."},"properties":{"noteIndex":58},"schema":"https://github.com/citation-style-language/schema/raw/master/csl-citation.json"}</w:instrText>
      </w:r>
      <w:r w:rsidRPr="00B0640C">
        <w:fldChar w:fldCharType="separate"/>
      </w:r>
      <w:r w:rsidRPr="0093165B">
        <w:rPr>
          <w:noProof/>
        </w:rPr>
        <w:t>National Health and Medical Research Council (2018) National Health and Medical Research Council Open Access Policy.</w:t>
      </w:r>
      <w:r w:rsidRPr="00B0640C">
        <w:fldChar w:fldCharType="end"/>
      </w:r>
      <w:r w:rsidRPr="00B0640C">
        <w:t xml:space="preserve"> </w:t>
      </w:r>
    </w:p>
  </w:footnote>
  <w:footnote w:id="60">
    <w:p w14:paraId="61708EF4" w14:textId="3D051C16"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{"citationItems":[{"id":"ITEM-1","itemData":{"author":[{"dropping-particle":"","family":"Australian FAIR Access Working Group","given":"","non-dropping-particle":"","parse-names":false,"suffix":""}],"id":"ITEM-1","issued":{"date-parts":[["2017"]]},"title":"Policy Statement on FAIR Access to Australia's Research Outputs","type":"article"},"uris":["http://www.mendeley.com/documents/?uuid=4f5452e4-62e5-360b-8860-577797bd4031"]}],"mendeley":{"formattedCitation":"Australian FAIR Access Working Group (2017) Policy Statement on FAIR Access to Australia’s Research Outputs.","plainTextFormattedCitation":"Australian FAIR Access Working Group (2017) Policy Statement on FAIR Access to Australia’s Research Outputs.","previouslyFormattedCitation":"Australian FAIR Access Working Group (2017) Policy Statement on FAIR Access to Australia’s Research Outputs."},"properties":{"noteIndex":59},"schema":"https://github.com/citation-style-language/schema/raw/master/csl-citation.json"}</w:instrText>
      </w:r>
      <w:r w:rsidRPr="00B0640C">
        <w:fldChar w:fldCharType="separate"/>
      </w:r>
      <w:r w:rsidRPr="0093165B">
        <w:rPr>
          <w:noProof/>
        </w:rPr>
        <w:t>Australian FAIR Access Working Group (2017) Policy Statement on FAIR Access to Australia’s Research Outputs.</w:t>
      </w:r>
      <w:r w:rsidRPr="00B0640C">
        <w:fldChar w:fldCharType="end"/>
      </w:r>
    </w:p>
  </w:footnote>
  <w:footnote w:id="61">
    <w:p w14:paraId="362908B9" w14:textId="195E45D1"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{"citationItems":[{"id":"ITEM-1","itemData":{"abstract":"Recent research demonstrates that Australia lags in providing open access to research outputs. In Australia, while the two major research funding bodies require open access of outputs from projects they fund, these bodies only fund a small proportion of research conducted. The major source of research and experimental development funding in Australian higher education is general university, or institutional, funding, and such funds are not subject to national funder open access policies. Thus, institutional policies and other institutional supports for open access are important in understanding Australia's OA position. The purpose of this paper is, therefore, to understand the characteristics of Australian institutional open access policies and to explore the extent they represent a coherent and unified approach to delivering and promoting open access in Australia. Open access policies were located using a systematic web search approach and then their contents were analysed. Only half of Australian universities were found to have an open access policy. There was a wide variation in language used, expressed intent of the policy and expectations of researchers. Few policies mention monitoring or compliance and only three mention consequences for non-compliance. While it is understandable that institutions develop their own policies, when language is used which does not reflect national and international understandings, when requirements are not clear and with consequences, policies are unlikely to contribute to understanding of open access, to uptake of the policy, or to ease of transferring understanding and practices between institutions. A more unified approach to open access is recommended.","author":[{"dropping-particle":"","family":"Wakeling","given":"Simon","non-dropping-particle":"","parse-names":false,"suffix":""},{"dropping-particle":"","family":"Kingsley","given":"Danny","non-dropping-particle":"","parse-names":false,"suffix":""},{"dropping-particle":"","family":"Jamali","given":"Hamid","non-dropping-particle":"","parse-names":false,"suffix":""},{"dropping-particle":"","family":"Kennan","given":"Mary Anne","non-dropping-particle":"","parse-names":false,"suffix":""},{"dropping-particle":"","family":"Jamali","given":"Hamid","non-dropping-particle":"","parse-names":false,"suffix":""},{"dropping-particle":"","family":"Sarrafzade","given":"Maryam","non-dropping-particle":"","parse-names":false,"suffix":""}],"container-title":"bioRxiv","id":"ITEM-1","issued":{"date-parts":[["2021"]]},"title":"Free for all, or free-for-all? A content analysis of Australian university open access policies","type":"article-journal"},"uris":["http://www.mendeley.com/documents/?uuid=6992c008-dccc-33ff-99e6-38bff98d4ee0"]}],"mendeley":{"formattedCitation":"Wakeling S, Kingsley D, Jamali H, Kennan MA, Jamali H and Sarrafzade M (2021) Free for all, or free-for-all? A content analysis of Australian university open access policies. bioRxiv .","plainTextFormattedCitation":"Wakeling S, Kingsley D, Jamali H, Kennan MA, Jamali H and Sarrafzade M (2021) Free for all, or free-for-all? A content analysis of Australian university open access policies. bioRxiv .","previouslyFormattedCitation":"Wakeling S, Kingsley D, Jamali H, Kennan MA, Jamali H and Sarrafzade M (2021) Free for all, or free-for-all? A content analysis of Australian university open access policies. bioRxiv ."},"properties":{"noteIndex":60},"schema":"https://github.com/citation-style-language/schema/raw/master/csl-citation.json"}</w:instrText>
      </w:r>
      <w:r w:rsidRPr="00B0640C">
        <w:fldChar w:fldCharType="separate"/>
      </w:r>
      <w:r w:rsidRPr="00114706">
        <w:rPr>
          <w:noProof/>
        </w:rPr>
        <w:t>Wakeling S, Kingsley D, Jamali H, Kennan MA, Jamali H and Sarrafzade M (2021) Free for all, or free-for-all? A content analysis of Australian university open access policies. bioRxiv .</w:t>
      </w:r>
      <w:r w:rsidRPr="00B0640C">
        <w:fldChar w:fldCharType="end"/>
      </w:r>
    </w:p>
  </w:footnote>
  <w:footnote w:id="62">
    <w:p w14:paraId="5F407221" w14:textId="079604D3"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This includes investment through the Australian Scheme for Higher Education Repositories and the related Implementation Assistance Program.</w:t>
      </w:r>
    </w:p>
  </w:footnote>
  <w:footnote w:id="63">
    <w:p w14:paraId="46673C6C"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Kirkman N, Haddow G (2020) Compliance with the first funder open access policy in Australia. Information Research, 24(4), paper 857. http://InformationR.net/ir/25-2/paper857.html</w:t>
      </w:r>
    </w:p>
  </w:footnote>
  <w:footnote w:id="64">
    <w:p w14:paraId="0185CC50" w14:textId="0E52766A"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Not all open access publications are available immediately and some are available as submitted and not peer reviewed.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&lt;http://openknowledge.community/dashboards/coki-open-access-dashboard/&gt;."},"properties":{"noteIndex":63},"schema":"https://github.com/citation-style-language/schema/raw/master/csl-citation.json"}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65">
    <w:p w14:paraId="04FBBAB6" w14:textId="04E59F3F"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See Appendix E for a description of common open access models. </w:t>
      </w:r>
      <w:r w:rsidR="008553CC">
        <w:t xml:space="preserve">Chart from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&lt;http://openknowledge.community/dashboards/coki-open-access-dashboard/&gt;."},"properties":{"noteIndex":64},"schema":"https://github.com/citation-style-language/schema/raw/master/csl-citation.json"}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66">
    <w:p w14:paraId="48367A96" w14:textId="6C5EE20A"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t>The term ‘p</w:t>
      </w:r>
      <w:r w:rsidRPr="00B0640C">
        <w:t>ublication</w:t>
      </w:r>
      <w:r>
        <w:t>s’</w:t>
      </w:r>
      <w:r w:rsidRPr="00B0640C">
        <w:t xml:space="preserve"> </w:t>
      </w:r>
      <w:r>
        <w:t>here includes</w:t>
      </w:r>
      <w:r w:rsidRPr="00B0640C">
        <w:t xml:space="preserve"> all research outputs with Crossref DOIs.</w:t>
      </w:r>
      <w:r>
        <w:t xml:space="preserve"> </w:t>
      </w:r>
      <w:r w:rsidRPr="00BD00A5">
        <w:t>Percentages do not sum to the total due to overlap</w:t>
      </w:r>
      <w:r w:rsidRPr="00B0640C">
        <w:t xml:space="preserv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&lt;http://openknowledge.community/dashboards/coki-open-access-dashboard/&gt;."},"properties":{"noteIndex":65},"schema":"https://github.com/citation-style-language/schema/raw/master/csl-citation.json"}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67">
    <w:p w14:paraId="5FDD9DB1" w14:textId="1480CB19" w:rsidR="008709E3" w:rsidRDefault="008709E3">
      <w:pPr>
        <w:pStyle w:val="FootnoteText"/>
      </w:pPr>
      <w:r>
        <w:rPr>
          <w:rStyle w:val="FootnoteReference"/>
        </w:rPr>
        <w:footnoteRef/>
      </w:r>
      <w:r>
        <w:t xml:space="preserve"> Clarivate </w:t>
      </w:r>
      <w:r w:rsidR="00D06721">
        <w:t>a</w:t>
      </w:r>
      <w:r>
        <w:t>nalysis (2021)</w:t>
      </w:r>
    </w:p>
  </w:footnote>
  <w:footnote w:id="68">
    <w:p w14:paraId="7AFEEADA" w14:textId="39BAB7E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CSIRO analysis using average yearly growth in “open” and “not open” publications over the last 10 years (2011-2020) derived from the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&lt;http://openknowledge.community/dashboards/coki-open-access-dashboard/&gt;."},"properties":{"noteIndex":66},"schema":"https://github.com/citation-style-language/schema/raw/master/csl-citation.json"}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69">
    <w:p w14:paraId="2084963F" w14:textId="153C1E60"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t>As above, the term p</w:t>
      </w:r>
      <w:r w:rsidRPr="00FF5A02">
        <w:t>ublicatio</w:t>
      </w:r>
      <w:r>
        <w:t>ns here includes all</w:t>
      </w:r>
      <w:r w:rsidRPr="00FF5A02">
        <w:t xml:space="preserve"> research outputs with Crossref DOIs.</w:t>
      </w:r>
      <w:r w:rsidRPr="00B0640C">
        <w:t xml:space="preserv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&lt;http://openknowledge.community/dashboards/coki-open-access-dashboard/&gt;."},"properties":{"noteIndex":67},"schema":"https://github.com/citation-style-language/schema/raw/master/csl-citation.json"}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70">
    <w:p w14:paraId="19EAC83C"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Further details on the survey methodology and results are included in Appendix B.</w:t>
      </w:r>
    </w:p>
  </w:footnote>
  <w:footnote w:id="71">
    <w:p w14:paraId="7E53635D" w14:textId="6035A5A9" w:rsidR="00597B45" w:rsidRPr="00B0640C" w:rsidRDefault="00597B45" w:rsidP="002249EC">
      <w:pPr>
        <w:pStyle w:val="FootnoteText"/>
        <w:jc w:val="left"/>
      </w:pPr>
      <w:r w:rsidRPr="00B0640C">
        <w:rPr>
          <w:rStyle w:val="FootnoteReference"/>
          <w:rFonts w:asciiTheme="minorHAnsi" w:hAnsiTheme="minorHAnsi" w:cstheme="minorHAnsi"/>
          <w:szCs w:val="16"/>
        </w:rPr>
        <w:footnoteRef/>
      </w:r>
      <w:r w:rsidRPr="00B0640C">
        <w:t xml:space="preserve"> A conservative estimate calculated for the 76,328 verified peer reviews provided by Australian reviewers in the last 12 months by assuming a lower bound of 4 hours of work per review at a wage of $60/hr, and an upper bound of 6 hours of work per review at a wage of $80/hr. Peer review numbers were sourced from </w:t>
      </w:r>
      <w:r w:rsidRPr="00B0640C">
        <w:fldChar w:fldCharType="begin" w:fldLock="1"/>
      </w:r>
      <w:r>
        <w:instrText>ADDIN CSL_CITATION {"citationItems":[{"id":"ITEM-1","itemData":{"author":[{"dropping-particle":"","family":"Clarivate","given":"","non-dropping-particle":"","parse-names":false,"suffix":""}],"id":"ITEM-1","issued":{"date-parts":[["2021"]]},"title":"Publons: Countries/Regions","type":"webpage"},"uris":["http://www.mendeley.com/documents/?uuid=104ef669-55cf-4a07-8dbf-128bcb3cd20e","http://www.mendeley.com/documents/?uuid=4253dd26-17ca-4522-b7b7-5f941477450c"]}],"mendeley":{"formattedCitation":"Clarivate (2021) Publons: Countries/Regions.","plainTextFormattedCitation":"Clarivate (2021) Publons: Countries/Regions.","previouslyFormattedCitation":"Clarivate (2021) Publons: Countries/Regions."},"properties":{"noteIndex":69},"schema":"https://github.com/citation-style-language/schema/raw/master/csl-citation.json"}</w:instrText>
      </w:r>
      <w:r w:rsidRPr="00B0640C">
        <w:fldChar w:fldCharType="separate"/>
      </w:r>
      <w:r w:rsidRPr="00B0640C">
        <w:rPr>
          <w:noProof/>
        </w:rPr>
        <w:t>Clarivate (2021) Publons: Countries/Regions.</w:t>
      </w:r>
      <w:r w:rsidRPr="00B0640C">
        <w:fldChar w:fldCharType="end"/>
      </w:r>
    </w:p>
  </w:footnote>
  <w:footnote w:id="72">
    <w:p w14:paraId="7C7713EF" w14:textId="2CB06AB8" w:rsidR="00597B45" w:rsidRPr="00B0640C" w:rsidRDefault="00597B45" w:rsidP="00934282">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Committee."},"properties":{"noteIndex":70},"schema":"https://github.com/citation-style-language/schema/raw/master/csl-citation.json"}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73">
    <w:p w14:paraId="7F44BBD8" w14:textId="75D33D48" w:rsidR="00597B45" w:rsidRPr="00B0640C" w:rsidRDefault="00597B45" w:rsidP="00934282">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&lt;http://openknowledge.community/dashboards/coki-open-access-dashboard/&gt;."},"properties":{"noteIndex":71},"schema":"https://github.com/citation-style-language/schema/raw/master/csl-citation.json"}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74">
    <w:p w14:paraId="0AE74FC6" w14:textId="1506E778" w:rsidR="00597B45" w:rsidRPr="00B0640C" w:rsidRDefault="00597B45" w:rsidP="00934282">
      <w:pPr>
        <w:pStyle w:val="FootnoteText"/>
        <w:jc w:val="left"/>
      </w:pPr>
      <w:r w:rsidRPr="00B0640C">
        <w:rPr>
          <w:rStyle w:val="FootnoteReference"/>
          <w:rFonts w:asciiTheme="minorHAnsi" w:hAnsiTheme="minorHAnsi" w:cstheme="minorHAnsi"/>
          <w:szCs w:val="16"/>
        </w:rPr>
        <w:footnoteRef/>
      </w:r>
      <w:r w:rsidRPr="00B0640C">
        <w:t xml:space="preserve"> For example, in 2021, CSIRO struck a deal for a one-year pilot read</w:t>
      </w:r>
      <w:r>
        <w:t>-</w:t>
      </w:r>
      <w:r w:rsidRPr="00B0640C">
        <w:t>and</w:t>
      </w:r>
      <w:r>
        <w:t>-</w:t>
      </w:r>
      <w:r w:rsidRPr="00B0640C">
        <w:t>publish agreement with the Royal Society of Chemistry and CAUL negotiated read</w:t>
      </w:r>
      <w:r>
        <w:t>-</w:t>
      </w:r>
      <w:r w:rsidRPr="00B0640C">
        <w:t>and</w:t>
      </w:r>
      <w:r>
        <w:t>-</w:t>
      </w:r>
      <w:r w:rsidRPr="00B0640C">
        <w:t xml:space="preserve">publish agreements with Cambridge University Press and Springer Nature. </w:t>
      </w:r>
    </w:p>
  </w:footnote>
  <w:footnote w:id="75">
    <w:p w14:paraId="5DCCB62F" w14:textId="77777777" w:rsidR="00597B45" w:rsidRPr="00B0640C" w:rsidRDefault="00597B45" w:rsidP="006425B7">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&lt;http://openknowledge.community/dashboards/coki-open-access-dashboard/&gt;."},"properties":{"noteIndex":73},"schema":"https://github.com/citation-style-language/schema/raw/master/csl-citation.json"}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76">
    <w:p w14:paraId="7FCECAA7" w14:textId="082B6E69"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The proposed Australian model would include access to all reputable, high quality, peer reviewed journal articles in all disciplines, from a diverse range of publishers, including small publishers, without an additional payment by Australian </w:t>
      </w:r>
      <w:r>
        <w:t>users</w:t>
      </w:r>
      <w:r w:rsidRPr="00B0640C">
        <w:t>.</w:t>
      </w:r>
      <w:r>
        <w:t xml:space="preserve"> However, there are</w:t>
      </w:r>
      <w:r w:rsidRPr="00B0640C">
        <w:t xml:space="preserve"> outstanding design considerations related to the definition of eligible</w:t>
      </w:r>
      <w:r>
        <w:t xml:space="preserve"> ‘Australian</w:t>
      </w:r>
      <w:r w:rsidRPr="00B0640C">
        <w:t xml:space="preserve"> users</w:t>
      </w:r>
      <w:r>
        <w:t>’</w:t>
      </w:r>
      <w:r w:rsidRPr="00B0640C">
        <w:t xml:space="preserve"> (see</w:t>
      </w:r>
      <w:r w:rsidR="0019334D">
        <w:t xml:space="preserve"> 4.3.2</w:t>
      </w:r>
      <w:r w:rsidRPr="00B0640C">
        <w:t>).</w:t>
      </w:r>
    </w:p>
  </w:footnote>
  <w:footnote w:id="77">
    <w:p w14:paraId="3B4155FD"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Further work is needed to define the criteria by which journal articles are considered ‘Australian’ for the purposes of this model.</w:t>
      </w:r>
    </w:p>
  </w:footnote>
  <w:footnote w:id="78">
    <w:p w14:paraId="32B02A63"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For example, CSIRO Publishing has negotiated uncapped transformative agreements with some organisations. </w:t>
      </w:r>
    </w:p>
  </w:footnote>
  <w:footnote w:id="79">
    <w:p w14:paraId="2B56F6C0"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Typically research institutions paying publish-and-read charges per article will get access, but industry, government and other stakeholders will not).</w:t>
      </w:r>
    </w:p>
  </w:footnote>
  <w:footnote w:id="80">
    <w:p w14:paraId="3C60A325" w14:textId="77590C06" w:rsidR="00597B45" w:rsidRDefault="00597B45" w:rsidP="00553A5D">
      <w:pPr>
        <w:pStyle w:val="FootnoteText"/>
        <w:jc w:val="left"/>
      </w:pPr>
      <w:r>
        <w:rPr>
          <w:rStyle w:val="FootnoteReference"/>
        </w:rPr>
        <w:footnoteRef/>
      </w:r>
      <w:r>
        <w:t xml:space="preserve"> See glossary.</w:t>
      </w:r>
    </w:p>
  </w:footnote>
  <w:footnote w:id="81">
    <w:p w14:paraId="6A3F9201" w14:textId="634CC018"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Barneveld-Biesma","given":"Annemieke","non-dropping-particle":"Van","parse-names":false,"suffix":""},{"dropping-particle":"","family":"Campbell","given":"Colleen","non-dropping-particle":"","parse-names":false,"suffix":""},{"dropping-particle":"","family":"Dujso","given":"Elma","non-dropping-particle":"","parse-names":false,"suffix":""},{"dropping-particle":"","family":"Ligtvoet","given":"Andreas","non-dropping-particle":"","parse-names":false,"suffix":""},{"dropping-particle":"","family":"Scholten","given":"Chiel","non-dropping-particle":"","parse-names":false,"suffix":""},{"dropping-particle":"","family":"Velten","given":"Lennart","non-dropping-particle":"","parse-names":false,"suffix":""}],"id":"ITEM-1","issued":{"date-parts":[["2020"]]},"title":"Read &amp; Publish contracts in the context of a dynamic scholarly publishing system: A study on future scenarios for the scholarly publishing system","type":"report"},"uris":["http://www.mendeley.com/documents/?uuid=ae90de9e-3ddb-31e4-904b-5ede9300e8d7"]}],"mendeley":{"formattedCitation":"Van Barneveld-Biesma A, Campbell C, Dujso E, Ligtvoet A, Scholten C and Velten L (2020) Read &amp; Publish contracts in the context of a dynamic scholarly publishing system: A study on future scenarios for the scholarly publishing system.","plainTextFormattedCitation":"Van Barneveld-Biesma A, Campbell C, Dujso E, Ligtvoet A, Scholten C and Velten L (2020) Read &amp; Publish contracts in the context of a dynamic scholarly publishing system: A study on future scenarios for the scholarly publishing system.","previouslyFormattedCitation":"Van Barneveld-Biesma A, Campbell C, Dujso E, Ligtvoet A, Scholten C and Velten L (2020) Read &amp; Publish contracts in the context of a dynamic scholarly publishing system: A study on future scenarios for the scholarly publishing system."},"properties":{"noteIndex":79},"schema":"https://github.com/citation-style-language/schema/raw/master/csl-citation.json"}</w:instrText>
      </w:r>
      <w:r w:rsidRPr="00B0640C">
        <w:fldChar w:fldCharType="separate"/>
      </w:r>
      <w:r w:rsidRPr="00B0640C">
        <w:rPr>
          <w:noProof/>
        </w:rPr>
        <w:t>Van Barneveld-Biesma A, Campbell C, Dujso E, Ligtvoet A, Scholten C and Velten L (2020) Read &amp; Publish contracts in the context of a dynamic scholarly publishing system: A study on future scenarios for the scholarly publishing system.</w:t>
      </w:r>
      <w:r w:rsidRPr="00B0640C">
        <w:fldChar w:fldCharType="end"/>
      </w:r>
    </w:p>
  </w:footnote>
  <w:footnote w:id="82">
    <w:p w14:paraId="23D1203C"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Web of Science analysis suggests that 4075 publishers were responsible for publishing the last 24% of Australian linked articles. However, this is an overestimate as it includes duplicates. Additional data cleaning and analysis would be required to determine the number of discrete publishers in this distribution. </w:t>
      </w:r>
    </w:p>
  </w:footnote>
  <w:footnote w:id="83">
    <w:p w14:paraId="28CE588B"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Australian-linked journal article output in the Web of Science Core Collection. Country=Australia, Year range: 2011-2020, Document types: Articles. Accessed 4 August 2021, &lt;</w:t>
      </w:r>
      <w:hyperlink r:id="rId3" w:history="1">
        <w:r w:rsidRPr="00B0640C">
          <w:rPr>
            <w:rStyle w:val="Hyperlink"/>
            <w:rFonts w:asciiTheme="minorHAnsi" w:hAnsiTheme="minorHAnsi" w:cstheme="minorHAnsi"/>
            <w:szCs w:val="16"/>
          </w:rPr>
          <w:t>https://www.webofscience.com/wos/woscc/summary/8cb32269-dfbe-4e21-b01a-b8e9c9f470e3-0ed289f1/relevance/1</w:t>
        </w:r>
      </w:hyperlink>
      <w:r w:rsidRPr="00B0640C">
        <w:rPr>
          <w:rStyle w:val="Hyperlink"/>
          <w:rFonts w:asciiTheme="minorHAnsi" w:hAnsiTheme="minorHAnsi" w:cstheme="minorHAnsi"/>
          <w:szCs w:val="16"/>
        </w:rPr>
        <w:t>&gt;</w:t>
      </w:r>
    </w:p>
  </w:footnote>
  <w:footnote w:id="84">
    <w:p w14:paraId="0F278F8F" w14:textId="494FD26F"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According to a review of transformative agreements, only 6 of 18 agreements with gold journals offered unlimited publishing. </w:t>
      </w:r>
      <w:r w:rsidRPr="00B0640C">
        <w:fldChar w:fldCharType="begin" w:fldLock="1"/>
      </w:r>
      <w:r>
        <w:instrText>ADDIN CSL_CITATION {"citationItems":[{"id":"ITEM-1","itemData":{"ISSN":"1741-4857","abstract":"Transformative agreements, also known as ‘offsetting’, ‘read and publish’, or ‘publish and read’ agreements, have shifted the focus of scholarly journal licensing from cost containment towards open access publication. An analysis of 36 full-text transformative agreements recorded in the ESAC registry shows that ‘transformative agreement’ is an umbrella term that encompasses different kinds of contracts. We differentiate between pre-transformative, partially transformative, and fully transformative agreements. Pre-transformative agreements are traditional subscription licences that grant article processing charge (APC) discounts or vouchers for open access publication of a limited number of articles. Partially transformative agreements differentiate between a read fee and a publish fee to cover the processing charges of a certain number of articles. Fully transformative agreements allow unlimited open access publication of the scholarly output of the subscribing institution. In all three categories, some agreements restrict open access publication to hybrid journals, whereas others allow publication in both hybrid and gold journals. Transformative agreements are more transparent than traditional journal licences, allow authors to retain copyright, and make provisions to facilitate the management of open access workflows. It is hard to assess whether these agreements are just a temporary phase in the transition towards open access or will perpetuate the current structure of the scholarly communication system and its associated high costs.","author":[{"dropping-particle":"","family":"Borrego","given":"Ángel","non-dropping-particle":"","parse-names":false,"suffix":""},{"dropping-particle":"","family":"Anglada","given":"Lluís","non-dropping-particle":"","parse-names":false,"suffix":""},{"dropping-particle":"","family":"Abadal","given":"Ernest","non-dropping-particle":"","parse-names":false,"suffix":""}],"container-title":"Learned Publishing","id":"ITEM-1","issue":"2","issued":{"date-parts":[["2021","4","1"]]},"page":"216-232","publisher":"John Wiley &amp; Sons, Ltd","title":"Transformative agreements: Do they pave the way to open access?","type":"article-journal","volume":"34"},"uris":["http://www.mendeley.com/documents/?uuid=09d77b32-8b58-3362-9ab7-0b9a44a11abd"]}],"mendeley":{"formattedCitation":"Borrego Á, Anglada L and Abadal E (2021) Transformative agreements: Do they pave the way to open access? Learned Publishing 34(2), 216–232.","plainTextFormattedCitation":"Borrego Á, Anglada L and Abadal E (2021) Transformative agreements: Do they pave the way to open access? Learned Publishing 34(2), 216–232.","previouslyFormattedCitation":"Borrego Á, Anglada L and Abadal E (2021) Transformative agreements: Do they pave the way to open access? Learned Publishing 34(2), 216–232."},"properties":{"noteIndex":82},"schema":"https://github.com/citation-style-language/schema/raw/master/csl-citation.json"}</w:instrText>
      </w:r>
      <w:r w:rsidRPr="00B0640C">
        <w:fldChar w:fldCharType="separate"/>
      </w:r>
      <w:r w:rsidRPr="00114706">
        <w:rPr>
          <w:noProof/>
        </w:rPr>
        <w:t>Borrego Á, Anglada L and Abadal E (2021) Transformative agreements: Do they pave the way to open access? Learned Publishing 34(2), 216–232.</w:t>
      </w:r>
      <w:r w:rsidRPr="00B0640C">
        <w:fldChar w:fldCharType="end"/>
      </w:r>
    </w:p>
  </w:footnote>
  <w:footnote w:id="85">
    <w:p w14:paraId="7BBB2A3A" w14:textId="49E08CD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APCs are currently paid through a range of sources such as grants, institutions, and out-of-pocket researcher funds. </w:t>
      </w:r>
      <w:r w:rsidRPr="00B0640C">
        <w:fldChar w:fldCharType="begin" w:fldLock="1"/>
      </w:r>
      <w:r>
        <w:instrText>ADDIN CSL_CITATION {"citationItems":[{"id":"ITEM-1","itemData":{"author":[{"dropping-particle":"","family":"Monaghan","given":"Jessica","non-dropping-particle":"","parse-names":false,"suffix":""},{"dropping-particle":"","family":"Lucraft","given":"Mithu","non-dropping-particle":"","parse-names":false,"suffix":""}],"id":"ITEM-1","issued":{"date-parts":[["2020"]]},"title":"Apcs in the Wild: Exploring Funding Streams for an Accelerated Transition","type":"article-journal"},"uris":["http://www.mendeley.com/documents/?uuid=e689faf2-d5b2-4fb1-af93-d49fdfb5ac7f"]}],"mendeley":{"formattedCitation":"Monaghan J and Lucraft M (2020) Apcs in the Wild: Exploring Funding Streams for an Accelerated Transition.","manualFormatting":"Monaghan J and Lucraft M (2020) APCs in the Wild: Exploring Funding Streams for an Accelerated Transition. .","plainTextFormattedCitation":"Monaghan J and Lucraft M (2020) Apcs in the Wild: Exploring Funding Streams for an Accelerated Transition.","previouslyFormattedCitation":"Monaghan J and Lucraft M (2020) Apcs in the Wild: Exploring Funding Streams for an Accelerated Transition."},"properties":{"noteIndex":83},"schema":"https://github.com/citation-style-language/schema/raw/master/csl-citation.json"}</w:instrText>
      </w:r>
      <w:r w:rsidRPr="00B0640C">
        <w:fldChar w:fldCharType="separate"/>
      </w:r>
      <w:r w:rsidRPr="00B0640C">
        <w:rPr>
          <w:noProof/>
        </w:rPr>
        <w:t>Monaghan J and Lucraft M (2020) APCs in the Wild: Exploring Funding Streams for an Accelerated Transition. &lt;https://doi.org/10.6084/m9.figshare.11988123.v4&gt;.</w:t>
      </w:r>
      <w:r w:rsidRPr="00B0640C">
        <w:fldChar w:fldCharType="end"/>
      </w:r>
    </w:p>
  </w:footnote>
  <w:footnote w:id="86">
    <w:p w14:paraId="564FE5A2" w14:textId="3D2B83CF"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{"citationItems":[{"id":"ITEM-1","itemData":{"URL":"https://www.accc.gov.au/business/anti-competitive-behaviour","accessed":{"date-parts":[["2021","9","23"]]},"author":[{"dropping-particle":"","family":"Australian Competition and Consumer Commission","given":"","non-dropping-particle":"","parse-names":false,"suffix":""}],"id":"ITEM-1","issued":{"date-parts":[["0"]]},"title":"Anti-competitive behaviour","type":"webpage"},"uris":["http://www.mendeley.com/documents/?uuid=7dad979f-80ca-4a43-86ba-dd689a231d51","http://www.mendeley.com/documents/?uuid=17782da0-9ee0-44ae-92f5-36c80aa334b4"]}],"mendeley":{"formattedCitation":"Australian Competition and Consumer Commission Anti-competitive behaviour. Viewed 23 September 2021, &lt;https://www.accc.gov.au/business/anti-competitive-behaviour&gt;.","manualFormatting":"Australian Competition and Consumer Commission (n.d.) Anti-competitive behaviour. Viewed 23 September 2021, .","plainTextFormattedCitation":"Australian Competition and Consumer Commission Anti-competitive behaviour. Viewed 23 September 2021, .","previouslyFormattedCitation":"Australian Competition and Consumer Commission Anti-competitive behaviour. Viewed 23 September 2021, &lt;https://www.accc.gov.au/business/anti-competitive-behaviour&gt;."},"properties":{"noteIndex":84},"schema":"https://github.com/citation-style-language/schema/raw/master/csl-citation.json"}</w:instrText>
      </w:r>
      <w:r w:rsidRPr="00B0640C">
        <w:fldChar w:fldCharType="separate"/>
      </w:r>
      <w:r w:rsidRPr="00B81A87">
        <w:rPr>
          <w:noProof/>
        </w:rPr>
        <w:t xml:space="preserve">Australian Competition and Consumer Commission </w:t>
      </w:r>
      <w:r>
        <w:rPr>
          <w:noProof/>
        </w:rPr>
        <w:t xml:space="preserve">(n.d.) </w:t>
      </w:r>
      <w:r w:rsidRPr="00B81A87">
        <w:rPr>
          <w:noProof/>
        </w:rPr>
        <w:t>Anti-competitive behaviour. Viewed 23 September 2021, &lt;https://www.accc.gov.au/business/anti-competitive-behaviour&gt;.</w:t>
      </w:r>
      <w:r w:rsidRPr="00B0640C">
        <w:fldChar w:fldCharType="end"/>
      </w:r>
    </w:p>
  </w:footnote>
  <w:footnote w:id="87">
    <w:p w14:paraId="52296DB7" w14:textId="6CABF90C"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For example, Projekt DEAL’s agreements and the transformative agreement between Norway and Elsevier are designed to be cost-neutral.  </w:t>
      </w:r>
      <w:r w:rsidRPr="00B0640C">
        <w:fldChar w:fldCharType="begin" w:fldLock="1"/>
      </w:r>
      <w:r>
        <w:instrText>ADDIN CSL_CITATION {"citationItems":[{"id":"ITEM-1","itemData":{"URL":"https://esac-initiative.org/about/transformative-agreements/agreement-registry/sn2020deal/","accessed":{"date-parts":[["2021","10","27"]]},"author":[{"dropping-particle":"","family":"ESAC Initiative","given":"","non-dropping-particle":"","parse-names":false,"suffix":""}],"id":"ITEM-1","issued":{"date-parts":[["2020"]]},"title":"Springer Nature 2020 deal","type":"webpage"},"uris":["http://www.mendeley.com/documents/?uuid=4d8a6325-9c97-3774-a254-02ed14de816e"]}],"mendeley":{"formattedCitation":"ESAC Initiative (2020) Springer Nature 2020 deal. Viewed 27 October 2021, &lt;https://esac-initiative.org/about/transformative-agreements/agreement-registry/sn2020deal/&gt;.","plainTextFormattedCitation":"ESAC Initiative (2020) Springer Nature 2020 deal. Viewed 27 October 2021, .","previouslyFormattedCitation":"ESAC Initiative (2020) Springer Nature 2020 deal. Viewed 27 October 2021, &lt;https://esac-initiative.org/about/transformative-agreements/agreement-registry/sn2020deal/&gt;."},"properties":{"noteIndex":85},"schema":"https://github.com/citation-style-language/schema/raw/master/csl-citation.json"}</w:instrText>
      </w:r>
      <w:r w:rsidRPr="00B0640C">
        <w:fldChar w:fldCharType="separate"/>
      </w:r>
      <w:r w:rsidRPr="00C77D92">
        <w:rPr>
          <w:noProof/>
        </w:rPr>
        <w:t>ESAC Initiative (2020) Springer Nature 2020 deal. Viewed 27 October 2021, &lt;https://esac-initiative.org/about/transformative-agreements/agreement-registry/sn2020deal/&gt;.</w:t>
      </w:r>
      <w:r w:rsidRPr="00B0640C">
        <w:fldChar w:fldCharType="end"/>
      </w:r>
      <w:r>
        <w:t>;</w:t>
      </w:r>
      <w:r w:rsidRPr="00B0640C">
        <w:t xml:space="preserve"> </w:t>
      </w:r>
      <w:r w:rsidRPr="00B0640C">
        <w:fldChar w:fldCharType="begin" w:fldLock="1"/>
      </w:r>
      <w:r>
        <w:instrText>ADDIN CSL_CITATION {"citationItems":[{"id":"ITEM-1","itemData":{"URL":"https://esac-initiative.org/about/transformative-agreements/agreement-registry/wiley2019deal/","accessed":{"date-parts":[["2021","10","28"]]},"author":[{"dropping-particle":"","family":"ESAC Initiative","given":"","non-dropping-particle":"","parse-names":false,"suffix":""}],"id":"ITEM-1","issued":{"date-parts":[["2019"]]},"title":"Wiley 2019 deal","type":"webpage"},"uris":["http://www.mendeley.com/documents/?uuid=14fce116-f73d-38e9-8509-b70f436c870b"]}],"mendeley":{"formattedCitation":"ESAC Initiative (2019) Wiley 2019 deal. Viewed 28 October 2021, &lt;https://esac-initiative.org/about/transformative-agreements/agreement-registry/wiley2019deal/&gt;.","plainTextFormattedCitation":"ESAC Initiative (2019) Wiley 2019 deal. Viewed 28 October 2021, .","previouslyFormattedCitation":"ESAC Initiative (2019) Wiley 2019 deal. Viewed 28 October 2021, &lt;https://esac-initiative.org/about/transformative-agreements/agreement-registry/wiley2019deal/&gt;."},"properties":{"noteIndex":85},"schema":"https://github.com/citation-style-language/schema/raw/master/csl-citation.json"}</w:instrText>
      </w:r>
      <w:r w:rsidRPr="00B0640C">
        <w:fldChar w:fldCharType="separate"/>
      </w:r>
      <w:r w:rsidRPr="00C77D92">
        <w:rPr>
          <w:noProof/>
        </w:rPr>
        <w:t>ESAC Initiative (2019) Wiley 2019 deal. Viewed 28 October 2021, &lt;https://esac-initiative.org/about/transformative-agreements/agreement-registry/wiley2019deal/&gt;.</w:t>
      </w:r>
      <w:r w:rsidRPr="00B0640C">
        <w:fldChar w:fldCharType="end"/>
      </w:r>
      <w:r>
        <w:t xml:space="preserve">; </w:t>
      </w:r>
      <w:r w:rsidRPr="00B0640C">
        <w:fldChar w:fldCharType="begin" w:fldLock="1"/>
      </w:r>
      <w:r>
        <w:instrText>ADDIN CSL_CITATION {"citationItems":[{"id":"ITEM-1","itemData":{"DOI":"10.1038/D41586-019-01349-6","abstract":"After a year of talks, Dutch publishing giant Elsevier has &lt;a href=\"https://www.elsevier.com/about/press-releases/corporate/norway-and-elsevier-agree-on-pilot-national-licence-for-research-access-and-publishing\"&gt;struck a deal&lt;/a&gt; with a group of Norwegian universities that will allow academics to publish the vast majority of their work under open-access terms.\nThe two-year pilot scheme marks the largest such agreement — often called a 'read and publish' deal — that Elsevier has made with a national consortium of research libraries.","author":[{"dropping-particle":"","family":"Else","given":"Holly","non-dropping-particle":"","parse-names":false,"suffix":""}],"container-title":"Nature","id":"ITEM-1","issued":{"date-parts":[["2019","4","26"]]},"publisher":"Springer Science and Business Media LLC","title":"Elsevier strikes its first national deal with large open-access element","type":"article-newspaper"},"uris":["http://www.mendeley.com/documents/?uuid=fee92ddf-a866-3a8b-bd8c-30639a9c239e"]}],"mendeley":{"formattedCitation":"Else H (2019) Elsevier strikes its first national deal with large open-access element. Nature DOI: 10.1038/D41586-019-01349-6.","plainTextFormattedCitation":"Else H (2019) Elsevier strikes its first national deal with large open-access element. Nature DOI: 10.1038/D41586-019-01349-6.","previouslyFormattedCitation":"Else H (2019) Elsevier strikes its first national deal with large open-access element. Nature DOI: 10.1038/D41586-019-01349-6."},"properties":{"noteIndex":85},"schema":"https://github.com/citation-style-language/schema/raw/master/csl-citation.json"}</w:instrText>
      </w:r>
      <w:r w:rsidRPr="00B0640C">
        <w:fldChar w:fldCharType="separate"/>
      </w:r>
      <w:r w:rsidRPr="00B0640C">
        <w:rPr>
          <w:noProof/>
        </w:rPr>
        <w:t>Else H (2019) Elsevier strikes its first national deal with large open-access element. Nature DOI: 10.1038/D41586-019-01349-6.</w:t>
      </w:r>
      <w:r w:rsidRPr="00B0640C">
        <w:fldChar w:fldCharType="end"/>
      </w:r>
    </w:p>
  </w:footnote>
  <w:footnote w:id="88">
    <w:p w14:paraId="1A62D49B" w14:textId="0C24D91C"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This model was chosen due to its publicly available and scalable cost structure. </w:t>
      </w:r>
    </w:p>
  </w:footnote>
  <w:footnote w:id="89">
    <w:p w14:paraId="2B2E47E5" w14:textId="6E0210C4"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Only 35% of Australia’s 2020 research outputs were published with immediate open access in Gold or Hybrid journals. </w:t>
      </w:r>
      <w:r w:rsidRPr="00B0640C">
        <w:fldChar w:fldCharType="begin" w:fldLock="1"/>
      </w:r>
      <w:r>
        <w:instrText>ADDIN CSL_CITATION {"citationItems":[{"id":"ITEM-1","itemData":{"URL":"http://openknowledge.community/dashboards/coki-open-access-dashboard/","author":[{"dropping-particle":"","family":"Curtin Open Knowledge Institute","given":"","non-dropping-particle":"","parse-names":false,"suffix":""}],"id":"ITEM-1","issued":{"date-parts":[["2021"]]},"title":"COKI Open Access Dashboard","type":"webpage"},"uris":["http://www.mendeley.com/documents/?uuid=8bffe82e-aed2-4907-9444-b8ed97971dc6"]}],"mendeley":{"formattedCitation":"Curtin Open Knowledge Institute (2021) COKI Open Access Dashboard. &lt;http://openknowledge.community/dashboards/coki-open-access-dashboard/&gt;.","plainTextFormattedCitation":"Curtin Open Knowledge Institute (2021) COKI Open Access Dashboard. .","previouslyFormattedCitation":"Curtin Open Knowledge Institute (2021) COKI Open Access Dashboard. &lt;http://openknowledge.community/dashboards/coki-open-access-dashboard/&gt;."},"properties":{"noteIndex":87},"schema":"https://github.com/citation-style-language/schema/raw/master/csl-citation.json"}</w:instrText>
      </w:r>
      <w:r w:rsidRPr="00B0640C">
        <w:fldChar w:fldCharType="separate"/>
      </w:r>
      <w:r w:rsidRPr="00C77D92">
        <w:rPr>
          <w:noProof/>
        </w:rPr>
        <w:t>Curtin Open Knowledge Institute (2021) COKI Open Access Dashboard. &lt;http://openknowledge.community/dashboards/coki-open-access-dashboard/&gt;.</w:t>
      </w:r>
      <w:r w:rsidRPr="00B0640C">
        <w:fldChar w:fldCharType="end"/>
      </w:r>
    </w:p>
  </w:footnote>
  <w:footnote w:id="90">
    <w:p w14:paraId="024E50E1" w14:textId="4FC060C6"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See Appendix D. </w:t>
      </w:r>
      <w:r w:rsidRPr="00B0640C">
        <w:fldChar w:fldCharType="begin" w:fldLock="1"/>
      </w:r>
      <w:r>
        <w:instrText>ADDIN CSL_CITATION {"citationItems":[{"id":"ITEM-1","itemData":{"URL":"http://eprints.lse.ac.uk/88427/1/impactofsocialsciences-2018-01-22-adoption-of-open-access-is-rising.pdf","accessed":{"date-parts":[["2021","7","6"]]},"author":[{"dropping-particle":"","family":"Pinfield","given":"Stephen","non-dropping-particle":"","parse-names":false,"suffix":""},{"dropping-particle":"","family":"Johnson","given":"Rob","non-dropping-particle":"","parse-names":false,"suffix":""}],"container-title":"The London School of Economics and Political Science Impact Blog","id":"ITEM-1","issued":{"date-parts":[["2018"]]},"title":"Adoption of open access is rising – but so too are its costs","type":"webpage"},"uris":["http://www.mendeley.com/documents/?uuid=662e3bcd-dd95-382a-b801-2f60944bcd1a"]}],"mendeley":{"formattedCitation":"Pinfield S and Johnson R (2018) Adoption of open access is rising – but so too are its costs. Viewed 6 July 2021, &lt;http://eprints.lse.ac.uk/88427/1/impactofsocialsciences-2018-01-22-adoption-of-open-access-is-rising.pdf&gt;.","plainTextFormattedCitation":"Pinfield S and Johnson R (2018) Adoption of open access is rising – but so too are its costs. Viewed 6 July 2021, .","previouslyFormattedCitation":"Pinfield S and Johnson R (2018) Adoption of open access is rising – but so too are its costs. Viewed 6 July 2021, &lt;http://eprints.lse.ac.uk/88427/1/impactofsocialsciences-2018-01-22-adoption-of-open-access-is-rising.pdf&gt;."},"properties":{"noteIndex":88},"schema":"https://github.com/citation-style-language/schema/raw/master/csl-citation.json"}</w:instrText>
      </w:r>
      <w:r w:rsidRPr="00B0640C">
        <w:fldChar w:fldCharType="separate"/>
      </w:r>
      <w:r w:rsidRPr="00C77D92">
        <w:rPr>
          <w:noProof/>
        </w:rPr>
        <w:t>Pinfield S and Johnson R (2018) Adoption of open access is rising – but so too are its costs. Viewed 6 July 2021, &lt;http://eprints.lse.ac.uk/88427/1/impactofsocialsciences-2018-01-22-adoption-of-open-access-is-rising.pdf&gt;.</w:t>
      </w:r>
      <w:r w:rsidRPr="00B0640C">
        <w:fldChar w:fldCharType="end"/>
      </w:r>
    </w:p>
  </w:footnote>
  <w:footnote w:id="91">
    <w:p w14:paraId="11818C4D" w14:textId="26E8EBE3"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{"citationItems":[{"id":"ITEM-1","itemData":{"URL":"https://www.timeshighereducation.com/blog/ukris-support-green-open-access-right-way-forward","accessed":{"date-parts":[["2021","9","2"]]},"author":[{"dropping-particle":"","family":"Times Higher Education","given":"","non-dropping-particle":"","parse-names":false,"suffix":""}],"id":"ITEM-1","issued":{"date-parts":[["2021"]]},"title":"UKRI’s support for green open access is the right way forward","type":"webpage"},"uris":["http://www.mendeley.com/documents/?uuid=79203630-e742-34c1-beef-8902880a3c8f"]}],"mendeley":{"formattedCitation":"Times Higher Education (2021) UKRI’s support for green open access is the right way forward. Viewed 2 September 2021, &lt;https://www.timeshighereducation.com/blog/ukris-support-green-open-access-right-way-forward&gt;.","plainTextFormattedCitation":"Times Higher Education (2021) UKRI’s support for green open access is the right way forward. Viewed 2 September 2021, .","previouslyFormattedCitation":"Times Higher Education (2021) UKRI’s support for green open access is the right way forward. Viewed 2 September 2021, &lt;https://www.timeshighereducation.com/blog/ukris-support-green-open-access-right-way-forward&gt;."},"properties":{"noteIndex":89},"schema":"https://github.com/citation-style-language/schema/raw/master/csl-citation.json"}</w:instrText>
      </w:r>
      <w:r w:rsidRPr="00B0640C">
        <w:fldChar w:fldCharType="separate"/>
      </w:r>
      <w:r w:rsidRPr="00C77D92">
        <w:rPr>
          <w:noProof/>
        </w:rPr>
        <w:t>Times Higher Education (2021) UKRI’s support for green open access is the right way forward. Viewed 2 September 2021, &lt;https://www.timeshighereducation.com/blog/ukris-support-green-open-access-right-way-forward&gt;.</w:t>
      </w:r>
      <w:r w:rsidRPr="00B0640C">
        <w:fldChar w:fldCharType="end"/>
      </w:r>
    </w:p>
  </w:footnote>
  <w:footnote w:id="92">
    <w:p w14:paraId="31F0212B" w14:textId="63E75249"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{"citationItems":[{"id":"ITEM-1","itemData":{"URL":"https://www.projekt-deal.de/elsevier-news/","accessed":{"date-parts":[["2021","10","7"]]},"author":[{"dropping-particle":"","family":"Projekt DEAL","given":"","non-dropping-particle":"","parse-names":false,"suffix":""}],"id":"ITEM-1","issued":{"date-parts":[["2019"]]},"title":"Elsevier News","type":"webpage"},"uris":["http://www.mendeley.com/documents/?uuid=5288de24-449a-3a73-bc88-ccc9494cc085"]}],"mendeley":{"formattedCitation":"Projekt DEAL (2019) Elsevier News. Viewed 7 October 2021, &lt;https://www.projekt-deal.de/elsevier-news/&gt;.","plainTextFormattedCitation":"Projekt DEAL (2019) Elsevier News. Viewed 7 October 2021, .","previouslyFormattedCitation":"Projekt DEAL (2019) Elsevier News. Viewed 7 October 2021, &lt;https://www.projekt-deal.de/elsevier-news/&gt;."},"properties":{"noteIndex":90},"schema":"https://github.com/citation-style-language/schema/raw/master/csl-citation.json"}</w:instrText>
      </w:r>
      <w:r w:rsidRPr="00B0640C">
        <w:fldChar w:fldCharType="separate"/>
      </w:r>
      <w:r w:rsidRPr="00C77D92">
        <w:rPr>
          <w:noProof/>
        </w:rPr>
        <w:t>Projekt DEAL (2019) Elsevier News. Viewed 7 October 2021, &lt;https://www.projekt-deal.de/elsevier-news/&gt;.</w:t>
      </w:r>
      <w:r w:rsidRPr="00B0640C">
        <w:fldChar w:fldCharType="end"/>
      </w:r>
    </w:p>
  </w:footnote>
  <w:footnote w:id="93">
    <w:p w14:paraId="64354C21" w14:textId="4B58BD6A"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See Appendix D. </w:t>
      </w:r>
      <w:r w:rsidRPr="00B0640C">
        <w:fldChar w:fldCharType="begin" w:fldLock="1"/>
      </w:r>
      <w:r>
        <w:instrText>ADDIN CSL_CITATION {"citationItems":[{"id":"ITEM-1","itemData":{"author":[{"dropping-particle":"","family":"Offord","given":"Catherine","non-dropping-particle":"","parse-names":false,"suffix":""}],"container-title":"The Scientist Magazine","id":"ITEM-1","issued":{"date-parts":[["2019"]]},"title":"Norway Joins List of Countries Canceling Elsevier Contracts","type":"article-newspaper"},"uris":["http://www.mendeley.com/documents/?uuid=16104edb-fe34-3458-9537-e3e7d4f08572"]}],"mendeley":{"formattedCitation":"Offord C (2019) Norway Joins List of Countries Canceling Elsevier Contracts. The Scientist Magazine .","plainTextFormattedCitation":"Offord C (2019) Norway Joins List of Countries Canceling Elsevier Contracts. The Scientist Magazine .","previouslyFormattedCitation":"Offord C (2019) Norway Joins List of Countries Canceling Elsevier Contracts. The Scientist Magazine ."},"properties":{"noteIndex":91},"schema":"https://github.com/citation-style-language/schema/raw/master/csl-citation.json"}</w:instrText>
      </w:r>
      <w:r w:rsidRPr="00B0640C">
        <w:fldChar w:fldCharType="separate"/>
      </w:r>
      <w:r w:rsidRPr="0093165B">
        <w:rPr>
          <w:noProof/>
        </w:rPr>
        <w:t>Offord C (2019) Norway Joins List of Countries Canceling Elsevier Contracts. The Scientist Magazine .</w:t>
      </w:r>
      <w:r w:rsidRPr="00B0640C">
        <w:fldChar w:fldCharType="end"/>
      </w:r>
    </w:p>
  </w:footnote>
  <w:footnote w:id="94">
    <w:p w14:paraId="6BB68233"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Analysis of 18,196,219 Articles from Web of Science Core Collection published between 2011-2020. Web of Science (2021) Viewed 7 October 2021, &lt;</w:t>
      </w:r>
      <w:hyperlink r:id="rId4" w:history="1">
        <w:r w:rsidRPr="00B0640C">
          <w:rPr>
            <w:rStyle w:val="Hyperlink"/>
            <w:rFonts w:asciiTheme="minorHAnsi" w:hAnsiTheme="minorHAnsi" w:cstheme="minorHAnsi"/>
            <w:szCs w:val="16"/>
          </w:rPr>
          <w:t>https://www.webofscience.com/wos/woscc/summary/31de4b1e-aef1-49bd-8659-2ef9c1b1ee67-0b9a2ee2/relevance/1</w:t>
        </w:r>
      </w:hyperlink>
      <w:r w:rsidRPr="00B0640C">
        <w:t xml:space="preserve">&gt; </w:t>
      </w:r>
    </w:p>
  </w:footnote>
  <w:footnote w:id="95">
    <w:p w14:paraId="5B382496" w14:textId="326342F8" w:rsidR="00597B45" w:rsidRPr="00B0640C" w:rsidRDefault="00597B45">
      <w:pPr>
        <w:pStyle w:val="FootnoteText"/>
      </w:pPr>
      <w:r>
        <w:rPr>
          <w:rStyle w:val="FootnoteReference"/>
        </w:rPr>
        <w:footnoteRef/>
      </w:r>
      <w:r>
        <w:t xml:space="preserve"> </w:t>
      </w:r>
      <w:r>
        <w:fldChar w:fldCharType="begin" w:fldLock="1"/>
      </w:r>
      <w:r>
        <w:instrText>ADDIN CSL_CITATION {"citationItems":[{"id":"ITEM-1","itemData":{"abstract":"Open access is shaking up the publishing industry since readers can access open access journals freely on the internet without having to pay subscription fees. The goal of this thesis is to research how the stakeholders in the higher education publishing industry are influenced by open access in terms of their positions in the industry. In order to see what influence open access has on the industry, the focus in this research is on the interest parties who are confronted with open access. In order to see how the different interest parties in the industry are influenced, the research is framed into the five forces model of Porter. Qualitative literature research including stakeholders combined with open access was used writing this thesis. Whether or not the five forces model was influenced by open access looking at this literature was decided upon by identifying the relevant information in the articles with different factors which would determine the change for a specific force. The result is that open access had most influence on the forces; rivalry, bargaining power of suppliers and bargaining power of buyers. First, in the open access situation, buyers and suppliers can now easily get around publishers. But the rivalry in the industry remains high since there are still a few major publishers competing among the greatest market share. Second, buyers increased their power by highly concentrate themselves in the industry. Third, the power of suppliers depend on which business models they use, since there evolved different business models for open access.","author":[{"dropping-particle":"","family":"Harms","given":"Denise","non-dropping-particle":"","parse-names":false,"suffix":""}],"id":"ITEM-1","issued":{"date-parts":[["2016"]]},"publisher":"University of Twente","publisher-place":"Enschede","title":"The influence of open access on the higher education publishing industry. A five forces model analysis","type":"thesis"},"uris":["http://www.mendeley.com/documents/?uuid=190fbd49-7cc2-3a60-8a15-15657605ee78"]}],"mendeley":{"formattedCitation":"Harms D (2016) The influence of open access on the higher education publishing industry. A five forces model analysis. University of Twente.","plainTextFormattedCitation":"Harms D (2016) The influence of open access on the higher education publishing industry. A five forces model analysis. University of Twente.","previouslyFormattedCitation":"Harms D (2016) The influence of open access on the higher education publishing industry. A five forces model analysis. University of Twente."},"properties":{"noteIndex":93},"schema":"https://github.com/citation-style-language/schema/raw/master/csl-citation.json"}</w:instrText>
      </w:r>
      <w:r>
        <w:fldChar w:fldCharType="separate"/>
      </w:r>
      <w:r w:rsidRPr="00512742">
        <w:rPr>
          <w:noProof/>
        </w:rPr>
        <w:t>Harms D (2016) The influence of open access on the higher education publishing industry. A five forces model analysis. University of Twente.</w:t>
      </w:r>
      <w:r>
        <w:fldChar w:fldCharType="end"/>
      </w:r>
    </w:p>
  </w:footnote>
  <w:footnote w:id="96">
    <w:p w14:paraId="7B91AD93" w14:textId="5A285715" w:rsidR="00597B45" w:rsidRPr="00B0640C" w:rsidRDefault="00597B45">
      <w:pPr>
        <w:pStyle w:val="FootnoteText"/>
      </w:pPr>
      <w:r>
        <w:rPr>
          <w:rStyle w:val="FootnoteReference"/>
        </w:rPr>
        <w:footnoteRef/>
      </w:r>
      <w:r>
        <w:t xml:space="preserve"> </w:t>
      </w:r>
      <w:r>
        <w:fldChar w:fldCharType="begin" w:fldLock="1"/>
      </w:r>
      <w:r>
        <w:instrText>ADDIN CSL_CITATION {"citationItems":[{"id":"ITEM-1","itemData":{"URL":"https://www.accc.gov.au/focus-areas/digital-platforms/draft-news-media-bargaining-code","accessed":{"date-parts":[["2021","9","20"]]},"author":[{"dropping-particle":"","family":"Australian Competition and Consumer Commission","given":"","non-dropping-particle":"","parse-names":false,"suffix":""}],"id":"ITEM-1","issued":{"date-parts":[["2020"]]},"title":"Q&amp;As: Draft news media and digital platforms mandatory bargaining code","type":"webpage"},"uris":["http://www.mendeley.com/documents/?uuid=72efaded-a895-375a-b74d-1a494c13ef16"]}],"mendeley":{"formattedCitation":"Australian Competition and Consumer Commission (2020) Q&amp;As: Draft news media and digital platforms mandatory bargaining code. Viewed 20 September 2021, &lt;https://www.accc.gov.au/focus-areas/digital-platforms/draft-news-media-bargaining-code&gt;.","plainTextFormattedCitation":"Australian Competition and Consumer Commission (2020) Q&amp;As: Draft news media and digital platforms mandatory bargaining code. Viewed 20 September 2021, .","previouslyFormattedCitation":"Australian Competition and Consumer Commission (2020) Q&amp;As: Draft news media and digital platforms mandatory bargaining code. Viewed 20 September 2021, &lt;https://www.accc.gov.au/focus-areas/digital-platforms/draft-news-media-bargaining-code&gt;."},"properties":{"noteIndex":94},"schema":"https://github.com/citation-style-language/schema/raw/master/csl-citation.json"}</w:instrText>
      </w:r>
      <w:r>
        <w:fldChar w:fldCharType="separate"/>
      </w:r>
      <w:r w:rsidRPr="00C77D92">
        <w:rPr>
          <w:noProof/>
        </w:rPr>
        <w:t>Australian Competition and Consumer Commission (2020) Q&amp;As: Draft news media and digital platforms mandatory bargaining code. Viewed 20 September 2021, &lt;https://www.accc.gov.au/focus-areas/digital-platforms/draft-news-media-bargaining-code&gt;.</w:t>
      </w:r>
      <w:r>
        <w:fldChar w:fldCharType="end"/>
      </w:r>
    </w:p>
  </w:footnote>
  <w:footnote w:id="97">
    <w:p w14:paraId="7E8AE9DA"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This is the value of the reported subscription agreements and transformative agreements associated with universities, PFRAs and federal government departments.</w:t>
      </w:r>
    </w:p>
  </w:footnote>
  <w:footnote w:id="98">
    <w:p w14:paraId="323A5472" w14:textId="138A38B5"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This model was chosen due to its publicly available pricing structure and scalable cost structure. However, it should be noted the DEAL’s </w:t>
      </w:r>
      <w:r w:rsidRPr="00C16800">
        <w:rPr>
          <w:iCs/>
        </w:rPr>
        <w:t>publish-and-read</w:t>
      </w:r>
      <w:r w:rsidRPr="00B0640C">
        <w:t xml:space="preserve"> fee-based model, only includes read access for research institutions.</w:t>
      </w:r>
    </w:p>
  </w:footnote>
  <w:footnote w:id="99">
    <w:p w14:paraId="02C663D2" w14:textId="168E188B"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$0.93B in funding for the Research Support Program stream of the Research Block Grant Program in 2021. This does not include the additional $1B provided to alleviate the financial impacts of the COVID-19 pandemic. </w:t>
      </w:r>
      <w:r w:rsidRPr="00B0640C">
        <w:fldChar w:fldCharType="begin" w:fldLock="1"/>
      </w:r>
      <w:r>
        <w:instrText>ADDIN CSL_CITATION {"citationItems":[{"id":"ITEM-1","itemData":{"URL":"https://www.dese.gov.au/research-block-grants","accessed":{"date-parts":[["2021","10","1"]]},"author":[{"dropping-particle":"","family":"Department of Education Skills and Employment","given":"","non-dropping-particle":"","parse-names":false,"suffix":""}],"id":"ITEM-1","issued":{"date-parts":[["2021"]]},"title":"Research Block Grants","type":"webpage"},"uris":["http://www.mendeley.com/documents/?uuid=2478d52f-6038-3589-96ee-c2de77521fb9"]}],"mendeley":{"formattedCitation":"Department of Education Skills and Employment (2021) Research Block Grants. Viewed 1 October 2021, &lt;https://www.dese.gov.au/research-block-grants&gt;.","plainTextFormattedCitation":"Department of Education Skills and Employment (2021) Research Block Grants. Viewed 1 October 2021, .","previouslyFormattedCitation":"Department of Education Skills and Employment (2021) Research Block Grants. Viewed 1 October 2021, &lt;https://www.dese.gov.au/research-block-grants&gt;."},"properties":{"noteIndex":97},"schema":"https://github.com/citation-style-language/schema/raw/master/csl-citation.json"}</w:instrText>
      </w:r>
      <w:r w:rsidRPr="00B0640C">
        <w:fldChar w:fldCharType="separate"/>
      </w:r>
      <w:r w:rsidRPr="00C77D92">
        <w:rPr>
          <w:noProof/>
        </w:rPr>
        <w:t>Department of Education Skills and Employment (2021) Research Block Grants. Viewed 1 October 2021, &lt;https://www.dese.gov.au/research-block-grants&gt;.</w:t>
      </w:r>
      <w:r w:rsidRPr="00B0640C">
        <w:fldChar w:fldCharType="end"/>
      </w:r>
    </w:p>
  </w:footnote>
  <w:footnote w:id="100">
    <w:p w14:paraId="0FF030EE"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Approximately $2B, which includes 2020-21 estimated actual government funding for the Australian Institute of Marine Science, Australian Nuclear Science and Technology Organisation, CSIRO and Geoscience Australia, as well as 2014-15 budget for the Defence Science and Technology Group (the most recent published figure). While there are other agencies that perform research functions, only organisations with a core research function were selected for this analysis.</w:t>
      </w:r>
    </w:p>
  </w:footnote>
  <w:footnote w:id="101">
    <w:p w14:paraId="0C91D270" w14:textId="7777777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Approximately $2.9 billion in total.  </w:t>
      </w:r>
    </w:p>
  </w:footnote>
  <w:footnote w:id="102">
    <w:p w14:paraId="7F0D89E2" w14:textId="6B6F9F0C"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Developments related to publishing metadata and identifiers could eventually negate the need to use repositories for ERA purposes. The ERA assessment is designed to encourage Australian universities to develop higher quality research and strengthen engagement and impact outside academia. </w:t>
      </w:r>
      <w:r w:rsidRPr="00B0640C">
        <w:fldChar w:fldCharType="begin" w:fldLock="1"/>
      </w:r>
      <w:r>
        <w:instrText>ADDIN CSL_CITATION {"citationItems":[{"id":"ITEM-1","itemData":{"ISBN":"9780648484752","author":[{"dropping-particle":"","family":"ERA EI Review Advisory Committee","given":"","non-dropping-particle":"","parse-names":false,"suffix":""}],"id":"ITEM-1","issued":{"date-parts":[["2021"]]},"title":"ERA EI Review Final Report 2020-2021","type":"report"},"uris":["http://www.mendeley.com/documents/?uuid=d7b4fdc8-16c2-4714-a145-188ee12bf88e"]}],"mendeley":{"formattedCitation":"ERA EI Review Advisory Committee (2021) ERA EI Review Final Report 2020-2021.","plainTextFormattedCitation":"ERA EI Review Advisory Committee (2021) ERA EI Review Final Report 2020-2021.","previouslyFormattedCitation":"ERA EI Review Advisory Committee (2021) ERA EI Review Final Report 2020-2021."},"properties":{"noteIndex":100},"schema":"https://github.com/citation-style-language/schema/raw/master/csl-citation.json"}</w:instrText>
      </w:r>
      <w:r w:rsidRPr="00B0640C">
        <w:fldChar w:fldCharType="separate"/>
      </w:r>
      <w:r w:rsidRPr="0093165B">
        <w:rPr>
          <w:noProof/>
        </w:rPr>
        <w:t>ERA EI Review Advisory Committee (2021) ERA EI Review Final Report 2020-2021.</w:t>
      </w:r>
      <w:r w:rsidRPr="00B0640C">
        <w:fldChar w:fldCharType="end"/>
      </w:r>
    </w:p>
  </w:footnote>
  <w:footnote w:id="103">
    <w:p w14:paraId="456FA806" w14:textId="37424A2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{"citationItems":[{"id":"ITEM-1","itemData":{"DOI":"10.5195/JMLA.2020.856","abstract":"Objective: Institutional repositories are platforms for presenting and publicizing scholarly output that might not be suitable to publish in a peer-reviewed journal or that must meet open access requirements. However, there are many challenges associated with their launch and up-keep. The objective of this systematic review was to define the impacts of institutional repositories (IRs) on an academic institution, thus justifying their implementation and/or maintenance. Methods: A comprehensive literature search was performed in the following databases: Ovid MEDLINE, Ovid EMBASE, the Cochrane Library (Wiley), ERIC (ProQuest), Web of Science (Core Collection), Scopus (Elsevier), and Library, Information Science &amp; Technology Abstracts (EBSCO). A total of 6,593 citations were screened against predefined inclusion and exclusion criteria. Results: Thirteen included studies were divided into 3 areas of impact: citation count, exposure or presence, and administrative impact. Those focusing on citation count (n=5) and exposure or presence (n=7) demonstrated positive impacts of IRs on institutions and researchers. One study focusing on administrative benefit demonstrated the utility of IRs in automated population of ORCID profiles. Conclusion: Based on the available literature, IRs appear to have a positive impact on citation count, exposure or presence, and administrative burden. To draw stronger conclusions, more and higher-quality studies are needed.","author":[{"dropping-particle":"","family":"Demetres","given":"Michelle R.","non-dropping-particle":"","parse-names":false,"suffix":""},{"dropping-particle":"","family":"Delgado","given":"Diana","non-dropping-particle":"","parse-names":false,"suffix":""},{"dropping-particle":"","family":"Wright","given":"Drew N.","non-dropping-particle":"","parse-names":false,"suffix":""}],"container-title":"Journal of the Medical Library Association","id":"ITEM-1","issue":"2","issued":{"date-parts":[["2020","4","1"]]},"page":"177-184","publisher":"Medical Library Association","title":"The impact of institutional repositories: A systematic review","type":"article-journal","volume":"108"},"uris":["http://www.mendeley.com/documents/?uuid=a16985af-a4a9-354c-8514-bce2ae1c39e4"]}],"mendeley":{"formattedCitation":"Demetres MR, Delgado D and Wright DN (2020) The impact of institutional repositories: A systematic review. Journal of the Medical Library Association 108(2), 177–184. DOI: 10.5195/JMLA.2020.856.","plainTextFormattedCitation":"Demetres MR, Delgado D and Wright DN (2020) The impact of institutional repositories: A systematic review. Journal of the Medical Library Association 108(2), 177–184. DOI: 10.5195/JMLA.2020.856.","previouslyFormattedCitation":"Demetres MR, Delgado D and Wright DN (2020) The impact of institutional repositories: A systematic review. Journal of the Medical Library Association 108(2), 177–184. DOI: 10.5195/JMLA.2020.856."},"properties":{"noteIndex":101},"schema":"https://github.com/citation-style-language/schema/raw/master/csl-citation.json"}</w:instrText>
      </w:r>
      <w:r w:rsidRPr="00B0640C">
        <w:fldChar w:fldCharType="separate"/>
      </w:r>
      <w:r w:rsidRPr="00B0640C">
        <w:rPr>
          <w:noProof/>
        </w:rPr>
        <w:t>Demetres MR, Delgado D and Wright DN (2020) The impact of institutional repositories: A systematic review. Journal of the Medical Library Association 108(2), 177–184. DOI: 10.5195/JMLA.2020.856.</w:t>
      </w:r>
      <w:r w:rsidRPr="00B0640C">
        <w:fldChar w:fldCharType="end"/>
      </w:r>
    </w:p>
  </w:footnote>
  <w:footnote w:id="104">
    <w:p w14:paraId="469829F8" w14:textId="08E320D3"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{"citationItems":[{"id":"ITEM-1","itemData":{"URL":"https://www.ukri.org/news/funding-agreed-for-a-platform-that-will-change-research-culture/","accessed":{"date-parts":[["2021","10","4"]]},"author":[{"dropping-particle":"","family":"UK Research and Innovation","given":"","non-dropping-particle":"","parse-names":false,"suffix":""}],"id":"ITEM-1","issued":{"date-parts":[["0"]]},"title":"Funding agreed for a platform that will change research culture","type":"webpage"},"uris":["http://www.mendeley.com/documents/?uuid=85f9efd1-4146-30c0-969b-da6510181d5c"]}],"mendeley":{"formattedCitation":"UK Research and Innovation Funding agreed for a platform that will change research culture. Viewed 4 October 2021, &lt;https://www.ukri.org/news/funding-agreed-for-a-platform-that-will-change-research-culture/&gt;.","manualFormatting":"UK Research and Innovation (n.d.) Funding agreed for a platform that will change research culture. Viewed 4 October 2021, .","plainTextFormattedCitation":"UK Research and Innovation Funding agreed for a platform that will change research culture. Viewed 4 October 2021, .","previouslyFormattedCitation":"UK Research and Innovation Funding agreed for a platform that will change research culture. Viewed 4 October 2021, &lt;https://www.ukri.org/news/funding-agreed-for-a-platform-that-will-change-research-culture/&gt;."},"properties":{"noteIndex":102},"schema":"https://github.com/citation-style-language/schema/raw/master/csl-citation.json"}</w:instrText>
      </w:r>
      <w:r w:rsidRPr="00B0640C">
        <w:fldChar w:fldCharType="separate"/>
      </w:r>
      <w:r w:rsidRPr="00012AAC">
        <w:rPr>
          <w:noProof/>
        </w:rPr>
        <w:t xml:space="preserve">UK Research and Innovation </w:t>
      </w:r>
      <w:r>
        <w:rPr>
          <w:noProof/>
        </w:rPr>
        <w:t xml:space="preserve">(n.d.) </w:t>
      </w:r>
      <w:r w:rsidRPr="00012AAC">
        <w:rPr>
          <w:noProof/>
        </w:rPr>
        <w:t>Funding agreed for a platform that will change research culture. Viewed 4 October 2021, &lt;https://www.ukri.org/news/funding-agreed-for-a-platform-that-will-change-research-culture/&gt;.</w:t>
      </w:r>
      <w:r w:rsidRPr="00B0640C">
        <w:fldChar w:fldCharType="end"/>
      </w:r>
    </w:p>
  </w:footnote>
  <w:footnote w:id="105">
    <w:p w14:paraId="2D61AA50" w14:textId="77777777" w:rsidR="00597B45" w:rsidRPr="00B0640C" w:rsidRDefault="00597B45" w:rsidP="0002008F">
      <w:pPr>
        <w:pStyle w:val="FootnoteText"/>
        <w:jc w:val="left"/>
      </w:pPr>
      <w:r w:rsidRPr="00B0640C">
        <w:rPr>
          <w:rStyle w:val="FootnoteReference"/>
          <w:rFonts w:asciiTheme="minorHAnsi" w:hAnsiTheme="minorHAnsi" w:cstheme="minorHAnsi"/>
          <w:szCs w:val="16"/>
        </w:rPr>
        <w:footnoteRef/>
      </w:r>
      <w:r w:rsidRPr="00B0640C">
        <w:t xml:space="preserve"> Kirkman N, Haddow G (2020) Compliance with the first funder open access policy in Australia. Information Research, 24(4), paper 857. http://InformationR.net/ir/25-2/paper857.html</w:t>
      </w:r>
    </w:p>
  </w:footnote>
  <w:footnote w:id="106">
    <w:p w14:paraId="568EECAE" w14:textId="2014BD4D"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Librarians","given":"","non-dropping-particle":"","parse-names":false,"suffix":""}],"id":"ITEM-1","issued":{"date-parts":[["2018"]]},"title":"CAUL Review of Australian Repository Infrastructure","type":"report"},"uris":["http://www.mendeley.com/documents/?uuid=bde25844-c3ac-3147-b03b-c5ec27a54eee"]}],"mendeley":{"formattedCitation":"Council of Australian University Librarians (2018) CAUL Review of Australian Repository Infrastructure.","plainTextFormattedCitation":"Council of Australian University Librarians (2018) CAUL Review of Australian Repository Infrastructure.","previouslyFormattedCitation":"Council of Australian University Librarians (2018) CAUL Review of Australian Repository Infrastructure."},"properties":{"noteIndex":104},"schema":"https://github.com/citation-style-language/schema/raw/master/csl-citation.json"}</w:instrText>
      </w:r>
      <w:r w:rsidRPr="00B0640C">
        <w:fldChar w:fldCharType="separate"/>
      </w:r>
      <w:r w:rsidRPr="0093165B">
        <w:rPr>
          <w:noProof/>
        </w:rPr>
        <w:t>Council of Australian University Librarians (2018) CAUL Review of Australian Repository Infrastructure.</w:t>
      </w:r>
      <w:r w:rsidRPr="00B0640C">
        <w:fldChar w:fldCharType="end"/>
      </w:r>
    </w:p>
  </w:footnote>
  <w:footnote w:id="107">
    <w:p w14:paraId="441AA408" w14:textId="1999ED2C"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Librarians","given":"","non-dropping-particle":"","parse-names":false,"suffix":""}],"id":"ITEM-1","issued":{"date-parts":[["2018"]]},"title":"CAUL Review of Australian Repository Infrastructure","type":"report"},"uris":["http://www.mendeley.com/documents/?uuid=55ff4c54-7acc-4de3-8f70-1ae2ef4f284a"]}],"mendeley":{"formattedCitation":"Council of Australian University Librarians (2018) CAUL Review of Australian Repository Infrastructure.","plainTextFormattedCitation":"Council of Australian University Librarians (2018) CAUL Review of Australian Repository Infrastructure.","previouslyFormattedCitation":"Council of Australian University Librarians (2018) CAUL Review of Australian Repository Infrastructure."},"properties":{"noteIndex":105},"schema":"https://github.com/citation-style-language/schema/raw/master/csl-citation.json"}</w:instrText>
      </w:r>
      <w:r w:rsidRPr="00B0640C">
        <w:fldChar w:fldCharType="separate"/>
      </w:r>
      <w:r w:rsidRPr="00B0640C">
        <w:rPr>
          <w:noProof/>
        </w:rPr>
        <w:t>Council of Australian University Librarians (2018) CAUL Review of Australian Repository Infrastructure.</w:t>
      </w:r>
      <w:r w:rsidRPr="00B0640C">
        <w:fldChar w:fldCharType="end"/>
      </w:r>
    </w:p>
  </w:footnote>
  <w:footnote w:id="108">
    <w:p w14:paraId="02D72A69" w14:textId="5315C48F"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Librarians","given":"","non-dropping-particle":"","parse-names":false,"suffix":""}],"id":"ITEM-1","issued":{"date-parts":[["2018"]]},"title":"CAUL Review of Australian Repository Infrastructure","type":"report"},"uris":["http://www.mendeley.com/documents/?uuid=bde25844-c3ac-3147-b03b-c5ec27a54eee"]}],"mendeley":{"formattedCitation":"Council of Australian University Librarians (2018) CAUL Review of Australian Repository Infrastructure.","plainTextFormattedCitation":"Council of Australian University Librarians (2018) CAUL Review of Australian Repository Infrastructure.","previouslyFormattedCitation":"Council of Australian University Librarians (2018) CAUL Review of Australian Repository Infrastructure."},"properties":{"noteIndex":106},"schema":"https://github.com/citation-style-language/schema/raw/master/csl-citation.json"}</w:instrText>
      </w:r>
      <w:r w:rsidRPr="00B0640C">
        <w:fldChar w:fldCharType="separate"/>
      </w:r>
      <w:r w:rsidRPr="0093165B">
        <w:rPr>
          <w:noProof/>
        </w:rPr>
        <w:t>Council of Australian University Librarians (2018) CAUL Review of Australian Repository Infrastructure.</w:t>
      </w:r>
      <w:r w:rsidRPr="00B0640C">
        <w:fldChar w:fldCharType="end"/>
      </w:r>
    </w:p>
  </w:footnote>
  <w:footnote w:id="109">
    <w:p w14:paraId="1382B346" w14:textId="6788DD88"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{"citationItems":[{"id":"ITEM-1","itemData":{"URL":"https://www.openaire.eu/os-netherlands","accessed":{"date-parts":[["2021","9","29"]]},"author":[{"dropping-particle":"","family":"Elly Dijk","given":"Dans","non-dropping-particle":"","parse-names":false,"suffix":""}],"id":"ITEM-1","issued":{"date-parts":[["2017"]]},"title":"Open Science in Europe | The Netherlands","type":"webpage"},"uris":["http://www.mendeley.com/documents/?uuid=dca33988-cd81-3fdd-aa62-2941a9d1b0c8"]}],"mendeley":{"formattedCitation":"Elly Dijk D (2017) Open Science in Europe | The Netherlands. Viewed 29 September 2021, &lt;https://www.openaire.eu/os-netherlands&gt;.","plainTextFormattedCitation":"Elly Dijk D (2017) Open Science in Europe | The Netherlands. Viewed 29 September 2021, .","previouslyFormattedCitation":"Elly Dijk D (2017) Open Science in Europe | The Netherlands. Viewed 29 September 2021, &lt;https://www.openaire.eu/os-netherlands&gt;."},"properties":{"noteIndex":107},"schema":"https://github.com/citation-style-language/schema/raw/master/csl-citation.json"}</w:instrText>
      </w:r>
      <w:r w:rsidRPr="00B0640C">
        <w:fldChar w:fldCharType="separate"/>
      </w:r>
      <w:r w:rsidRPr="00C77D92">
        <w:rPr>
          <w:noProof/>
        </w:rPr>
        <w:t>Elly Dijk D (2017) Open Science in Europe | The Netherlands. Viewed 29 September 2021, &lt;https://www.openaire.eu/os-netherlands&gt;.</w:t>
      </w:r>
      <w:r w:rsidRPr="00B0640C">
        <w:fldChar w:fldCharType="end"/>
      </w:r>
    </w:p>
  </w:footnote>
  <w:footnote w:id="110">
    <w:p w14:paraId="18242F98" w14:textId="22255F87"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openaire.eu/zenodo-guide","accessed":{"date-parts":[["2021","9","28"]]},"author":[{"dropping-particle":"","family":"OpenAIRE","given":"","non-dropping-particle":"","parse-names":false,"suffix":""}],"id":"ITEM-1","issued":{"date-parts":[["2021"]]},"title":"Guides for OpenAIRE services","type":"webpage"},"uris":["http://www.mendeley.com/documents/?uuid=a723812c-6636-35e1-bd3b-a7be0b20b2b5","http://www.mendeley.com/documents/?uuid=c37ed73b-53b4-448e-ae8f-10663576fde7"]}],"mendeley":{"formattedCitation":"OpenAIRE (2021) Guides for OpenAIRE services. Viewed 28 September 2021, &lt;https://www.openaire.eu/zenodo-guide&gt;.","plainTextFormattedCitation":"OpenAIRE (2021) Guides for OpenAIRE services. Viewed 28 September 2021, .","previouslyFormattedCitation":"OpenAIRE (2021) Guides for OpenAIRE services. Viewed 28 September 2021, &lt;https://www.openaire.eu/zenodo-guide&gt;."},"properties":{"noteIndex":108},"schema":"https://github.com/citation-style-language/schema/raw/master/csl-citation.json"}</w:instrText>
      </w:r>
      <w:r w:rsidRPr="00B0640C">
        <w:fldChar w:fldCharType="separate"/>
      </w:r>
      <w:r w:rsidRPr="00C77D92">
        <w:rPr>
          <w:noProof/>
        </w:rPr>
        <w:t>OpenAIRE (2021) Guides for OpenAIRE services. Viewed 28 September 2021, &lt;https://www.openaire.eu/zenodo-guide&gt;.</w:t>
      </w:r>
      <w:r w:rsidRPr="00B0640C">
        <w:fldChar w:fldCharType="end"/>
      </w:r>
    </w:p>
  </w:footnote>
  <w:footnote w:id="111">
    <w:p w14:paraId="3F429650" w14:textId="1293E90E" w:rsidR="00597B45" w:rsidRPr="00B0640C" w:rsidRDefault="00597B45" w:rsidP="00553A5D">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Librarians","given":"","non-dropping-particle":"","parse-names":false,"suffix":""}],"id":"ITEM-1","issued":{"date-parts":[["2018"]]},"title":"CAUL Review of Australian Repository Infrastructure","type":"report"},"uris":["http://www.mendeley.com/documents/?uuid=bde25844-c3ac-3147-b03b-c5ec27a54eee"]}],"mendeley":{"formattedCitation":"Council of Australian University Librarians (2018) CAUL Review of Australian Repository Infrastructure.","plainTextFormattedCitation":"Council of Australian University Librarians (2018) CAUL Review of Australian Repository Infrastructure.","previouslyFormattedCitation":"Council of Australian University Librarians (2018) CAUL Review of Australian Repository Infrastructure."},"properties":{"noteIndex":109},"schema":"https://github.com/citation-style-language/schema/raw/master/csl-citation.json"}</w:instrText>
      </w:r>
      <w:r w:rsidRPr="00B0640C">
        <w:fldChar w:fldCharType="separate"/>
      </w:r>
      <w:r w:rsidRPr="0093165B">
        <w:rPr>
          <w:noProof/>
        </w:rPr>
        <w:t>Council of Australian University Librarians (2018) CAUL Review of Australian Repository Infrastructure.</w:t>
      </w:r>
      <w:r w:rsidRPr="00B0640C">
        <w:fldChar w:fldCharType="end"/>
      </w:r>
    </w:p>
  </w:footnote>
  <w:footnote w:id="112">
    <w:p w14:paraId="788D4876" w14:textId="7322A7E1"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For example, in legal and philosophy journal articles. </w:t>
      </w:r>
      <w:r w:rsidRPr="00B0640C">
        <w:fldChar w:fldCharType="begin" w:fldLock="1"/>
      </w:r>
      <w:r>
        <w:instrText>ADDIN CSL_CITATION {"citationItems":[{"id":"ITEM-1","itemData":{"author":[{"dropping-particle":"","family":"International Science Council","given":"","non-dropping-particle":"","parse-names":false,"suffix":""}],"id":"ITEM-1","issued":{"date-parts":[["2021"]]},"publisher-place":"Paris, France","title":"Opening the record of science: making scholarly publishing work for science in the digital era","type":"report"},"uris":["http://www.mendeley.com/documents/?uuid=8bb33148-48fd-32d0-9af7-a22aebd11a7a"]}],"mendeley":{"formattedCitation":"International Science Council (2021) Opening the record of science: making scholarly publishing work for science in the digital era. Paris, France.","plainTextFormattedCitation":"International Science Council (2021) Opening the record of science: making scholarly publishing work for science in the digital era. Paris, France.","previouslyFormattedCitation":"International Science Council (2021) Opening the record of science: making scholarly publishing work for science in the digital era. Paris, France."},"properties":{"noteIndex":110},"schema":"https://github.com/citation-style-language/schema/raw/master/csl-citation.json"}</w:instrText>
      </w:r>
      <w:r w:rsidRPr="00B0640C">
        <w:fldChar w:fldCharType="separate"/>
      </w:r>
      <w:r w:rsidRPr="00B0640C">
        <w:rPr>
          <w:noProof/>
        </w:rPr>
        <w:t>International Science Council (2021) Opening the record of science: making scholarly publishing work for science in the digital era. Paris, France.</w:t>
      </w:r>
      <w:r w:rsidRPr="00B0640C">
        <w:fldChar w:fldCharType="end"/>
      </w:r>
    </w:p>
  </w:footnote>
  <w:footnote w:id="113">
    <w:p w14:paraId="5F21C90E" w14:textId="4B2EB12A"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{"citationItems":[{"id":"ITEM-1","itemData":{"URL":"https://creativecommons.org/licenses/","accessed":{"date-parts":[["2021","10","12"]]},"author":[{"dropping-particle":"","family":"Creative Commons","given":"","non-dropping-particle":"","parse-names":false,"suffix":""}],"id":"ITEM-1","issued":{"date-parts":[["0"]]},"title":"About The Licenses","type":"webpage"},"uris":["http://www.mendeley.com/documents/?uuid=4aba4870-7372-3d84-a925-af5fabf65420"]}],"mendeley":{"formattedCitation":"Creative Commons About The Licenses. Viewed 12 October 2021, &lt;https://creativecommons.org/licenses/&gt;.","plainTextFormattedCitation":"Creative Commons About The Licenses. Viewed 12 October 2021, .","previouslyFormattedCitation":"Creative Commons About The Licenses. Viewed 12 October 2021, &lt;https://creativecommons.org/licenses/&gt;."},"properties":{"noteIndex":111},"schema":"https://github.com/citation-style-language/schema/raw/master/csl-citation.json"}</w:instrText>
      </w:r>
      <w:r w:rsidRPr="00B0640C">
        <w:fldChar w:fldCharType="separate"/>
      </w:r>
      <w:r w:rsidRPr="00C77D92">
        <w:rPr>
          <w:noProof/>
        </w:rPr>
        <w:t>Creative Commons About The Licenses. Viewed 12 October 2021, &lt;https://creativecommons.org/licenses/&gt;.</w:t>
      </w:r>
      <w:r w:rsidRPr="00B0640C">
        <w:fldChar w:fldCharType="end"/>
      </w:r>
    </w:p>
  </w:footnote>
  <w:footnote w:id="114">
    <w:p w14:paraId="2E2B1765" w14:textId="2D91A15D"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{"citationItems":[{"id":"ITEM-1","itemData":{"author":[{"dropping-particle":"","family":"The Australian Institute of Aboriginal and Torres Strait Islander Studies","given":"","non-dropping-particle":"","parse-names":false,"suffix":""}],"id":"ITEM-1","issued":{"date-parts":[["2015"]]},"publisher-place":"Canberra","title":"Guidelines for the ethical publishing of Aboriginal and Torres Strait Islander authors and research from those communities","type":"report"},"uris":["http://www.mendeley.com/documents/?uuid=b0ca84e2-6aed-3b4c-a2a5-19cd3807370c"]}],"mendeley":{"formattedCitation":"The Australian Institute of Aboriginal and Torres Strait Islander Studies (2015) Guidelines for the ethical publishing of Aboriginal and Torres Strait Islander authors and research from those communities. Canberra.","plainTextFormattedCitation":"The Australian Institute of Aboriginal and Torres Strait Islander Studies (2015) Guidelines for the ethical publishing of Aboriginal and Torres Strait Islander authors and research from those communities. Canberra.","previouslyFormattedCitation":"The Australian Institute of Aboriginal and Torres Strait Islander Studies (2015) Guidelines for the ethical publishing of Aboriginal and Torres Strait Islander authors and research from those communities. Canberra."},"properties":{"noteIndex":112},"schema":"https://github.com/citation-style-language/schema/raw/master/csl-citation.json"}</w:instrText>
      </w:r>
      <w:r w:rsidRPr="00B0640C">
        <w:fldChar w:fldCharType="separate"/>
      </w:r>
      <w:r w:rsidRPr="0093165B">
        <w:rPr>
          <w:noProof/>
        </w:rPr>
        <w:t>The Australian Institute of Aboriginal and Torres Strait Islander Studies (2015) Guidelines for the ethical publishing of Aboriginal and Torres Strait Islander authors and research from those communities. Canberra.</w:t>
      </w:r>
      <w:r w:rsidRPr="00B0640C">
        <w:fldChar w:fldCharType="end"/>
      </w:r>
    </w:p>
  </w:footnote>
  <w:footnote w:id="115">
    <w:p w14:paraId="2C3FD064" w14:textId="246E98D5"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{"citationItems":[{"id":"ITEM-1","itemData":{"id":"ITEM-1","issued":{"date-parts":[["2012"]]},"title":"San Francisco Declaration on Research Assessment","type":"article"},"uris":["http://www.mendeley.com/documents/?uuid=d06faa35-40a0-3fb1-a3a3-0ef5f358a4b0"]}],"mendeley":{"formattedCitation":"San Francisco Declaration on Research Assessment (2012).","plainTextFormattedCitation":"San Francisco Declaration on Research Assessment (2012).","previouslyFormattedCitation":"San Francisco Declaration on Research Assessment (2012)."},"properties":{"noteIndex":113},"schema":"https://github.com/citation-style-language/schema/raw/master/csl-citation.json"}</w:instrText>
      </w:r>
      <w:r w:rsidRPr="00B0640C">
        <w:fldChar w:fldCharType="separate"/>
      </w:r>
      <w:r w:rsidRPr="0093165B">
        <w:rPr>
          <w:noProof/>
        </w:rPr>
        <w:t>San Francisco Declaration on Research Assessment (2012).</w:t>
      </w:r>
      <w:r w:rsidRPr="00B0640C">
        <w:fldChar w:fldCharType="end"/>
      </w:r>
    </w:p>
  </w:footnote>
  <w:footnote w:id="116">
    <w:p w14:paraId="21114C1F" w14:textId="0E69BD43"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{"citationItems":[{"id":"ITEM-1","itemData":{"author":[{"dropping-particle":"","family":"Jisc","given":"","non-dropping-particle":"","parse-names":false,"suffix":""}],"id":"ITEM-1","issued":{"date-parts":[["2021"]]},"title":"Funding agreed to develop platform that will change research culture ","type":"article-newspaper"},"uris":["http://www.mendeley.com/documents/?uuid=5b463a3c-dabf-34e2-a588-b539a3e680e3"]}],"mendeley":{"formattedCitation":"Jisc (2021) Funding agreed to develop platform that will change research culture .","plainTextFormattedCitation":"Jisc (2021) Funding agreed to develop platform that will change research culture .","previouslyFormattedCitation":"Jisc (2021) Funding agreed to develop platform that will change research culture ."},"properties":{"noteIndex":114},"schema":"https://github.com/citation-style-language/schema/raw/master/csl-citation.json"}</w:instrText>
      </w:r>
      <w:r w:rsidRPr="00B0640C">
        <w:fldChar w:fldCharType="separate"/>
      </w:r>
      <w:r w:rsidRPr="0093165B">
        <w:rPr>
          <w:noProof/>
        </w:rPr>
        <w:t>Jisc (2021) Funding agreed to develop platform that will change research culture .</w:t>
      </w:r>
      <w:r w:rsidRPr="00B0640C">
        <w:fldChar w:fldCharType="end"/>
      </w:r>
    </w:p>
  </w:footnote>
  <w:footnote w:id="117">
    <w:p w14:paraId="2AFE6573" w14:textId="3C9442A1"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{"citationItems":[{"id":"ITEM-1","itemData":{"URL":"https://en.unesco.org/science-sustainable-future/open-science","accessed":{"date-parts":[["2021","10","28"]]},"author":[{"dropping-particle":"","family":"United Nations Educational Scientific and Cultural Organisation;","given":"","non-dropping-particle":"","parse-names":false,"suffix":""}],"id":"ITEM-1","issued":{"date-parts":[["2021"]]},"title":"Open Science","type":"webpage"},"uris":["http://www.mendeley.com/documents/?uuid=73834562-d054-332e-bf6a-1adacf19511e"]}],"mendeley":{"formattedCitation":"United Nations Educational Scientific and Cultural Organisation; (2021) Open Science. Viewed 28 October 2021, &lt;https://en.unesco.org/science-sustainable-future/open-science&gt;.","plainTextFormattedCitation":"United Nations Educational Scientific and Cultural Organisation; (2021) Open Science. Viewed 28 October 2021, .","previouslyFormattedCitation":"United Nations Educational Scientific and Cultural Organisation; (2021) Open Science. Viewed 28 October 2021, &lt;https://en.unesco.org/science-sustainable-future/open-science&gt;."},"properties":{"noteIndex":115},"schema":"https://github.com/citation-style-language/schema/raw/master/csl-citation.json"}</w:instrText>
      </w:r>
      <w:r w:rsidRPr="00B0640C">
        <w:fldChar w:fldCharType="separate"/>
      </w:r>
      <w:r w:rsidRPr="00C77D92">
        <w:rPr>
          <w:noProof/>
        </w:rPr>
        <w:t>United Nations Educational Scientific and Cultural Organisation; (2021) Open Science. Viewed 28 October 2021, &lt;https://en.unesco.org/science-sustainable-future/open-science&gt;.</w:t>
      </w:r>
      <w:r w:rsidRPr="00B0640C">
        <w:fldChar w:fldCharType="end"/>
      </w:r>
    </w:p>
  </w:footnote>
  <w:footnote w:id="118">
    <w:p w14:paraId="2FA20F43" w14:textId="28948351"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{"citationItems":[{"id":"ITEM-1","itemData":{"author":[{"dropping-particle":"","family":"Clarivate","given":"","non-dropping-particle":"","parse-names":false,"suffix":""}],"id":"ITEM-1","issued":{"date-parts":[["2017"]]},"publisher-place":"Philadelphia","title":"Clarivate Analytics exclusive provider of Web of Science citation data to Australian Research Council for ERA 2018","type":"article-newspaper"},"uris":["http://www.mendeley.com/documents/?uuid=1f7e2ba9-96b8-3d2a-b820-6fb1ad34a704"]}],"mendeley":{"formattedCitation":"Clarivate (2017) Clarivate Analytics exclusive provider of Web of Science citation data to Australian Research Council for ERA 2018.","plainTextFormattedCitation":"Clarivate (2017) Clarivate Analytics exclusive provider of Web of Science citation data to Australian Research Council for ERA 2018.","previouslyFormattedCitation":"Clarivate (2017) Clarivate Analytics exclusive provider of Web of Science citation data to Australian Research Council for ERA 2018."},"properties":{"noteIndex":116},"schema":"https://github.com/citation-style-language/schema/raw/master/csl-citation.json"}</w:instrText>
      </w:r>
      <w:r w:rsidRPr="00B0640C">
        <w:fldChar w:fldCharType="separate"/>
      </w:r>
      <w:r w:rsidRPr="0093165B">
        <w:rPr>
          <w:noProof/>
        </w:rPr>
        <w:t>Clarivate (2017) Clarivate Analytics exclusive provider of Web of Science citation data to Australian Research Council for ERA 2018.</w:t>
      </w:r>
      <w:r w:rsidRPr="00B0640C">
        <w:fldChar w:fldCharType="end"/>
      </w:r>
    </w:p>
  </w:footnote>
  <w:footnote w:id="119">
    <w:p w14:paraId="77305A8C" w14:textId="3A1216B1"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For example, </w:t>
      </w:r>
      <w:r w:rsidRPr="00B0640C">
        <w:fldChar w:fldCharType="begin" w:fldLock="1"/>
      </w:r>
      <w:r>
        <w:instrText>ADDIN CSL_CITATION {"citationItems":[{"id":"ITEM-1","itemData":{"author":[{"dropping-particle":"","family":"Universities UK Open Access Monographs Group","given":"","non-dropping-particle":"","parse-names":false,"suffix":""}],"id":"ITEM-1","issued":{"date-parts":[["2019"]]},"title":"Open access and monographs evidence review","type":"report"},"uris":["http://www.mendeley.com/documents/?uuid=2836d9da-be35-3284-aa0e-9a701a05b0dd"]}],"mendeley":{"formattedCitation":"Universities UK Open Access Monographs Group (2019) Open access and monographs evidence review.","plainTextFormattedCitation":"Universities UK Open Access Monographs Group (2019) Open access and monographs evidence review.","previouslyFormattedCitation":"Universities UK Open Access Monographs Group (2019) Open access and monographs evidence review."},"properties":{"noteIndex":117},"schema":"https://github.com/citation-style-language/schema/raw/master/csl-citation.json"}</w:instrText>
      </w:r>
      <w:r w:rsidRPr="00B0640C">
        <w:fldChar w:fldCharType="separate"/>
      </w:r>
      <w:r w:rsidRPr="0093165B">
        <w:rPr>
          <w:noProof/>
        </w:rPr>
        <w:t>Universities UK Open Access Monographs Group (2019) Open access and monographs evidence review.</w:t>
      </w:r>
      <w:r w:rsidRPr="00B0640C">
        <w:fldChar w:fldCharType="end"/>
      </w:r>
    </w:p>
  </w:footnote>
  <w:footnote w:id="120">
    <w:p w14:paraId="150EAB91" w14:textId="7D1CD215"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See Appendix D. </w:t>
      </w:r>
      <w:r w:rsidRPr="00B0640C">
        <w:fldChar w:fldCharType="begin" w:fldLock="1"/>
      </w:r>
      <w:r>
        <w:instrText>ADDIN CSL_CITATION {"citationItems":[{"id":"ITEM-1","itemData":{"URL":"https://www.ukri.org/publications/ukri-open-access-policy/","accessed":{"date-parts":[["2021","10","1"]]},"author":[{"dropping-particle":"","family":"UK Research and Innovation","given":"","non-dropping-particle":"","parse-names":false,"suffix":""}],"id":"ITEM-1","issued":{"date-parts":[["2021"]]},"title":"UKRI open access policy","type":"webpage"},"uris":["http://www.mendeley.com/documents/?uuid=c44e401c-5e72-3f95-907d-04cccf80f836"]}],"mendeley":{"formattedCitation":"UK Research and Innovation (2021) UKRI open access policy. Viewed 1 October 2021, &lt;https://www.ukri.org/publications/ukri-open-access-policy/&gt;.","plainTextFormattedCitation":"UK Research and Innovation (2021) UKRI open access policy. Viewed 1 October 2021, .","previouslyFormattedCitation":"UK Research and Innovation (2021) UKRI open access policy. Viewed 1 October 2021, &lt;https://www.ukri.org/publications/ukri-open-access-policy/&gt;."},"properties":{"noteIndex":118},"schema":"https://github.com/citation-style-language/schema/raw/master/csl-citation.json"}</w:instrText>
      </w:r>
      <w:r w:rsidRPr="00B0640C">
        <w:fldChar w:fldCharType="separate"/>
      </w:r>
      <w:r w:rsidRPr="00C77D92">
        <w:rPr>
          <w:noProof/>
        </w:rPr>
        <w:t>UK Research and Innovation (2021) UKRI open access policy. Viewed 1 October 2021, &lt;https://www.ukri.org/publications/ukri-open-access-policy/&gt;.</w:t>
      </w:r>
      <w:r w:rsidRPr="00B0640C">
        <w:fldChar w:fldCharType="end"/>
      </w:r>
    </w:p>
  </w:footnote>
  <w:footnote w:id="121">
    <w:p w14:paraId="6ED89325" w14:textId="77777777"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Stakeholders that only provided written input are denoted by an asterisk (*).</w:t>
      </w:r>
    </w:p>
  </w:footnote>
  <w:footnote w:id="122">
    <w:p w14:paraId="0591D87F" w14:textId="77777777"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Available data from Scimago Lab suggest that currently approximately 40% of papers with Australian authors do not involve international collaboration. If half of the remaining papers with Australian papers (which involve international collaboration) are assumed to be Australian led, this gives a proportion of 70%.  </w:t>
      </w:r>
    </w:p>
  </w:footnote>
  <w:footnote w:id="123">
    <w:p w14:paraId="472B42E6" w14:textId="77777777" w:rsidR="00597B45" w:rsidRPr="00B0640C" w:rsidRDefault="00597B45" w:rsidP="00FC1563">
      <w:pPr>
        <w:pStyle w:val="FootnoteText"/>
      </w:pPr>
      <w:r w:rsidRPr="00B0640C">
        <w:rPr>
          <w:rStyle w:val="FootnoteReference"/>
          <w:rFonts w:asciiTheme="minorHAnsi" w:hAnsiTheme="minorHAnsi" w:cstheme="minorHAnsi"/>
          <w:szCs w:val="16"/>
        </w:rPr>
        <w:footnoteRef/>
      </w:r>
      <w:r w:rsidRPr="00B0640C">
        <w:t xml:space="preserve"> The team also attempted to scale costs associated with the Bibsam Consortium in Sweden. The results for this were similar in scale, but they have not been reported due to low confidence in the approach.</w:t>
      </w:r>
    </w:p>
  </w:footnote>
  <w:footnote w:id="124">
    <w:p w14:paraId="61B24553" w14:textId="748329A9" w:rsidR="00597B45" w:rsidRPr="00B0640C" w:rsidRDefault="00597B45" w:rsidP="00FC1563">
      <w:pPr>
        <w:pStyle w:val="FootnoteText"/>
      </w:pPr>
      <w:r w:rsidRPr="00B0640C">
        <w:rPr>
          <w:rStyle w:val="FootnoteReference"/>
          <w:rFonts w:asciiTheme="minorHAnsi" w:hAnsiTheme="minorHAnsi" w:cstheme="minorHAnsi"/>
          <w:color w:val="000000" w:themeColor="text2"/>
          <w:szCs w:val="16"/>
        </w:rPr>
        <w:footnoteRef/>
      </w:r>
      <w:r w:rsidRPr="00B0640C">
        <w:t xml:space="preserve"> </w:t>
      </w:r>
      <w:r>
        <w:fldChar w:fldCharType="begin" w:fldLock="1"/>
      </w:r>
      <w:r>
        <w:instrText>ADDIN CSL_CITATION {"citationItems":[{"id":"ITEM-1","itemData":{"URL":"https://www.springer.com/gp/livingreviews/news/springer-nature-projekt-deal/17553680","accessed":{"date-parts":[["2021","11","15"]]},"author":[{"dropping-particle":"","family":"Springer Nature","given":"","non-dropping-particle":"","parse-names":false,"suffix":""}],"id":"ITEM-1","issued":{"date-parts":[["2020","1","9"]]},"title":"Springer Nature and Germany's Projekt DEAL Finalise World's Largest Transformative Open Access Agreement","type":"webpage"},"uris":["http://www.mendeley.com/documents/?uuid=e3f7f6a2-e72b-3446-92b1-25abb8c6794b"]}],"mendeley":{"formattedCitation":"Springer Nature (2020) Springer Nature and Germany’s Projekt DEAL Finalise World’s Largest Transformative Open Access Agreement. Viewed 15 November 2021, &lt;https://www.springer.com/gp/livingreviews/news/springer-nature-projekt-deal/17553680&gt;.","plainTextFormattedCitation":"Springer Nature (2020) Springer Nature and Germany’s Projekt DEAL Finalise World’s Largest Transformative Open Access Agreement. Viewed 15 November 2021, .","previouslyFormattedCitation":"Springer Nature (2020) Springer Nature and Germany’s Projekt DEAL Finalise World’s Largest Transformative Open Access Agreement. Viewed 15 November 2021, &lt;https://www.springer.com/gp/livingreviews/news/springer-nature-projekt-deal/17553680&gt;."},"properties":{"noteIndex":122},"schema":"https://github.com/citation-style-language/schema/raw/master/csl-citation.json"}</w:instrText>
      </w:r>
      <w:r>
        <w:fldChar w:fldCharType="separate"/>
      </w:r>
      <w:r w:rsidRPr="00C77D92">
        <w:rPr>
          <w:noProof/>
        </w:rPr>
        <w:t>Springer Nature (2020) Springer Nature and Germany’s Projekt DEAL Finalise World’s Largest Transformative Open Access Agreement. Viewed 15 November 2021, &lt;https://www.springer.com/gp/livingreviews/news/springer-nature-projekt-deal/17553680&gt;.</w:t>
      </w:r>
      <w:r>
        <w:fldChar w:fldCharType="end"/>
      </w:r>
    </w:p>
  </w:footnote>
  <w:footnote w:id="125">
    <w:p w14:paraId="0F1A5DD8" w14:textId="77777777" w:rsidR="00597B45" w:rsidRPr="00B0640C" w:rsidRDefault="00597B45" w:rsidP="0046484E">
      <w:pPr>
        <w:pStyle w:val="CommentText"/>
        <w:rPr>
          <w:rFonts w:asciiTheme="minorHAnsi" w:hAnsiTheme="minorHAnsi" w:cstheme="minorHAnsi"/>
          <w:sz w:val="16"/>
          <w:szCs w:val="16"/>
        </w:rPr>
      </w:pPr>
      <w:r w:rsidRPr="003C51AA">
        <w:rPr>
          <w:rStyle w:val="FootnoteReference"/>
          <w:rFonts w:asciiTheme="minorHAnsi" w:hAnsiTheme="minorHAnsi" w:cstheme="minorHAnsi"/>
          <w:sz w:val="16"/>
          <w:szCs w:val="16"/>
        </w:rPr>
        <w:footnoteRef/>
      </w:r>
      <w:r w:rsidRPr="00B0640C">
        <w:rPr>
          <w:rFonts w:asciiTheme="minorHAnsi" w:hAnsiTheme="minorHAnsi" w:cstheme="minorHAnsi"/>
          <w:sz w:val="16"/>
          <w:szCs w:val="16"/>
        </w:rPr>
        <w:t xml:space="preserve"> Note that Wiley and Springer-Nature comprise approximately 25% of Australian-linked journal articles in the web of science core collection (2011-2020)</w:t>
      </w:r>
    </w:p>
  </w:footnote>
  <w:footnote w:id="126">
    <w:p w14:paraId="018ECF09" w14:textId="436F0A06"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fldChar w:fldCharType="begin" w:fldLock="1"/>
      </w:r>
      <w:r>
        <w:instrText>ADDIN CSL_CITATION {"citationItems":[{"id":"ITEM-1","itemData":{"URL":"https://www.springer.com/gp/livingreviews/news/springer-nature-projekt-deal/17553680","accessed":{"date-parts":[["2021","11","15"]]},"author":[{"dropping-particle":"","family":"Springer Nature","given":"","non-dropping-particle":"","parse-names":false,"suffix":""}],"id":"ITEM-1","issued":{"date-parts":[["2020","1","9"]]},"title":"Springer Nature and Germany's Projekt DEAL Finalise World's Largest Transformative Open Access Agreement","type":"webpage"},"uris":["http://www.mendeley.com/documents/?uuid=e3f7f6a2-e72b-3446-92b1-25abb8c6794b"]}],"mendeley":{"formattedCitation":"Springer Nature (2020) Springer Nature and Germany’s Projekt DEAL Finalise World’s Largest Transformative Open Access Agreement. Viewed 15 November 2021, &lt;https://www.springer.com/gp/livingreviews/news/springer-nature-projekt-deal/17553680&gt;.","plainTextFormattedCitation":"Springer Nature (2020) Springer Nature and Germany’s Projekt DEAL Finalise World’s Largest Transformative Open Access Agreement. Viewed 15 November 2021, .","previouslyFormattedCitation":"Springer Nature (2020) Springer Nature and Germany’s Projekt DEAL Finalise World’s Largest Transformative Open Access Agreement. Viewed 15 November 2021, &lt;https://www.springer.com/gp/livingreviews/news/springer-nature-projekt-deal/17553680&gt;."},"properties":{"noteIndex":124},"schema":"https://github.com/citation-style-language/schema/raw/master/csl-citation.json"}</w:instrText>
      </w:r>
      <w:r>
        <w:fldChar w:fldCharType="separate"/>
      </w:r>
      <w:r w:rsidRPr="00C77D92">
        <w:rPr>
          <w:noProof/>
        </w:rPr>
        <w:t>Springer Nature (2020) Springer Nature and Germany’s Projekt DEAL Finalise World’s Largest Transformative Open Access Agreement. Viewed 15 November 2021, &lt;https://www.springer.com/gp/livingreviews/news/springer-nature-projekt-deal/17553680&gt;.</w:t>
      </w:r>
      <w:r>
        <w:fldChar w:fldCharType="end"/>
      </w:r>
    </w:p>
  </w:footnote>
  <w:footnote w:id="127">
    <w:p w14:paraId="5EA93C26" w14:textId="77777777"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Provided by Springer Nature from Dimensions data. </w:t>
      </w:r>
    </w:p>
  </w:footnote>
  <w:footnote w:id="128">
    <w:p w14:paraId="1D755A45" w14:textId="7D6F037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fldChar w:fldCharType="begin" w:fldLock="1"/>
      </w:r>
      <w:r>
        <w:instrText>ADDIN CSL_CITATION {"citationItems":[{"id":"ITEM-1","itemData":{"URL":"https://www.scimagojr.com/countrysearch.php?country=AU","accessed":{"date-parts":[["2021","11","15"]]},"author":[{"dropping-particle":"","family":"SJR","given":"","non-dropping-particle":"","parse-names":false,"suffix":""}],"id":"ITEM-1","issued":{"date-parts":[["2021"]]},"title":"Scimago Journal &amp; Country Rank | Australia","type":"webpage"},"uris":["http://www.mendeley.com/documents/?uuid=a54cd7e0-fca3-3432-bfda-eabcdd8d2742"]}],"mendeley":{"formattedCitation":"SJR (2021) Scimago Journal &amp; Country Rank | Australia. Viewed 15 November 2021, &lt;https://www.scimagojr.com/countrysearch.php?country=AU&gt;.","plainTextFormattedCitation":"SJR (2021) Scimago Journal &amp; Country Rank | Australia. Viewed 15 November 2021, .","previouslyFormattedCitation":"SJR (2021) Scimago Journal &amp; Country Rank | Australia. Viewed 15 November 2021, &lt;https://www.scimagojr.com/countrysearch.php?country=AU&gt;."},"properties":{"noteIndex":126},"schema":"https://github.com/citation-style-language/schema/raw/master/csl-citation.json"}</w:instrText>
      </w:r>
      <w:r>
        <w:fldChar w:fldCharType="separate"/>
      </w:r>
      <w:r w:rsidRPr="00C77D92">
        <w:rPr>
          <w:noProof/>
        </w:rPr>
        <w:t>SJR (2021) Scimago Journal &amp; Country Rank | Australia. Viewed 15 November 2021, &lt;https://www.scimagojr.com/countrysearch.php?country=AU&gt;.</w:t>
      </w:r>
      <w:r>
        <w:fldChar w:fldCharType="end"/>
      </w:r>
    </w:p>
  </w:footnote>
  <w:footnote w:id="129">
    <w:p w14:paraId="3A14CD8D" w14:textId="77777777"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That is to say, 40% of Australian publications do not involve international collaboration and are therefore definitely Australian research.</w:t>
      </w:r>
    </w:p>
  </w:footnote>
  <w:footnote w:id="130">
    <w:p w14:paraId="4B1E74D0" w14:textId="158E84A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{"citationItems":[{"id":"ITEM-1","itemData":{"ISSN":"1741-4857","abstract":"Transformative agreements, also known as ‘offsetting’, ‘read and publish’, or ‘publish and read’ agreements, have shifted the focus of scholarly journal licensing from cost containment towards open access publication. An analysis of 36 full-text transformative agreements recorded in the ESAC registry shows that ‘transformative agreement’ is an umbrella term that encompasses different kinds of contracts. We differentiate between pre-transformative, partially transformative, and fully transformative agreements. Pre-transformative agreements are traditional subscription licences that grant article processing charge (APC) discounts or vouchers for open access publication of a limited number of articles. Partially transformative agreements differentiate between a read fee and a publish fee to cover the processing charges of a certain number of articles. Fully transformative agreements allow unlimited open access publication of the scholarly output of the subscribing institution. In all three categories, some agreements restrict open access publication to hybrid journals, whereas others allow publication in both hybrid and gold journals. Transformative agreements are more transparent than traditional journal licences, allow authors to retain copyright, and make provisions to facilitate the management of open access workflows. It is hard to assess whether these agreements are just a temporary phase in the transition towards open access or will perpetuate the current structure of the scholarly communication system and its associated high costs.","author":[{"dropping-particle":"","family":"Borrego","given":"Ángel","non-dropping-particle":"","parse-names":false,"suffix":""},{"dropping-particle":"","family":"Anglada","given":"Lluís","non-dropping-particle":"","parse-names":false,"suffix":""},{"dropping-particle":"","family":"Abadal","given":"Ernest","non-dropping-particle":"","parse-names":false,"suffix":""}],"container-title":"Learned Publishing","id":"ITEM-1","issue":"2","issued":{"date-parts":[["2021","4","1"]]},"page":"216-232","publisher":"John Wiley &amp; Sons, Ltd","title":"Transformative agreements: Do they pave the way to open access?","type":"article-journal","volume":"34"},"uris":["http://www.mendeley.com/documents/?uuid=09d77b32-8b58-3362-9ab7-0b9a44a11abd"]}],"mendeley":{"formattedCitation":"Borrego Á, Anglada L and Abadal E (2021) Transformative agreements: Do they pave the way to open access? Learned Publishing 34(2), 216–232.","plainTextFormattedCitation":"Borrego Á, Anglada L and Abadal E (2021) Transformative agreements: Do they pave the way to open access? Learned Publishing 34(2), 216–232.","previouslyFormattedCitation":"Borrego Á, Anglada L and Abadal E (2021) Transformative agreements: Do they pave the way to open access? Learned Publishing 34(2), 216–232."},"properties":{"noteIndex":128},"schema":"https://github.com/citation-style-language/schema/raw/master/csl-citation.json"}</w:instrText>
      </w:r>
      <w:r w:rsidRPr="00B0640C">
        <w:fldChar w:fldCharType="separate"/>
      </w:r>
      <w:r w:rsidRPr="00114706">
        <w:rPr>
          <w:noProof/>
        </w:rPr>
        <w:t>Borrego Á, Anglada L and Abadal E (2021) Transformative agreements: Do they pave the way to open access? Learned Publishing 34(2), 216–232.</w:t>
      </w:r>
      <w:r w:rsidRPr="00B0640C">
        <w:fldChar w:fldCharType="end"/>
      </w:r>
    </w:p>
  </w:footnote>
  <w:footnote w:id="131">
    <w:p w14:paraId="031DA059" w14:textId="176CA249"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{"citationItems":[{"id":"ITEM-1","itemData":{"DOI":"10.2777/24416","ISBN":"978-92-76-00849-1","author":[{"dropping-particle":"","family":"European Commission","given":"","non-dropping-particle":"","parse-names":false,"suffix":""}],"id":"ITEM-1","issued":{"date-parts":[["2019"]]},"publisher-place":"Luxembourg","title":"Open Research Policies in the United Kingdom: Open Science Monitor Case Study","type":"report"},"uris":["http://www.mendeley.com/documents/?uuid=22010541-62de-3377-a1be-2ea39ef6a4cb"]}],"mendeley":{"formattedCitation":"European Commission (2019) Open Research Policies in the United Kingdom: Open Science Monitor Case Study. Luxembourg.","plainTextFormattedCitation":"European Commission (2019) Open Research Policies in the United Kingdom: Open Science Monitor Case Study. Luxembourg.","previouslyFormattedCitation":"European Commission (2019) Open Research Policies in the United Kingdom: Open Science Monitor Case Study. Luxembourg."},"properties":{"noteIndex":129},"schema":"https://github.com/citation-style-language/schema/raw/master/csl-citation.json"}</w:instrText>
      </w:r>
      <w:r w:rsidRPr="00B0640C">
        <w:fldChar w:fldCharType="separate"/>
      </w:r>
      <w:r w:rsidRPr="00B0640C">
        <w:rPr>
          <w:noProof/>
        </w:rPr>
        <w:t>European Commission (2019) Open Research Policies in the United Kingdom: Open Science Monitor Case Study. Luxembourg.</w:t>
      </w:r>
      <w:r w:rsidRPr="00B0640C">
        <w:fldChar w:fldCharType="end"/>
      </w:r>
    </w:p>
  </w:footnote>
  <w:footnote w:id="132">
    <w:p w14:paraId="229D21F1" w14:textId="065CD8B6"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Committee."},"properties":{"noteIndex":130},"schema":"https://github.com/citation-style-language/schema/raw/master/csl-citation.json"}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133">
    <w:p w14:paraId="012BE975" w14:textId="6C57356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{"citationItems":[{"id":"ITEM-1","itemData":{"ISSN":"1741-4857","abstract":"Transformative agreements, also known as ‘offsetting’, ‘read and publish’, or ‘publish and read’ agreements, have shifted the focus of scholarly journal licensing from cost containment towards open access publication. An analysis of 36 full-text transformative agreements recorded in the ESAC registry shows that ‘transformative agreement’ is an umbrella term that encompasses different kinds of contracts. We differentiate between pre-transformative, partially transformative, and fully transformative agreements. Pre-transformative agreements are traditional subscription licences that grant article processing charge (APC) discounts or vouchers for open access publication of a limited number of articles. Partially transformative agreements differentiate between a read fee and a publish fee to cover the processing charges of a certain number of articles. Fully transformative agreements allow unlimited open access publication of the scholarly output of the subscribing institution. In all three categories, some agreements restrict open access publication to hybrid journals, whereas others allow publication in both hybrid and gold journals. Transformative agreements are more transparent than traditional journal licences, allow authors to retain copyright, and make provisions to facilitate the management of open access workflows. It is hard to assess whether these agreements are just a temporary phase in the transition towards open access or will perpetuate the current structure of the scholarly communication system and its associated high costs.","author":[{"dropping-particle":"","family":"Borrego","given":"Ángel","non-dropping-particle":"","parse-names":false,"suffix":""},{"dropping-particle":"","family":"Anglada","given":"Lluís","non-dropping-particle":"","parse-names":false,"suffix":""},{"dropping-particle":"","family":"Abadal","given":"Ernest","non-dropping-particle":"","parse-names":false,"suffix":""}],"container-title":"Learned Publishing","id":"ITEM-1","issue":"2","issued":{"date-parts":[["2021","4","1"]]},"page":"216-232","publisher":"John Wiley &amp; Sons, Ltd","title":"Transformative agreements: Do they pave the way to open access?","type":"article-journal","volume":"34"},"uris":["http://www.mendeley.com/documents/?uuid=09d77b32-8b58-3362-9ab7-0b9a44a11abd"]}],"mendeley":{"formattedCitation":"Borrego Á, Anglada L and Abadal E (2021) Transformative agreements: Do they pave the way to open access? Learned Publishing 34(2), 216–232.","plainTextFormattedCitation":"Borrego Á, Anglada L and Abadal E (2021) Transformative agreements: Do they pave the way to open access? Learned Publishing 34(2), 216–232.","previouslyFormattedCitation":"Borrego Á, Anglada L and Abadal E (2021) Transformative agreements: Do they pave the way to open access? Learned Publishing 34(2), 216–232."},"properties":{"noteIndex":131},"schema":"https://github.com/citation-style-language/schema/raw/master/csl-citation.json"}</w:instrText>
      </w:r>
      <w:r w:rsidRPr="00B0640C">
        <w:fldChar w:fldCharType="separate"/>
      </w:r>
      <w:r w:rsidRPr="00114706">
        <w:rPr>
          <w:noProof/>
        </w:rPr>
        <w:t>Borrego Á, Anglada L and Abadal E (2021) Transformative agreements: Do they pave the way to open access? Learned Publishing 34(2), 216–232.</w:t>
      </w:r>
      <w:r w:rsidRPr="00B0640C">
        <w:fldChar w:fldCharType="end"/>
      </w:r>
    </w:p>
  </w:footnote>
  <w:footnote w:id="134">
    <w:p w14:paraId="0CA7DBE3" w14:textId="395EC4D6"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{"citationItems":[{"id":"ITEM-1","itemData":{"URL":"https://www.timeshighereducation.com/blog/ukris-support-green-open-access-right-way-forward","accessed":{"date-parts":[["2021","9","2"]]},"author":[{"dropping-particle":"","family":"Times Higher Education","given":"","non-dropping-particle":"","parse-names":false,"suffix":""}],"id":"ITEM-1","issued":{"date-parts":[["2021"]]},"title":"UKRI’s support for green open access is the right way forward","type":"webpage"},"uris":["http://www.mendeley.com/documents/?uuid=79203630-e742-34c1-beef-8902880a3c8f"]}],"mendeley":{"formattedCitation":"Times Higher Education (2021) UKRI’s support for green open access is the right way forward. Viewed 2 September 2021, &lt;https://www.timeshighereducation.com/blog/ukris-support-green-open-access-right-way-forward&gt;.","plainTextFormattedCitation":"Times Higher Education (2021) UKRI’s support for green open access is the right way forward. Viewed 2 September 2021, .","previouslyFormattedCitation":"Times Higher Education (2021) UKRI’s support for green open access is the right way forward. Viewed 2 September 2021, &lt;https://www.timeshighereducation.com/blog/ukris-support-green-open-access-right-way-forward&gt;."},"properties":{"noteIndex":132},"schema":"https://github.com/citation-style-language/schema/raw/master/csl-citation.json"}</w:instrText>
      </w:r>
      <w:r w:rsidRPr="00B0640C">
        <w:fldChar w:fldCharType="separate"/>
      </w:r>
      <w:r w:rsidRPr="00C77D92">
        <w:rPr>
          <w:noProof/>
        </w:rPr>
        <w:t>Times Higher Education (2021) UKRI’s support for green open access is the right way forward. Viewed 2 September 2021, &lt;https://www.timeshighereducation.com/blog/ukris-support-green-open-access-right-way-forward&gt;.</w:t>
      </w:r>
      <w:r w:rsidRPr="00B0640C">
        <w:fldChar w:fldCharType="end"/>
      </w:r>
    </w:p>
  </w:footnote>
  <w:footnote w:id="135">
    <w:p w14:paraId="1EAB57A7" w14:textId="15AFFDD6"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{"citationItems":[{"id":"ITEM-1","itemData":{"author":[{"dropping-particle":"","family":"Universities UK","given":"","non-dropping-particle":"","parse-names":false,"suffix":""}],"id":"ITEM-1","issued":{"date-parts":[["2017"]]},"title":"Monitoring the Transition to Open Access","type":"report"},"uris":["http://www.mendeley.com/documents/?uuid=7451354b-37e0-357f-b492-817350888eb2"]}],"mendeley":{"formattedCitation":"Universities UK (2017) Monitoring the Transition to Open Access.","plainTextFormattedCitation":"Universities UK (2017) Monitoring the Transition to Open Access.","previouslyFormattedCitation":"Universities UK (2017) Monitoring the Transition to Open Access."},"properties":{"noteIndex":133},"schema":"https://github.com/citation-style-language/schema/raw/master/csl-citation.json"}</w:instrText>
      </w:r>
      <w:r w:rsidRPr="00B0640C">
        <w:fldChar w:fldCharType="separate"/>
      </w:r>
      <w:r w:rsidRPr="0093165B">
        <w:rPr>
          <w:noProof/>
        </w:rPr>
        <w:t>Universities UK (2017) Monitoring the Transition to Open Access.</w:t>
      </w:r>
      <w:r w:rsidRPr="00B0640C">
        <w:fldChar w:fldCharType="end"/>
      </w:r>
    </w:p>
  </w:footnote>
  <w:footnote w:id="136">
    <w:p w14:paraId="118DA6DE" w14:textId="04524BC0"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{"citationItems":[{"id":"ITEM-1","itemData":{"author":[{"dropping-particle":"","family":"Universities UK","given":"","non-dropping-particle":"","parse-names":false,"suffix":""}],"id":"ITEM-1","issued":{"date-parts":[["2017"]]},"title":"Monitoring the Transition to Open Access","type":"report"},"uris":["http://www.mendeley.com/documents/?uuid=7451354b-37e0-357f-b492-817350888eb2"]}],"mendeley":{"formattedCitation":"Universities UK (2017) Monitoring the Transition to Open Access.","plainTextFormattedCitation":"Universities UK (2017) Monitoring the Transition to Open Access.","previouslyFormattedCitation":"Universities UK (2017) Monitoring the Transition to Open Access."},"properties":{"noteIndex":134},"schema":"https://github.com/citation-style-language/schema/raw/master/csl-citation.json"}</w:instrText>
      </w:r>
      <w:r w:rsidRPr="00B0640C">
        <w:fldChar w:fldCharType="separate"/>
      </w:r>
      <w:r w:rsidRPr="0093165B">
        <w:rPr>
          <w:noProof/>
        </w:rPr>
        <w:t>Universities UK (2017) Monitoring the Transition to Open Access.</w:t>
      </w:r>
      <w:r w:rsidRPr="00B0640C">
        <w:fldChar w:fldCharType="end"/>
      </w:r>
    </w:p>
  </w:footnote>
  <w:footnote w:id="137">
    <w:p w14:paraId="024741BF" w14:textId="5046FBC1"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eprints.lse.ac.uk/88427/1/impactofsocialsciences-2018-01-22-adoption-of-open-access-is-rising.pdf","accessed":{"date-parts":[["2021","7","6"]]},"author":[{"dropping-particle":"","family":"Pinfield","given":"Stephen","non-dropping-particle":"","parse-names":false,"suffix":""},{"dropping-particle":"","family":"Johnson","given":"Rob","non-dropping-particle":"","parse-names":false,"suffix":""}],"container-title":"The London School of Economics and Political Science Impact Blog","id":"ITEM-1","issued":{"date-parts":[["2018"]]},"title":"Adoption of open access is rising – but so too are its costs","type":"webpage"},"uris":["http://www.mendeley.com/documents/?uuid=662e3bcd-dd95-382a-b801-2f60944bcd1a"]}],"mendeley":{"formattedCitation":"Pinfield S and Johnson R (2018) Adoption of open access is rising – but so too are its costs. Viewed 6 July 2021, &lt;http://eprints.lse.ac.uk/88427/1/impactofsocialsciences-2018-01-22-adoption-of-open-access-is-rising.pdf&gt;.","plainTextFormattedCitation":"Pinfield S and Johnson R (2018) Adoption of open access is rising – but so too are its costs. Viewed 6 July 2021, .","previouslyFormattedCitation":"Pinfield S and Johnson R (2018) Adoption of open access is rising – but so too are its costs. Viewed 6 July 2021, &lt;http://eprints.lse.ac.uk/88427/1/impactofsocialsciences-2018-01-22-adoption-of-open-access-is-rising.pdf&gt;."},"properties":{"noteIndex":135},"schema":"https://github.com/citation-style-language/schema/raw/master/csl-citation.json"}</w:instrText>
      </w:r>
      <w:r w:rsidRPr="00B0640C">
        <w:fldChar w:fldCharType="separate"/>
      </w:r>
      <w:r w:rsidRPr="00C77D92">
        <w:rPr>
          <w:noProof/>
        </w:rPr>
        <w:t>Pinfield S and Johnson R (2018) Adoption of open access is rising – but so too are its costs. Viewed 6 July 2021, &lt;http://eprints.lse.ac.uk/88427/1/impactofsocialsciences-2018-01-22-adoption-of-open-access-is-rising.pdf&gt;.</w:t>
      </w:r>
      <w:r w:rsidRPr="00B0640C">
        <w:fldChar w:fldCharType="end"/>
      </w:r>
    </w:p>
  </w:footnote>
  <w:footnote w:id="138">
    <w:p w14:paraId="02B1E2DE" w14:textId="181424F1"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{"citationItems":[{"id":"ITEM-1","itemData":{"author":[{"dropping-particle":"","family":"Universities UK","given":"","non-dropping-particle":"","parse-names":false,"suffix":""}],"id":"ITEM-1","issued":{"date-parts":[["2017"]]},"title":"Monitoring the Transition to Open Access","type":"report"},"uris":["http://www.mendeley.com/documents/?uuid=7451354b-37e0-357f-b492-817350888eb2"]}],"mendeley":{"formattedCitation":"Universities UK (2017) Monitoring the Transition to Open Access.","plainTextFormattedCitation":"Universities UK (2017) Monitoring the Transition to Open Access.","previouslyFormattedCitation":"Universities UK (2017) Monitoring the Transition to Open Access."},"properties":{"noteIndex":136},"schema":"https://github.com/citation-style-language/schema/raw/master/csl-citation.json"}</w:instrText>
      </w:r>
      <w:r w:rsidRPr="00B0640C">
        <w:fldChar w:fldCharType="separate"/>
      </w:r>
      <w:r w:rsidRPr="0093165B">
        <w:rPr>
          <w:noProof/>
        </w:rPr>
        <w:t>Universities UK (2017) Monitoring the Transition to Open Access.</w:t>
      </w:r>
      <w:r w:rsidRPr="00B0640C">
        <w:fldChar w:fldCharType="end"/>
      </w:r>
    </w:p>
  </w:footnote>
  <w:footnote w:id="139">
    <w:p w14:paraId="7D590965" w14:textId="78E308F3"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{"citationItems":[{"id":"ITEM-1","itemData":{"URL":"http://roarmap.eprints.org/view/country/un=5Fgeoscheme.html","accessed":{"date-parts":[["2021","7","15"]]},"author":[{"dropping-particle":"","family":"Registry of Open Access Repository Mandates and Policies","given":"","non-dropping-particle":"","parse-names":false,"suffix":""}],"id":"ITEM-1","issued":{"date-parts":[["2021"]]},"title":"Browse by Country | Policies Adopted by Quarter","type":"webpage"},"uris":["http://www.mendeley.com/documents/?uuid=789b824a-8057-33f4-a356-082df2415de3"]}],"mendeley":{"formattedCitation":"Registry of Open Access Repository Mandates and Policies (2021) Browse by Country | Policies Adopted by Quarter. Viewed 15 July 2021, &lt;http://roarmap.eprints.org/view/country/un=5Fgeoscheme.html&gt;.","plainTextFormattedCitation":"Registry of Open Access Repository Mandates and Policies (2021) Browse by Country | Policies Adopted by Quarter. Viewed 15 July 2021, .","previouslyFormattedCitation":"Registry of Open Access Repository Mandates and Policies (2021) Browse by Country | Policies Adopted by Quarter. Viewed 15 July 2021, &lt;http://roarmap.eprints.org/view/country/un=5Fgeoscheme.html&gt;."},"properties":{"noteIndex":137},"schema":"https://github.com/citation-style-language/schema/raw/master/csl-citation.json"}</w:instrText>
      </w:r>
      <w:r w:rsidRPr="00B0640C">
        <w:fldChar w:fldCharType="separate"/>
      </w:r>
      <w:r w:rsidRPr="00C77D92">
        <w:rPr>
          <w:noProof/>
        </w:rPr>
        <w:t>Registry of Open Access Repository Mandates and Policies (2021) Browse by Country | Policies Adopted by Quarter. Viewed 15 July 2021, &lt;http://roarmap.eprints.org/view/country/un=5Fgeoscheme.html&gt;.</w:t>
      </w:r>
      <w:r w:rsidRPr="00B0640C">
        <w:fldChar w:fldCharType="end"/>
      </w:r>
    </w:p>
  </w:footnote>
  <w:footnote w:id="140">
    <w:p w14:paraId="5BCA5D5C" w14:textId="10AD098D"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Committee."},"properties":{"noteIndex":138},"schema":"https://github.com/citation-style-language/schema/raw/master/csl-citation.json"}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141">
    <w:p w14:paraId="7D6C8223" w14:textId="3E0BD5E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researchsharing.sparcopen.org/articles","accessed":{"date-parts":[["2021","7","13"]]},"author":[{"dropping-particle":"","family":"SPARC","given":"","non-dropping-particle":"","parse-names":false,"suffix":""}],"id":"ITEM-1","issued":{"date-parts":[["0"]]},"title":"Browse Article Sharing Requirements by Federal Agency","type":"webpage"},"uris":["http://www.mendeley.com/documents/?uuid=4fcc512a-59d9-3d5c-afc8-060f91d83f12"]}],"mendeley":{"formattedCitation":"SPARC Browse Article Sharing Requirements by Federal Agency. Viewed 13 July 2021, &lt;http://researchsharing.sparcopen.org/articles&gt;.","plainTextFormattedCitation":"SPARC Browse Article Sharing Requirements by Federal Agency. Viewed 13 July 2021, .","previouslyFormattedCitation":"SPARC Browse Article Sharing Requirements by Federal Agency. Viewed 13 July 2021, &lt;http://researchsharing.sparcopen.org/articles&gt;."},"properties":{"noteIndex":139},"schema":"https://github.com/citation-style-language/schema/raw/master/csl-citation.json"}</w:instrText>
      </w:r>
      <w:r w:rsidRPr="00B0640C">
        <w:fldChar w:fldCharType="separate"/>
      </w:r>
      <w:r w:rsidRPr="00C77D92">
        <w:rPr>
          <w:noProof/>
        </w:rPr>
        <w:t>SPARC Browse Article Sharing Requirements by Federal Agency. Viewed 13 July 2021, &lt;http://researchsharing.sparcopen.org/articles&gt;.</w:t>
      </w:r>
      <w:r w:rsidRPr="00B0640C">
        <w:fldChar w:fldCharType="end"/>
      </w:r>
    </w:p>
  </w:footnote>
  <w:footnote w:id="142">
    <w:p w14:paraId="46C97240" w14:textId="6A50793D"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{"citationItems":[{"id":"ITEM-1","itemData":{"URL":"https://publicaccess.nih.gov/policy.htm","accessed":{"date-parts":[["2021","7","13"]]},"author":[{"dropping-particle":"","family":"U.S. Department of Health &amp; Human Services","given":"","non-dropping-particle":"","parse-names":false,"suffix":""}],"id":"ITEM-1","issued":{"date-parts":[["2008"]]},"title":"NIH Public Access Policy Details","type":"webpage"},"uris":["http://www.mendeley.com/documents/?uuid=a417ce60-0117-3ddc-966e-28cdb4037cf1"]}],"mendeley":{"formattedCitation":"U.S. Department of Health &amp; Human Services (2008) NIH Public Access Policy Details. Viewed 13 July 2021, &lt;https://publicaccess.nih.gov/policy.htm&gt;.","plainTextFormattedCitation":"U.S. Department of Health &amp; Human Services (2008) NIH Public Access Policy Details. Viewed 13 July 2021, .","previouslyFormattedCitation":"U.S. Department of Health &amp; Human Services (2008) NIH Public Access Policy Details. Viewed 13 July 2021, &lt;https://publicaccess.nih.gov/policy.htm&gt;."},"properties":{"noteIndex":140},"schema":"https://github.com/citation-style-language/schema/raw/master/csl-citation.json"}</w:instrText>
      </w:r>
      <w:r w:rsidRPr="00B0640C">
        <w:fldChar w:fldCharType="separate"/>
      </w:r>
      <w:r w:rsidRPr="00C77D92">
        <w:rPr>
          <w:noProof/>
        </w:rPr>
        <w:t>U.S. Department of Health &amp; Human Services (2008) NIH Public Access Policy Details. Viewed 13 July 2021, &lt;https://publicaccess.nih.gov/policy.htm&gt;.</w:t>
      </w:r>
      <w:r w:rsidRPr="00B0640C">
        <w:fldChar w:fldCharType="end"/>
      </w:r>
    </w:p>
  </w:footnote>
  <w:footnote w:id="143">
    <w:p w14:paraId="3930CCB4" w14:textId="2126A6AE"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{"citationItems":[{"id":"ITEM-1","itemData":{"author":[{"dropping-particle":"","family":"Science-Metrix Inc","given":"","non-dropping-particle":"","parse-names":false,"suffix":""}],"id":"ITEM-1","issued":{"date-parts":[["2018"]]},"publisher-place":"Montréal","title":"Analytical Support for Bibliometrics Indicators: Open access availability of scientific publications","type":"report"},"uris":["http://www.mendeley.com/documents/?uuid=005d3043-a552-3c9d-90dc-771de6eb19e5"]}],"mendeley":{"formattedCitation":"Science-Metrix Inc (2018) Analytical Support for Bibliometrics Indicators: Open access availability of scientific publications. Montréal.","plainTextFormattedCitation":"Science-Metrix Inc (2018) Analytical Support for Bibliometrics Indicators: Open access availability of scientific publications. Montréal.","previouslyFormattedCitation":"Science-Metrix Inc (2018) Analytical Support for Bibliometrics Indicators: Open access availability of scientific publications. Montréal."},"properties":{"noteIndex":141},"schema":"https://github.com/citation-style-language/schema/raw/master/csl-citation.json"}</w:instrText>
      </w:r>
      <w:r w:rsidRPr="00B0640C">
        <w:fldChar w:fldCharType="separate"/>
      </w:r>
      <w:r w:rsidRPr="00B0640C">
        <w:rPr>
          <w:noProof/>
        </w:rPr>
        <w:t>Science-Metrix Inc (2018) Analytical Support for Bibliometrics Indicators: Open access availability of scientific publications. Montréal.</w:t>
      </w:r>
      <w:r w:rsidRPr="00B0640C">
        <w:fldChar w:fldCharType="end"/>
      </w:r>
    </w:p>
  </w:footnote>
  <w:footnote w:id="144">
    <w:p w14:paraId="2029EBDC" w14:textId="14E4F84F"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Committee."},"properties":{"noteIndex":142},"schema":"https://github.com/citation-style-language/schema/raw/master/csl-citation.json"}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145">
    <w:p w14:paraId="034A21EE" w14:textId="2F0A69CC"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www.unesco.org/new/en/communication-and-information/portals-and-platforms/goap/access-by-region/europe-and-north-america/canada/","author":[{"dropping-particle":"","family":"UNESCO","given":"","non-dropping-particle":"","parse-names":false,"suffix":""}],"id":"ITEM-1","issued":{"date-parts":[["0"]]},"title":"Global Open Access Portal | Canada","type":"webpage"},"uris":["http://www.mendeley.com/documents/?uuid=dafea7e6-7866-3c01-a7bb-89ce9b53f55d"]}],"mendeley":{"formattedCitation":"UNESCO Global Open Access Portal | Canada. &lt;http://www.unesco.org/new/en/communication-and-information/portals-and-platforms/goap/access-by-region/europe-and-north-america/canada/&gt;.","plainTextFormattedCitation":"UNESCO Global Open Access Portal | Canada. .","previouslyFormattedCitation":"UNESCO Global Open Access Portal | Canada. &lt;http://www.unesco.org/new/en/communication-and-information/portals-and-platforms/goap/access-by-region/europe-and-north-america/canada/&gt;."},"properties":{"noteIndex":143},"schema":"https://github.com/citation-style-language/schema/raw/master/csl-citation.json"}</w:instrText>
      </w:r>
      <w:r w:rsidRPr="00B0640C">
        <w:fldChar w:fldCharType="separate"/>
      </w:r>
      <w:r w:rsidRPr="00C77D92">
        <w:rPr>
          <w:noProof/>
        </w:rPr>
        <w:t>UNESCO Global Open Access Portal | Canada. &lt;http://www.unesco.org/new/en/communication-and-information/portals-and-platforms/goap/access-by-region/europe-and-north-america/canada/&gt;.</w:t>
      </w:r>
      <w:r w:rsidRPr="00B0640C">
        <w:fldChar w:fldCharType="end"/>
      </w:r>
    </w:p>
  </w:footnote>
  <w:footnote w:id="146">
    <w:p w14:paraId="4E04541E" w14:textId="0EC577B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{"citationItems":[{"id":"ITEM-1","itemData":{"URL":"https://www.carl-abrc.ca/news/carl-member-libraries-quantify-their-investments-in-open-scholarship/","accessed":{"date-parts":[["2021","10","8"]]},"author":[{"dropping-particle":"","family":"Canadian Association of Research Libraries","given":"","non-dropping-particle":"","parse-names":false,"suffix":""}],"id":"ITEM-1","issued":{"date-parts":[["2020"]]},"title":"CARL Member Libraries Quantify Their Investments in Open Scholarship","type":"webpage"},"uris":["http://www.mendeley.com/documents/?uuid=8d29ab4d-c340-393a-b24d-dd07a702773f"]}],"mendeley":{"formattedCitation":"Canadian Association of Research Libraries (2020) CARL Member Libraries Quantify Their Investments in Open Scholarship. Viewed 8 October 2021, &lt;https://www.carl-abrc.ca/news/carl-member-libraries-quantify-their-investments-in-open-scholarship/&gt;.","plainTextFormattedCitation":"Canadian Association of Research Libraries (2020) CARL Member Libraries Quantify Their Investments in Open Scholarship. Viewed 8 October 2021, .","previouslyFormattedCitation":"Canadian Association of Research Libraries (2020) CARL Member Libraries Quantify Their Investments in Open Scholarship. Viewed 8 October 2021, &lt;https://www.carl-abrc.ca/news/carl-member-libraries-quantify-their-investments-in-open-scholarship/&gt;."},"properties":{"noteIndex":144},"schema":"https://github.com/citation-style-language/schema/raw/master/csl-citation.json"}</w:instrText>
      </w:r>
      <w:r w:rsidRPr="00B0640C">
        <w:fldChar w:fldCharType="separate"/>
      </w:r>
      <w:r w:rsidRPr="00C77D92">
        <w:rPr>
          <w:noProof/>
        </w:rPr>
        <w:t>Canadian Association of Research Libraries (2020) CARL Member Libraries Quantify Their Investments in Open Scholarship. Viewed 8 October 2021, &lt;https://www.carl-abrc.ca/news/carl-member-libraries-quantify-their-investments-in-open-scholarship/&gt;.</w:t>
      </w:r>
      <w:r w:rsidRPr="00B0640C">
        <w:fldChar w:fldCharType="end"/>
      </w:r>
    </w:p>
  </w:footnote>
  <w:footnote w:id="147">
    <w:p w14:paraId="171BE6A2" w14:textId="6A72CBE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{"citationItems":[{"id":"ITEM-1","itemData":{"author":[{"dropping-particle":"","family":"Council of Australian University Librarians","given":"","non-dropping-particle":"","parse-names":false,"suffix":""}],"id":"ITEM-1","issued":{"date-parts":[["2017"]]},"title":"Current State of Open Access: Briefing Paper for Universities Australia (UA) Deputy Vice-Chancellors Research Committee","type":"report"},"uris":["http://www.mendeley.com/documents/?uuid=c24bcd4e-ffad-3b04-a471-ffeebbf9f5c8"]}],"mendeley":{"formattedCitation":"Council of Australian University Librarians (2017) Current State of Open Access: Briefing Paper for Universities Australia (UA) Deputy Vice-Chancellors Research Committee.","plainTextFormattedCitation":"Council of Australian University Librarians (2017) Current State of Open Access: Briefing Paper for Universities Australia (UA) Deputy Vice-Chancellors Research Committee.","previouslyFormattedCitation":"Council of Australian University Librarians (2017) Current State of Open Access: Briefing Paper for Universities Australia (UA) Deputy Vice-Chancellors Research Committee."},"properties":{"noteIndex":145},"schema":"https://github.com/citation-style-language/schema/raw/master/csl-citation.json"}</w:instrText>
      </w:r>
      <w:r w:rsidRPr="00B0640C">
        <w:fldChar w:fldCharType="separate"/>
      </w:r>
      <w:r w:rsidRPr="0093165B">
        <w:rPr>
          <w:noProof/>
        </w:rPr>
        <w:t>Council of Australian University Librarians (2017) Current State of Open Access: Briefing Paper for Universities Australia (UA) Deputy Vice-Chancellors Research Committee.</w:t>
      </w:r>
      <w:r w:rsidRPr="00B0640C">
        <w:fldChar w:fldCharType="end"/>
      </w:r>
    </w:p>
  </w:footnote>
  <w:footnote w:id="148">
    <w:p w14:paraId="246B9644" w14:textId="3D6E33A2"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{"citationItems":[{"id":"ITEM-1","itemData":{"URL":"https://authorservices.taylorandfrancis.com/publishing-open-access/oa-agreements/open-access-funding-for-authors-in-sweden/#","accessed":{"date-parts":[["2021","7","14"]]},"author":[{"dropping-particle":"","family":"Taylor &amp; Francis","given":"","non-dropping-particle":"","parse-names":false,"suffix":""}],"id":"ITEM-1","issued":{"date-parts":[["0"]]},"title":"Open access funding for authors in Sweden","type":"webpage"},"uris":["http://www.mendeley.com/documents/?uuid=94a275d9-805f-3959-9cb3-ddf592a6fb9a"]}],"mendeley":{"formattedCitation":"Taylor &amp; Francis Open access funding for authors in Sweden. Viewed 14 July 2021, &lt;https://authorservices.taylorandfrancis.com/publishing-open-access/oa-agreements/open-access-funding-for-authors-in-sweden/#&gt;.","plainTextFormattedCitation":"Taylor &amp; Francis Open access funding for authors in Sweden. Viewed 14 July 2021, .","previouslyFormattedCitation":"Taylor &amp; Francis Open access funding for authors in Sweden. Viewed 14 July 2021, &lt;https://authorservices.taylorandfrancis.com/publishing-open-access/oa-agreements/open-access-funding-for-authors-in-sweden/#&gt;."},"properties":{"noteIndex":146},"schema":"https://github.com/citation-style-language/schema/raw/master/csl-citation.json"}</w:instrText>
      </w:r>
      <w:r w:rsidRPr="00B0640C">
        <w:fldChar w:fldCharType="separate"/>
      </w:r>
      <w:r w:rsidRPr="00C77D92">
        <w:rPr>
          <w:noProof/>
        </w:rPr>
        <w:t>Taylor &amp; Francis Open access funding for authors in Sweden. Viewed 14 July 2021, &lt;https://authorservices.taylorandfrancis.com/publishing-open-access/oa-agreements/open-access-funding-for-authors-in-sweden/#&gt;.</w:t>
      </w:r>
      <w:r w:rsidRPr="00B0640C">
        <w:fldChar w:fldCharType="end"/>
      </w:r>
    </w:p>
  </w:footnote>
  <w:footnote w:id="149">
    <w:p w14:paraId="4E707822" w14:textId="55C9272E"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kb.se/samverkan-och-utveckling/oppen-tillgang-och-bibsamkonsortiet/open-access-and-bibsam-consortium/bibsam-consortium.html","accessed":{"date-parts":[["2021","7","14"]]},"author":[{"dropping-particle":"","family":"National Library of Sweden","given":"","non-dropping-particle":"","parse-names":false,"suffix":""}],"id":"ITEM-1","issued":{"date-parts":[["2021"]]},"title":"Bibsam Consortium","type":"webpage"},"uris":["http://www.mendeley.com/documents/?uuid=76353bbf-161c-3a36-8847-3f08cae864ed"]}],"mendeley":{"formattedCitation":"National Library of Sweden (2021) Bibsam Consortium. Viewed 14 July 2021, &lt;https://www.kb.se/samverkan-och-utveckling/oppen-tillgang-och-bibsamkonsortiet/open-access-and-bibsam-consortium/bibsam-consortium.html&gt;.","plainTextFormattedCitation":"National Library of Sweden (2021) Bibsam Consortium. Viewed 14 July 2021, .","previouslyFormattedCitation":"National Library of Sweden (2021) Bibsam Consortium. Viewed 14 July 2021, &lt;https://www.kb.se/samverkan-och-utveckling/oppen-tillgang-och-bibsamkonsortiet/open-access-and-bibsam-consortium/bibsam-consortium.html&gt;."},"properties":{"noteIndex":147},"schema":"https://github.com/citation-style-language/schema/raw/master/csl-citation.json"}</w:instrText>
      </w:r>
      <w:r w:rsidRPr="00B0640C">
        <w:fldChar w:fldCharType="separate"/>
      </w:r>
      <w:r w:rsidRPr="00C77D92">
        <w:rPr>
          <w:noProof/>
        </w:rPr>
        <w:t>National Library of Sweden (2021) Bibsam Consortium. Viewed 14 July 2021, &lt;https://www.kb.se/samverkan-och-utveckling/oppen-tillgang-och-bibsamkonsortiet/open-access-and-bibsam-consortium/bibsam-consortium.html&gt;.</w:t>
      </w:r>
      <w:r w:rsidRPr="00B0640C">
        <w:fldChar w:fldCharType="end"/>
      </w:r>
    </w:p>
  </w:footnote>
  <w:footnote w:id="150">
    <w:p w14:paraId="4BBD8A7D" w14:textId="573484E1"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www.unesco.org/new/en/communication-and-information/portals-and-platforms/goap/access-by-region/europe-and-north-america/sweden/","accessed":{"date-parts":[["2021","7","13"]]},"author":[{"dropping-particle":"","family":"UNESCO","given":"","non-dropping-particle":"","parse-names":false,"suffix":""}],"id":"ITEM-1","issued":{"date-parts":[["0"]]},"title":"Global Open Access Portal | Sweden","type":"webpage"},"uris":["http://www.mendeley.com/documents/?uuid=7770d47c-876e-3900-b529-703bdaa74d8f"]}],"mendeley":{"formattedCitation":"UNESCO Global Open Access Portal | Sweden. Viewed 13 July 2021, &lt;http://www.unesco.org/new/en/communication-and-information/portals-and-platforms/goap/access-by-region/europe-and-north-america/sweden/&gt;.","plainTextFormattedCitation":"UNESCO Global Open Access Portal | Sweden. Viewed 13 July 2021, .","previouslyFormattedCitation":"UNESCO Global Open Access Portal | Sweden. Viewed 13 July 2021, &lt;http://www.unesco.org/new/en/communication-and-information/portals-and-platforms/goap/access-by-region/europe-and-north-america/sweden/&gt;."},"properties":{"noteIndex":148},"schema":"https://github.com/citation-style-language/schema/raw/master/csl-citation.json"}</w:instrText>
      </w:r>
      <w:r w:rsidRPr="00B0640C">
        <w:fldChar w:fldCharType="separate"/>
      </w:r>
      <w:r w:rsidRPr="00C77D92">
        <w:rPr>
          <w:noProof/>
        </w:rPr>
        <w:t>UNESCO Global Open Access Portal | Sweden. Viewed 13 July 2021, &lt;http://www.unesco.org/new/en/communication-and-information/portals-and-platforms/goap/access-by-region/europe-and-north-america/sweden/&gt;.</w:t>
      </w:r>
      <w:r w:rsidRPr="00B0640C">
        <w:fldChar w:fldCharType="end"/>
      </w:r>
      <w:r w:rsidRPr="00B0640C">
        <w:t xml:space="preserve"> </w:t>
      </w:r>
    </w:p>
  </w:footnote>
  <w:footnote w:id="151">
    <w:p w14:paraId="4176CAF5" w14:textId="4F937614"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{"citationItems":[{"id":"ITEM-1","itemData":{"author":[{"dropping-particle":"","family":"European Commission","given":"","non-dropping-particle":"","parse-names":false,"suffix":""}],"id":"ITEM-1","issued":{"date-parts":[["2013"]]},"title":"Open Access Strategies in the European Research Area","type":"report"},"uris":["http://www.mendeley.com/documents/?uuid=44aa739e-3691-304a-927d-6bc2abd0b5a7"]}],"mendeley":{"formattedCitation":"European Commission (2013) Open Access Strategies in the European Research Area.","plainTextFormattedCitation":"European Commission (2013) Open Access Strategies in the European Research Area.","previouslyFormattedCitation":"European Commission (2013) Open Access Strategies in the European Research Area."},"properties":{"noteIndex":149},"schema":"https://github.com/citation-style-language/schema/raw/master/csl-citation.json"}</w:instrText>
      </w:r>
      <w:r w:rsidRPr="00B0640C">
        <w:fldChar w:fldCharType="separate"/>
      </w:r>
      <w:r w:rsidRPr="0093165B">
        <w:rPr>
          <w:noProof/>
        </w:rPr>
        <w:t>European Commission (2013) Open Access Strategies in the European Research Area.</w:t>
      </w:r>
      <w:r w:rsidRPr="00B0640C">
        <w:fldChar w:fldCharType="end"/>
      </w:r>
    </w:p>
  </w:footnote>
  <w:footnote w:id="152">
    <w:p w14:paraId="0554E1EA" w14:textId="07016C91"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{"citationItems":[{"id":"ITEM-1","itemData":{"author":[{"dropping-particle":"","family":"Science-Metrix Inc","given":"","non-dropping-particle":"","parse-names":false,"suffix":""}],"id":"ITEM-1","issued":{"date-parts":[["2018"]]},"publisher-place":"Montréal","title":"Analytical Support for Bibliometrics Indicators: Open access availability of scientific publications","type":"report"},"uris":["http://www.mendeley.com/documents/?uuid=005d3043-a552-3c9d-90dc-771de6eb19e5"]}],"mendeley":{"formattedCitation":"Science-Metrix Inc (2018) Analytical Support for Bibliometrics Indicators: Open access availability of scientific publications. Montréal.","plainTextFormattedCitation":"Science-Metrix Inc (2018) Analytical Support for Bibliometrics Indicators: Open access availability of scientific publications. Montréal.","previouslyFormattedCitation":"Science-Metrix Inc (2018) Analytical Support for Bibliometrics Indicators: Open access availability of scientific publications. Montréal."},"properties":{"noteIndex":150},"schema":"https://github.com/citation-style-language/schema/raw/master/csl-citation.json"}</w:instrText>
      </w:r>
      <w:r w:rsidRPr="00B0640C">
        <w:fldChar w:fldCharType="separate"/>
      </w:r>
      <w:r w:rsidRPr="00B0640C">
        <w:rPr>
          <w:noProof/>
        </w:rPr>
        <w:t>Science-Metrix Inc (2018) Analytical Support for Bibliometrics Indicators: Open access availability of scientific publications. Montréal.</w:t>
      </w:r>
      <w:r w:rsidRPr="00B0640C">
        <w:fldChar w:fldCharType="end"/>
      </w:r>
    </w:p>
  </w:footnote>
  <w:footnote w:id="153">
    <w:p w14:paraId="246B775F" w14:textId="405CA90D"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kb.se/samverkan-och-utveckling/oppen-tillgang-och-bibsamkonsortiet/open-access-and-bibsam-consortium/cost-of-scholarly-publishing.html","accessed":{"date-parts":[["2021","7","30"]]},"author":[{"dropping-particle":"","family":"Kungliga Biblioteket","given":"","non-dropping-particle":"","parse-names":false,"suffix":""}],"id":"ITEM-1","issued":{"date-parts":[["2021"]]},"title":"Cost of scholarly publishing","type":"webpage"},"uris":["http://www.mendeley.com/documents/?uuid=1c1d2dd6-d31b-36bc-8cc4-e902ef69eeeb"]}],"mendeley":{"formattedCitation":"Kungliga Biblioteket (2021) Cost of scholarly publishing. Viewed 30 July 2021, &lt;https://www.kb.se/samverkan-och-utveckling/oppen-tillgang-och-bibsamkonsortiet/open-access-and-bibsam-consortium/cost-of-scholarly-publishing.html&gt;.","plainTextFormattedCitation":"Kungliga Biblioteket (2021) Cost of scholarly publishing. Viewed 30 July 2021, .","previouslyFormattedCitation":"Kungliga Biblioteket (2021) Cost of scholarly publishing. Viewed 30 July 2021, &lt;https://www.kb.se/samverkan-och-utveckling/oppen-tillgang-och-bibsamkonsortiet/open-access-and-bibsam-consortium/cost-of-scholarly-publishing.html&gt;."},"properties":{"noteIndex":151},"schema":"https://github.com/citation-style-language/schema/raw/master/csl-citation.json"}</w:instrText>
      </w:r>
      <w:r w:rsidRPr="00B0640C">
        <w:fldChar w:fldCharType="separate"/>
      </w:r>
      <w:r w:rsidRPr="00C77D92">
        <w:rPr>
          <w:noProof/>
        </w:rPr>
        <w:t>Kungliga Biblioteket (2021) Cost of scholarly publishing. Viewed 30 July 2021, &lt;https://www.kb.se/samverkan-och-utveckling/oppen-tillgang-och-bibsamkonsortiet/open-access-and-bibsam-consortium/cost-of-scholarly-publishing.html&gt;.</w:t>
      </w:r>
      <w:r w:rsidRPr="00B0640C">
        <w:fldChar w:fldCharType="end"/>
      </w:r>
    </w:p>
  </w:footnote>
  <w:footnote w:id="154">
    <w:p w14:paraId="49CF352D" w14:textId="2679A02E"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www.unesco.org/new/en/communication-and-information/portals-and-platforms/goap/access-by-region/europe-and-north-america/norway/","accessed":{"date-parts":[["2021","10","13"]]},"author":[{"dropping-particle":"","family":"United Nations Educational","given":"Scientific and Cultural Organization","non-dropping-particle":"","parse-names":false,"suffix":""}],"id":"ITEM-1","issued":{"date-parts":[["2017"]]},"title":"Global Open Access Portal | Norway ","type":"webpage"},"uris":["http://www.mendeley.com/documents/?uuid=b0eb61cf-33f5-3393-b550-5c49d2336829"]}],"mendeley":{"formattedCitation":"United Nations Educational S and CO (2017) Global Open Access Portal | Norway . Viewed 13 October 2021, &lt;http://www.unesco.org/new/en/communication-and-information/portals-and-platforms/goap/access-by-region/europe-and-north-america/norway/&gt;.","plainTextFormattedCitation":"United Nations Educational S and CO (2017) Global Open Access Portal | Norway . Viewed 13 October 2021, .","previouslyFormattedCitation":"United Nations Educational S and CO (2017) Global Open Access Portal | Norway . Viewed 13 October 2021, &lt;http://www.unesco.org/new/en/communication-and-information/portals-and-platforms/goap/access-by-region/europe-and-north-america/norway/&gt;."},"properties":{"noteIndex":152},"schema":"https://github.com/citation-style-language/schema/raw/master/csl-citation.json"}</w:instrText>
      </w:r>
      <w:r w:rsidRPr="00B0640C">
        <w:fldChar w:fldCharType="separate"/>
      </w:r>
      <w:r w:rsidRPr="00C77D92">
        <w:rPr>
          <w:noProof/>
        </w:rPr>
        <w:t>United Nations Educational S and CO (2017) Global Open Access Portal | Norway . Viewed 13 October 2021, &lt;http://www.unesco.org/new/en/communication-and-information/portals-and-platforms/goap/access-by-region/europe-and-north-america/norway/&gt;.</w:t>
      </w:r>
      <w:r w:rsidRPr="00B0640C">
        <w:fldChar w:fldCharType="end"/>
      </w:r>
    </w:p>
  </w:footnote>
  <w:footnote w:id="155">
    <w:p w14:paraId="2D37EBFF" w14:textId="2C9CC68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{"citationItems":[{"id":"ITEM-1","itemData":{"URL":"http://roarmap.eprints.org/view/country/un=5Fgeoscheme.html","accessed":{"date-parts":[["2021","7","15"]]},"author":[{"dropping-particle":"","family":"Registry of Open Access Repository Mandates and Policies","given":"","non-dropping-particle":"","parse-names":false,"suffix":""}],"id":"ITEM-1","issued":{"date-parts":[["2021"]]},"title":"Browse by Country | Policies Adopted by Quarter","type":"webpage"},"uris":["http://www.mendeley.com/documents/?uuid=789b824a-8057-33f4-a356-082df2415de3"]}],"mendeley":{"formattedCitation":"Registry of Open Access Repository Mandates and Policies (2021) Browse by Country | Policies Adopted by Quarter. Viewed 15 July 2021, &lt;http://roarmap.eprints.org/view/country/un=5Fgeoscheme.html&gt;.","plainTextFormattedCitation":"Registry of Open Access Repository Mandates and Policies (2021) Browse by Country | Policies Adopted by Quarter. Viewed 15 July 2021, .","previouslyFormattedCitation":"Registry of Open Access Repository Mandates and Policies (2021) Browse by Country | Policies Adopted by Quarter. Viewed 15 July 2021, &lt;http://roarmap.eprints.org/view/country/un=5Fgeoscheme.html&gt;."},"properties":{"noteIndex":153},"schema":"https://github.com/citation-style-language/schema/raw/master/csl-citation.json"}</w:instrText>
      </w:r>
      <w:r w:rsidRPr="00B0640C">
        <w:fldChar w:fldCharType="separate"/>
      </w:r>
      <w:r w:rsidRPr="00C77D92">
        <w:rPr>
          <w:noProof/>
        </w:rPr>
        <w:t>Registry of Open Access Repository Mandates and Policies (2021) Browse by Country | Policies Adopted by Quarter. Viewed 15 July 2021, &lt;http://roarmap.eprints.org/view/country/un=5Fgeoscheme.html&gt;.</w:t>
      </w:r>
      <w:r w:rsidRPr="00B0640C">
        <w:fldChar w:fldCharType="end"/>
      </w:r>
    </w:p>
  </w:footnote>
  <w:footnote w:id="156">
    <w:p w14:paraId="556557A6" w14:textId="73D8D1B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{"citationItems":[{"id":"ITEM-1","itemData":{"abstract":"The government’s goal is that all pubclicly funded Norwegian research articles should be made openly available by 2024, and the government has established guidelines and measures for open access to research articles.","author":[{"dropping-particle":"","family":"Ministry of Education and Research","given":"","non-dropping-particle":"","parse-names":false,"suffix":""}],"id":"ITEM-1","issued":{"date-parts":[["2017","8","22"]]},"publisher":"regjeringen.no","title":"National goals and guidelines for open access to research articles","type":"report"},"uris":["http://www.mendeley.com/documents/?uuid=1dd998a1-43e9-310c-876a-ffc2e43a1530"]}],"mendeley":{"formattedCitation":"Ministry of Education and Research (2017) National goals and guidelines for open access to research articles. regjeringen.no.","plainTextFormattedCitation":"Ministry of Education and Research (2017) National goals and guidelines for open access to research articles. regjeringen.no.","previouslyFormattedCitation":"Ministry of Education and Research (2017) National goals and guidelines for open access to research articles. regjeringen.no."},"properties":{"noteIndex":154},"schema":"https://github.com/citation-style-language/schema/raw/master/csl-citation.json"}</w:instrText>
      </w:r>
      <w:r w:rsidRPr="00B0640C">
        <w:fldChar w:fldCharType="separate"/>
      </w:r>
      <w:r w:rsidRPr="0093165B">
        <w:rPr>
          <w:noProof/>
        </w:rPr>
        <w:t>Ministry of Education and Research (2017) National goals and guidelines for open access to research articles. regjeringen.no.</w:t>
      </w:r>
      <w:r w:rsidRPr="00B0640C">
        <w:fldChar w:fldCharType="end"/>
      </w:r>
    </w:p>
  </w:footnote>
  <w:footnote w:id="157">
    <w:p w14:paraId="2BE0561F" w14:textId="20FCBB2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{"citationItems":[{"id":"ITEM-1","itemData":{"author":[{"dropping-particle":"","family":"Offord","given":"Catherine","non-dropping-particle":"","parse-names":false,"suffix":""}],"container-title":"The Scientist Magazine","id":"ITEM-1","issued":{"date-parts":[["2019"]]},"title":"Norway Joins List of Countries Canceling Elsevier Contracts","type":"article-newspaper"},"uris":["http://www.mendeley.com/documents/?uuid=16104edb-fe34-3458-9537-e3e7d4f08572"]}],"mendeley":{"formattedCitation":"Offord C (2019) Norway Joins List of Countries Canceling Elsevier Contracts. The Scientist Magazine .","plainTextFormattedCitation":"Offord C (2019) Norway Joins List of Countries Canceling Elsevier Contracts. The Scientist Magazine .","previouslyFormattedCitation":"Offord C (2019) Norway Joins List of Countries Canceling Elsevier Contracts. The Scientist Magazine ."},"properties":{"noteIndex":155},"schema":"https://github.com/citation-style-language/schema/raw/master/csl-citation.json"}</w:instrText>
      </w:r>
      <w:r w:rsidRPr="00B0640C">
        <w:fldChar w:fldCharType="separate"/>
      </w:r>
      <w:r w:rsidRPr="0093165B">
        <w:rPr>
          <w:noProof/>
        </w:rPr>
        <w:t>Offord C (2019) Norway Joins List of Countries Canceling Elsevier Contracts. The Scientist Magazine .</w:t>
      </w:r>
      <w:r w:rsidRPr="00B0640C">
        <w:fldChar w:fldCharType="end"/>
      </w:r>
    </w:p>
  </w:footnote>
  <w:footnote w:id="158">
    <w:p w14:paraId="58549C6E" w14:textId="428FE687"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{"citationItems":[{"id":"ITEM-1","itemData":{"URL":"https://esac-initiative.org/about/transformative-agreements/agreement-registry/els2019unit/","accessed":{"date-parts":[["2021","10","28"]]},"author":[{"dropping-particle":"","family":"ESAC Initiative","given":"","non-dropping-particle":"","parse-names":false,"suffix":""}],"id":"ITEM-1","issued":{"date-parts":[["2019"]]},"title":"Elsevier 2019 unit","type":"webpage"},"uris":["http://www.mendeley.com/documents/?uuid=a154434b-603c-3596-8e43-9e2ac438f336"]}],"mendeley":{"formattedCitation":"ESAC Initiative (2019) Elsevier 2019 unit. Viewed 28 October 2021, &lt;https://esac-initiative.org/about/transformative-agreements/agreement-registry/els2019unit/&gt;.","plainTextFormattedCitation":"ESAC Initiative (2019) Elsevier 2019 unit. Viewed 28 October 2021, .","previouslyFormattedCitation":"ESAC Initiative (2019) Elsevier 2019 unit. Viewed 28 October 2021, &lt;https://esac-initiative.org/about/transformative-agreements/agreement-registry/els2019unit/&gt;."},"properties":{"noteIndex":156},"schema":"https://github.com/citation-style-language/schema/raw/master/csl-citation.json"}</w:instrText>
      </w:r>
      <w:r w:rsidRPr="00B0640C">
        <w:fldChar w:fldCharType="separate"/>
      </w:r>
      <w:r w:rsidRPr="00C77D92">
        <w:rPr>
          <w:noProof/>
        </w:rPr>
        <w:t>ESAC Initiative (2019) Elsevier 2019 unit. Viewed 28 October 2021, &lt;https://esac-initiative.org/about/transformative-agreements/agreement-registry/els2019unit/&gt;.</w:t>
      </w:r>
      <w:r w:rsidRPr="00B0640C">
        <w:fldChar w:fldCharType="end"/>
      </w:r>
    </w:p>
  </w:footnote>
  <w:footnote w:id="159">
    <w:p w14:paraId="41021881" w14:textId="54071F32"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{"citationItems":[{"id":"ITEM-1","itemData":{"DOI":"10.3390/PUBLICATIONS6040046","abstract":"Based on the total scholarly article output of Norway, we investigated the coverage and degree of openness according to the following three bibliographic services: (1) Google Scholar, (2) oaDOI by Impact Story, and (3) 1findr by 1science. According to Google Scholar, we found that more than 70% of all Norwegian articles are openly available. However, the degrees of openness are profoundly lower according to oaDOI and 1findr at 31% and 52%, respectively. Varying degrees of openness are mainly caused by different interpretations of openness, with oaDOI being the most restrictive. Furthermore, open shares vary considerably by discipline, with the medicine and health sciences at the upper end and the humanities at the lower end. We also determined the citation frequencies using cited-by values in Google Scholar and applying year and subject normalization. We found a significant citation advantage for open articles. However, this was not the case for all types of openness. In fact, the category of open access journals was by far the lowest cited, indicating that young journals with a declared open access policy still lack recognition.","author":[{"dropping-particle":"","family":"Mikki","given":"Susanne","non-dropping-particle":"","parse-names":false,"suffix":""},{"dropping-particle":"","family":"Gjesdal","given":"Øyvind L.","non-dropping-particle":"","parse-names":false,"suffix":""},{"dropping-particle":"","family":"Strømme","given":"Tormod E.","non-dropping-particle":"","parse-names":false,"suffix":""}],"container-title":"Publications 2018, Vol. 6, Page 46","id":"ITEM-1","issue":"4","issued":{"date-parts":[["2018","11","22"]]},"page":"46","publisher":"Multidisciplinary Digital Publishing Institute","title":"Grades of Openness: Open and Closed Articles in Norway","type":"article-journal","volume":"6"},"uris":["http://www.mendeley.com/documents/?uuid=733e26a1-a15c-37ea-8d43-75f0055246a7"]}],"mendeley":{"formattedCitation":"Mikki S, Gjesdal ØL and Strømme TE (2018) Grades of Openness: Open and Closed Articles in Norway. Publications 2018, Vol. 6, Page 46 6(4), 46. DOI: 10.3390/PUBLICATIONS6040046.","plainTextFormattedCitation":"Mikki S, Gjesdal ØL and Strømme TE (2018) Grades of Openness: Open and Closed Articles in Norway. Publications 2018, Vol. 6, Page 46 6(4), 46. DOI: 10.3390/PUBLICATIONS6040046.","previouslyFormattedCitation":"Mikki S, Gjesdal ØL and Strømme TE (2018) Grades of Openness: Open and Closed Articles in Norway. Publications 2018, Vol. 6, Page 46 6(4), 46. DOI: 10.3390/PUBLICATIONS6040046."},"properties":{"noteIndex":157},"schema":"https://github.com/citation-style-language/schema/raw/master/csl-citation.json"}</w:instrText>
      </w:r>
      <w:r w:rsidRPr="00B0640C">
        <w:fldChar w:fldCharType="separate"/>
      </w:r>
      <w:r w:rsidRPr="00B0640C">
        <w:rPr>
          <w:noProof/>
        </w:rPr>
        <w:t>Mikki S, Gjesdal ØL and Strømme TE (2018) Grades of Openness: Open and Closed Articles in Norway. Publications 2018, Vol. 6, Page 46 6(4), 46. DOI: 10.3390/PUBLICATIONS6040046.</w:t>
      </w:r>
      <w:r w:rsidRPr="00B0640C">
        <w:fldChar w:fldCharType="end"/>
      </w:r>
    </w:p>
  </w:footnote>
  <w:footnote w:id="160">
    <w:p w14:paraId="0872DFF6" w14:textId="61D3140D"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{"citationItems":[{"id":"ITEM-1","itemData":{"URL":"http://roarmap.eprints.org/view/country/un=5Fgeoscheme.html","accessed":{"date-parts":[["2021","7","15"]]},"author":[{"dropping-particle":"","family":"Registry of Open Access Repository Mandates and Policies","given":"","non-dropping-particle":"","parse-names":false,"suffix":""}],"id":"ITEM-1","issued":{"date-parts":[["2021"]]},"title":"Browse by Country | Policies Adopted by Quarter","type":"webpage"},"uris":["http://www.mendeley.com/documents/?uuid=789b824a-8057-33f4-a356-082df2415de3"]}],"mendeley":{"formattedCitation":"Registry of Open Access Repository Mandates and Policies (2021) Browse by Country | Policies Adopted by Quarter. Viewed 15 July 2021, &lt;http://roarmap.eprints.org/view/country/un=5Fgeoscheme.html&gt;.","plainTextFormattedCitation":"Registry of Open Access Repository Mandates and Policies (2021) Browse by Country | Policies Adopted by Quarter. Viewed 15 July 2021, .","previouslyFormattedCitation":"Registry of Open Access Repository Mandates and Policies (2021) Browse by Country | Policies Adopted by Quarter. Viewed 15 July 2021, &lt;http://roarmap.eprints.org/view/country/un=5Fgeoscheme.html&gt;."},"properties":{"noteIndex":158},"schema":"https://github.com/citation-style-language/schema/raw/master/csl-citation.json"}</w:instrText>
      </w:r>
      <w:r w:rsidRPr="00B0640C">
        <w:fldChar w:fldCharType="separate"/>
      </w:r>
      <w:r w:rsidRPr="00C77D92">
        <w:rPr>
          <w:noProof/>
        </w:rPr>
        <w:t>Registry of Open Access Repository Mandates and Policies (2021) Browse by Country | Policies Adopted by Quarter. Viewed 15 July 2021, &lt;http://roarmap.eprints.org/view/country/un=5Fgeoscheme.html&gt;.</w:t>
      </w:r>
      <w:r w:rsidRPr="00B0640C">
        <w:fldChar w:fldCharType="end"/>
      </w:r>
    </w:p>
  </w:footnote>
  <w:footnote w:id="161">
    <w:p w14:paraId="3A06A4B4" w14:textId="3E71433F"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fldChar w:fldCharType="begin" w:fldLock="1"/>
      </w:r>
      <w:r>
        <w:instrText>ADDIN CSL_CITATION {"citationItems":[{"id":"ITEM-1","itemData":{"URL":"https://www.projekt-deal.de/about-deal/","accessed":{"date-parts":[["2021","10","28"]]},"author":[{"dropping-particle":"","family":"Projekt DEAL","given":"","non-dropping-particle":"","parse-names":false,"suffix":""}],"id":"ITEM-1","issued":{"date-parts":[["0"]]},"title":"About DEAL","type":"webpage"},"uris":["http://www.mendeley.com/documents/?uuid=36c5eb3d-e8df-3525-b9d1-4e52a6d5f707"]}],"mendeley":{"formattedCitation":"Projekt DEAL About DEAL. Viewed 28 October 2021, &lt;https://www.projekt-deal.de/about-deal/&gt;.","plainTextFormattedCitation":"Projekt DEAL About DEAL. Viewed 28 October 2021, .","previouslyFormattedCitation":"Projekt DEAL About DEAL. Viewed 28 October 2021, &lt;https://www.projekt-deal.de/about-deal/&gt;."},"properties":{"noteIndex":159},"schema":"https://github.com/citation-style-language/schema/raw/master/csl-citation.json"}</w:instrText>
      </w:r>
      <w:r w:rsidRPr="00B0640C">
        <w:fldChar w:fldCharType="separate"/>
      </w:r>
      <w:r w:rsidRPr="00C77D92">
        <w:rPr>
          <w:noProof/>
        </w:rPr>
        <w:t>Projekt DEAL About DEAL. Viewed 28 October 2021, &lt;https://www.projekt-deal.de/about-deal/&gt;.</w:t>
      </w:r>
      <w:r w:rsidRPr="00B0640C">
        <w:fldChar w:fldCharType="end"/>
      </w:r>
      <w:r w:rsidRPr="00B0640C">
        <w:t xml:space="preserve"> </w:t>
      </w:r>
    </w:p>
  </w:footnote>
  <w:footnote w:id="162">
    <w:p w14:paraId="2BE95A0B" w14:textId="220A2FC6"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{"citationItems":[{"id":"ITEM-1","itemData":{"abstract":"This report is an analysis of the Open Access landscape since the turn of the millennium. It compares the leading countries for research outputs with those producing the most Open Access papers over a 16-year period, as well as Open Access collaboration trends.Open Access Classifications used in the report:- Pure Gold: Version of Record (VOR) is free under an open licence from a full OA journal- Bronze: Freely available on publisher page, but without an open licence- Hybrid: Version of Record (VOR) is free under an open licence in a paid-access journal- Green (Published): Free copy of published version in an OA repository- Green (Accepted): Free copy of accepted version in an OA repository- Green (Submitted): Free copy of submitted version, or where version is unknown, in an OA repository","author":[{"dropping-particle":"","family":"Science","given":"Digital","non-dropping-particle":"","parse-names":false,"suffix":""},{"dropping-particle":"","family":"Hook","given":"Daniel","non-dropping-particle":"","parse-names":false,"suffix":""},{"dropping-particle":"","family":"Hahnel","given":"Mark","non-dropping-particle":"","parse-names":false,"suffix":""},{"dropping-particle":"","family":"Calvert","given":"Ian","non-dropping-particle":"","parse-names":false,"suffix":""}],"id":"ITEM-1","issued":{"date-parts":[["2019","1","24"]]},"publisher":"Digital Science","title":"The Ascent of Open Access","type":"article-journal"},"uris":["http://www.mendeley.com/documents/?uuid=ab3d3238-d566-3af0-b32a-6ba36bee3ac9"]}],"mendeley":{"formattedCitation":"Science D, Hook D, Hahnel M and Calvert I (2019) The Ascent of Open Access.","plainTextFormattedCitation":"Science D, Hook D, Hahnel M and Calvert I (2019) The Ascent of Open Access.","previouslyFormattedCitation":"Science D, Hook D, Hahnel M and Calvert I (2019) The Ascent of Open Access."},"properties":{"noteIndex":160},"schema":"https://github.com/citation-style-language/schema/raw/master/csl-citation.json"}</w:instrText>
      </w:r>
      <w:r w:rsidRPr="00B0640C">
        <w:fldChar w:fldCharType="separate"/>
      </w:r>
      <w:r w:rsidRPr="00114706">
        <w:rPr>
          <w:noProof/>
        </w:rPr>
        <w:t>Science D, Hook D, Hahnel M and Calvert I (2019) The Ascent of Open Access.</w:t>
      </w:r>
      <w:r w:rsidRPr="00B0640C">
        <w:fldChar w:fldCharType="end"/>
      </w:r>
    </w:p>
  </w:footnote>
  <w:footnote w:id="163">
    <w:p w14:paraId="32302ADE" w14:textId="7B409A64"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{"citationItems":[{"id":"ITEM-1","itemData":{"URL":"https://esac-initiative.org/about/transformative-agreements/agreement-registry/sn2020deal/","accessed":{"date-parts":[["2021","10","27"]]},"author":[{"dropping-particle":"","family":"ESAC Initiative","given":"","non-dropping-particle":"","parse-names":false,"suffix":""}],"id":"ITEM-1","issued":{"date-parts":[["2020"]]},"title":"Springer Nature 2020 deal","type":"webpage"},"uris":["http://www.mendeley.com/documents/?uuid=4d8a6325-9c97-3774-a254-02ed14de816e"]}],"mendeley":{"formattedCitation":"ESAC Initiative (2020) Springer Nature 2020 deal. Viewed 27 October 2021, &lt;https://esac-initiative.org/about/transformative-agreements/agreement-registry/sn2020deal/&gt;.","plainTextFormattedCitation":"ESAC Initiative (2020) Springer Nature 2020 deal. Viewed 27 October 2021, .","previouslyFormattedCitation":"ESAC Initiative (2020) Springer Nature 2020 deal. Viewed 27 October 2021, &lt;https://esac-initiative.org/about/transformative-agreements/agreement-registry/sn2020deal/&gt;."},"properties":{"noteIndex":161},"schema":"https://github.com/citation-style-language/schema/raw/master/csl-citation.json"}</w:instrText>
      </w:r>
      <w:r w:rsidRPr="00B0640C">
        <w:fldChar w:fldCharType="separate"/>
      </w:r>
      <w:r w:rsidRPr="00C77D92">
        <w:rPr>
          <w:noProof/>
        </w:rPr>
        <w:t>ESAC Initiative (2020) Springer Nature 2020 deal. Viewed 27 October 2021, &lt;https://esac-initiative.org/about/transformative-agreements/agreement-registry/sn2020deal/&gt;.</w:t>
      </w:r>
      <w:r w:rsidRPr="00B0640C">
        <w:fldChar w:fldCharType="end"/>
      </w:r>
      <w:r w:rsidRPr="00B0640C">
        <w:t xml:space="preserve"> </w:t>
      </w:r>
      <w:r w:rsidRPr="00B0640C">
        <w:fldChar w:fldCharType="begin" w:fldLock="1"/>
      </w:r>
      <w:r>
        <w:instrText>ADDIN CSL_CITATION {"citationItems":[{"id":"ITEM-1","itemData":{"URL":"https://esac-initiative.org/about/transformative-agreements/agreement-registry/wiley2019deal/","accessed":{"date-parts":[["2021","10","28"]]},"author":[{"dropping-particle":"","family":"ESAC Initiative","given":"","non-dropping-particle":"","parse-names":false,"suffix":""}],"id":"ITEM-1","issued":{"date-parts":[["2019"]]},"title":"Wiley 2019 deal","type":"webpage"},"uris":["http://www.mendeley.com/documents/?uuid=14fce116-f73d-38e9-8509-b70f436c870b"]}],"mendeley":{"formattedCitation":"ESAC Initiative (2019) Wiley 2019 deal. Viewed 28 October 2021, &lt;https://esac-initiative.org/about/transformative-agreements/agreement-registry/wiley2019deal/&gt;.","plainTextFormattedCitation":"ESAC Initiative (2019) Wiley 2019 deal. Viewed 28 October 2021, .","previouslyFormattedCitation":"ESAC Initiative (2019) Wiley 2019 deal. Viewed 28 October 2021, &lt;https://esac-initiative.org/about/transformative-agreements/agreement-registry/wiley2019deal/&gt;."},"properties":{"noteIndex":161},"schema":"https://github.com/citation-style-language/schema/raw/master/csl-citation.json"}</w:instrText>
      </w:r>
      <w:r w:rsidRPr="00B0640C">
        <w:fldChar w:fldCharType="separate"/>
      </w:r>
      <w:r w:rsidRPr="00C77D92">
        <w:rPr>
          <w:noProof/>
        </w:rPr>
        <w:t>ESAC Initiative (2019) Wiley 2019 deal. Viewed 28 October 2021, &lt;https://esac-initiative.org/about/transformative-agreements/agreement-registry/wiley2019deal/&gt;.</w:t>
      </w:r>
      <w:r w:rsidRPr="00B0640C">
        <w:fldChar w:fldCharType="end"/>
      </w:r>
    </w:p>
  </w:footnote>
  <w:footnote w:id="164">
    <w:p w14:paraId="7CE95C70" w14:textId="68CCF16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{"citationItems":[{"id":"ITEM-1","itemData":{"author":[{"dropping-particle":"","family":"Science-Metrix Inc","given":"","non-dropping-particle":"","parse-names":false,"suffix":""}],"id":"ITEM-1","issued":{"date-parts":[["2018"]]},"publisher-place":"Montréal","title":"Analytical Support for Bibliometrics Indicators: Open access availability of scientific publications","type":"report"},"uris":["http://www.mendeley.com/documents/?uuid=005d3043-a552-3c9d-90dc-771de6eb19e5"]}],"mendeley":{"formattedCitation":"Science-Metrix Inc (2018) Analytical Support for Bibliometrics Indicators: Open access availability of scientific publications. Montréal.","plainTextFormattedCitation":"Science-Metrix Inc (2018) Analytical Support for Bibliometrics Indicators: Open access availability of scientific publications. Montréal.","previouslyFormattedCitation":"Science-Metrix Inc (2018) Analytical Support for Bibliometrics Indicators: Open access availability of scientific publications. Montréal."},"properties":{"noteIndex":162},"schema":"https://github.com/citation-style-language/schema/raw/master/csl-citation.json"}</w:instrText>
      </w:r>
      <w:r w:rsidRPr="00B0640C">
        <w:fldChar w:fldCharType="separate"/>
      </w:r>
      <w:r w:rsidRPr="00B0640C">
        <w:rPr>
          <w:noProof/>
        </w:rPr>
        <w:t>Science-Metrix Inc (2018) Analytical Support for Bibliometrics Indicators: Open access availability of scientific publications. Montréal.</w:t>
      </w:r>
      <w:r w:rsidRPr="00B0640C">
        <w:fldChar w:fldCharType="end"/>
      </w:r>
    </w:p>
  </w:footnote>
  <w:footnote w:id="165">
    <w:p w14:paraId="1F8C3411" w14:textId="4BD88E7E"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{"citationItems":[{"id":"ITEM-1","itemData":{"author":[{"dropping-particle":"","family":"Confederation of Open Access Repositories","given":"","non-dropping-particle":"","parse-names":false,"suffix":""}],"id":"ITEM-1","issued":{"date-parts":[["2021"]]},"title":"Working towards a sustainable, global knowledge commons based on a network of open access repositories: COAR Annual Report 2020-2021","type":"report"},"uris":["http://www.mendeley.com/documents/?uuid=5f48568a-2a40-34e5-801b-142b401d53c0"]}],"mendeley":{"formattedCitation":"Confederation of Open Access Repositories (2021) Working towards a sustainable, global knowledge commons based on a network of open access repositories: COAR Annual Report 2020-2021.","plainTextFormattedCitation":"Confederation of Open Access Repositories (2021) Working towards a sustainable, global knowledge commons based on a network of open access repositories: COAR Annual Report 2020-2021.","previouslyFormattedCitation":"Confederation of Open Access Repositories (2021) Working towards a sustainable, global knowledge commons based on a network of open access repositories: COAR Annual Report 2020-2021."},"properties":{"noteIndex":163},"schema":"https://github.com/citation-style-language/schema/raw/master/csl-citation.json"}</w:instrText>
      </w:r>
      <w:r w:rsidRPr="00B0640C">
        <w:fldChar w:fldCharType="separate"/>
      </w:r>
      <w:r w:rsidRPr="0093165B">
        <w:rPr>
          <w:noProof/>
        </w:rPr>
        <w:t>Confederation of Open Access Repositories (2021) Working towards a sustainable, global knowledge commons based on a network of open access repositories: COAR Annual Report 2020-2021.</w:t>
      </w:r>
      <w:r w:rsidRPr="00B0640C">
        <w:fldChar w:fldCharType="end"/>
      </w:r>
    </w:p>
  </w:footnote>
  <w:footnote w:id="166">
    <w:p w14:paraId="60B641EC" w14:textId="43ECDE4C"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{"citationItems":[{"id":"ITEM-1","itemData":{"URL":"https://sfdora.org/signers/","accessed":{"date-parts":[["2021","7","27"]]},"author":[{"dropping-particle":"","family":"Declaration on Research Assessment","given":"","non-dropping-particle":"","parse-names":false,"suffix":""}],"id":"ITEM-1","issued":{"date-parts":[["0"]]},"title":"Signers","type":"webpage"},"uris":["http://www.mendeley.com/documents/?uuid=909ddb33-b002-3f00-8b93-5a825e35ec3e"]}],"mendeley":{"formattedCitation":"Declaration on Research Assessment Signers. Viewed 27 July 2021, &lt;https://sfdora.org/signers/&gt;.","plainTextFormattedCitation":"Declaration on Research Assessment Signers. Viewed 27 July 2021, .","previouslyFormattedCitation":"Declaration on Research Assessment Signers. Viewed 27 July 2021, &lt;https://sfdora.org/signers/&gt;."},"properties":{"noteIndex":164},"schema":"https://github.com/citation-style-language/schema/raw/master/csl-citation.json"}</w:instrText>
      </w:r>
      <w:r w:rsidRPr="00B0640C">
        <w:fldChar w:fldCharType="separate"/>
      </w:r>
      <w:r w:rsidRPr="00C77D92">
        <w:rPr>
          <w:noProof/>
        </w:rPr>
        <w:t>Declaration on Research Assessment Signers. Viewed 27 July 2021, &lt;https://sfdora.org/signers/&gt;.</w:t>
      </w:r>
      <w:r w:rsidRPr="00B0640C">
        <w:fldChar w:fldCharType="end"/>
      </w:r>
    </w:p>
  </w:footnote>
  <w:footnote w:id="167">
    <w:p w14:paraId="4B0BDB18" w14:textId="3236330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{"citationItems":[{"id":"ITEM-1","itemData":{"URL":"https://www.coar-repositories.org/news-updates/europe-and-latin-america-expand-their-collaboration-for-open-science/","accessed":{"date-parts":[["2021","7","27"]]},"author":[{"dropping-particle":"","family":"Confederation of Open Access Repositories","given":"","non-dropping-particle":"","parse-names":false,"suffix":""}],"id":"ITEM-1","issued":{"date-parts":[["0"]]},"title":"Europe and Latin America expand their collaboration for open science","type":"webpage"},"uris":["http://www.mendeley.com/documents/?uuid=502c969a-acf6-3b4c-8865-f38742bbf051"]}],"mendeley":{"formattedCitation":"Confederation of Open Access Repositories Europe and Latin America expand their collaboration for open science. Viewed 27 July 2021, &lt;https://www.coar-repositories.org/news-updates/europe-and-latin-america-expand-their-collaboration-for-open-science/&gt;.","plainTextFormattedCitation":"Confederation of Open Access Repositories Europe and Latin America expand their collaboration for open science. Viewed 27 July 2021, .","previouslyFormattedCitation":"Confederation of Open Access Repositories Europe and Latin America expand their collaboration for open science. Viewed 27 July 2021, &lt;https://www.coar-repositories.org/news-updates/europe-and-latin-america-expand-their-collaboration-for-open-science/&gt;."},"properties":{"noteIndex":165},"schema":"https://github.com/citation-style-language/schema/raw/master/csl-citation.json"}</w:instrText>
      </w:r>
      <w:r w:rsidRPr="00B0640C">
        <w:fldChar w:fldCharType="separate"/>
      </w:r>
      <w:r w:rsidRPr="00C77D92">
        <w:rPr>
          <w:noProof/>
        </w:rPr>
        <w:t>Confederation of Open Access Repositories Europe and Latin America expand their collaboration for open science. Viewed 27 July 2021, &lt;https://www.coar-repositories.org/news-updates/europe-and-latin-america-expand-their-collaboration-for-open-science/&gt;.</w:t>
      </w:r>
      <w:r w:rsidRPr="00B0640C">
        <w:fldChar w:fldCharType="end"/>
      </w:r>
    </w:p>
  </w:footnote>
  <w:footnote w:id="168">
    <w:p w14:paraId="20E0F1D3" w14:textId="2FD2ACB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oa2020.org/progress-report/#info","accessed":{"date-parts":[["2021","7","27"]]},"author":[{"dropping-particle":"","family":"OA2020","given":"","non-dropping-particle":"","parse-names":false,"suffix":""}],"id":"ITEM-1","issued":{"date-parts":[["2020"]]},"title":"OA2020 Progress Report","type":"webpage"},"uris":["http://www.mendeley.com/documents/?uuid=dbfff253-8c99-38b5-bb16-9a9a176b95fe"]}],"mendeley":{"formattedCitation":"OA2020 (2020) OA2020 Progress Report. Viewed 27 July 2021, &lt;https://oa2020.org/progress-report/#info&gt;.","plainTextFormattedCitation":"OA2020 (2020) OA2020 Progress Report. Viewed 27 July 2021, .","previouslyFormattedCitation":"OA2020 (2020) OA2020 Progress Report. Viewed 27 July 2021, &lt;https://oa2020.org/progress-report/#info&gt;."},"properties":{"noteIndex":166},"schema":"https://github.com/citation-style-language/schema/raw/master/csl-citation.json"}</w:instrText>
      </w:r>
      <w:r w:rsidRPr="00B0640C">
        <w:fldChar w:fldCharType="separate"/>
      </w:r>
      <w:r w:rsidRPr="00C77D92">
        <w:rPr>
          <w:noProof/>
        </w:rPr>
        <w:t>OA2020 (2020) OA2020 Progress Report. Viewed 27 July 2021, &lt;https://oa2020.org/progress-report/#info&gt;.</w:t>
      </w:r>
      <w:r w:rsidRPr="00B0640C">
        <w:fldChar w:fldCharType="end"/>
      </w:r>
    </w:p>
  </w:footnote>
  <w:footnote w:id="169">
    <w:p w14:paraId="70A9F7C7" w14:textId="567C40BA"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{"citationItems":[{"id":"ITEM-1","itemData":{"ISSN":"2194-5888","abstract":"In 2008 European Commission launches the open access infrastructure for research in Europe project (OpenAIRE), supporting open access (OA) in scientific information and research output. In this paper, we assess the economic sustainability of the OpenAIRE project. The empirical strategy is developed through a Cost–Benefit Analysis framework to evaluate and compare the costs and benefits of OpenAIRE services to provide recommendations on the project’s economic efficiency and sustainability, a non-market valuation method based on the results of a “Choice Experiment” to calculate the Total Economic Value generated by OpenAIRE and a full preference ranking approach. Findings indicate that stakeholders prefer interoperability between research platforms and output, better access to scientific results and compliance to OA mandates. Furthermore, net social benefits for the basic services for 15 years are at least five times higher than costs’ present value while the potential R&amp;amp;D effect from research suggests even larger benefits in the long run. Subscriptions based on the estimated willingness to pay and cost, institutional subsidies and public awareness are the main recommendations for the sustainable operation of OpenAIRE. This study contributes to the literature on monetary valuation of the benefits and costs of OA to scientific knowledge.","author":[{"dropping-particle":"","family":"Koundouri","given":"Phoebe","non-dropping-particle":"","parse-names":false,"suffix":""},{"dropping-particle":"","family":"Chatzistamoulou","given":"Nikos","non-dropping-particle":"","parse-names":false,"suffix":""},{"dropping-particle":"","family":"Dávila","given":"Osiel González","non-dropping-particle":"","parse-names":false,"suffix":""},{"dropping-particle":"","family":"Giannouli","given":"Amerissa","non-dropping-particle":"","parse-names":false,"suffix":""},{"dropping-particle":"","family":"Kourogenis","given":"Nikolaos","non-dropping-particle":"","parse-names":false,"suffix":""},{"dropping-particle":"","family":"Xepapadeas","given":"Anastasios","non-dropping-particle":"","parse-names":false,"suffix":""},{"dropping-particle":"","family":"Xepapadeas","given":"Petros","non-dropping-particle":"","parse-names":false,"suffix":""}],"container-title":"Journal of Benefit-Cost Analysis","id":"ITEM-1","issue":"1","issued":{"date-parts":[["2021","3","1"]]},"page":"170-198","publisher":"Cambridge University Press","title":"Open Access in Scientific Information: Sustainability Model and Business Plan for the Infrastructure and Organization of OpenAIRE","type":"article-journal","volume":"12"},"uris":["http://www.mendeley.com/documents/?uuid=c29d2cb7-12d3-3a39-81cb-08835ec9bd8c"]}],"mendeley":{"formattedCitation":"Koundouri P, Chatzistamoulou N, Dávila OG, Giannouli A, Kourogenis N, Xepapadeas A and Xepapadeas P (2021) Open Access in Scientific Information: Sustainability Model and Business Plan for the Infrastructure and Organization of OpenAIRE. Journal of Benefit-Cost Analysis 12(1), 170–198.","plainTextFormattedCitation":"Koundouri P, Chatzistamoulou N, Dávila OG, Giannouli A, Kourogenis N, Xepapadeas A and Xepapadeas P (2021) Open Access in Scientific Information: Sustainability Model and Business Plan for the Infrastructure and Organization of OpenAIRE. Journal of Benefit-Cost Analysis 12(1), 170–198.","previouslyFormattedCitation":"Koundouri P, Chatzistamoulou N, Dávila OG, Giannouli A, Kourogenis N, Xepapadeas A and Xepapadeas P (2021) Open Access in Scientific Information: Sustainability Model and Business Plan for the Infrastructure and Organization of OpenAIRE. Journal of Benefit-Cost Analysis 12(1), 170–198."},"properties":{"noteIndex":167},"schema":"https://github.com/citation-style-language/schema/raw/master/csl-citation.json"}</w:instrText>
      </w:r>
      <w:r w:rsidRPr="00B0640C">
        <w:fldChar w:fldCharType="separate"/>
      </w:r>
      <w:r w:rsidRPr="00114706">
        <w:rPr>
          <w:noProof/>
        </w:rPr>
        <w:t>Koundouri P, Chatzistamoulou N, Dávila OG, Giannouli A, Kourogenis N, Xepapadeas A and Xepapadeas P (2021) Open Access in Scientific Information: Sustainability Model and Business Plan for the Infrastructure and Organization of OpenAIRE. Journal of Benefit-Cost Analysis 12(1), 170–198.</w:t>
      </w:r>
      <w:r w:rsidRPr="00B0640C">
        <w:fldChar w:fldCharType="end"/>
      </w:r>
    </w:p>
  </w:footnote>
  <w:footnote w:id="170">
    <w:p w14:paraId="43937C1D" w14:textId="484EE88B"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{"citationItems":[{"id":"ITEM-1","itemData":{"URL":"https://www.coalition-s.org/plan_s_principles/","accessed":{"date-parts":[["2021","7","19"]]},"author":[{"dropping-particle":"","family":"European Science Foundation","given":"","non-dropping-particle":"","parse-names":false,"suffix":""}],"id":"ITEM-1","issued":{"date-parts":[["0"]]},"title":"Plan S Principles","type":"webpage"},"uris":["http://www.mendeley.com/documents/?uuid=11ce8ac3-fd7c-3e9f-9e2c-f905be9bb26d"]}],"mendeley":{"formattedCitation":"European Science Foundation Plan S Principles. Viewed 19 July 2021, &lt;https://www.coalition-s.org/plan_s_principles/&gt;.","manualFormatting":"European Science Foundation (n.d.) Plan S Principles. Viewed 19 July 2021, .","plainTextFormattedCitation":"European Science Foundation Plan S Principles. Viewed 19 July 2021, .","previouslyFormattedCitation":"European Science Foundation Plan S Principles. Viewed 19 July 2021, &lt;https://www.coalition-s.org/plan_s_principles/&gt;."},"properties":{"noteIndex":168},"schema":"https://github.com/citation-style-language/schema/raw/master/csl-citation.json"}</w:instrText>
      </w:r>
      <w:r w:rsidRPr="00B0640C">
        <w:fldChar w:fldCharType="separate"/>
      </w:r>
      <w:r w:rsidRPr="0089412B">
        <w:rPr>
          <w:noProof/>
        </w:rPr>
        <w:t xml:space="preserve">European Science Foundation </w:t>
      </w:r>
      <w:r>
        <w:rPr>
          <w:noProof/>
        </w:rPr>
        <w:t xml:space="preserve">(n.d.) </w:t>
      </w:r>
      <w:r w:rsidRPr="0089412B">
        <w:rPr>
          <w:noProof/>
        </w:rPr>
        <w:t>Plan S Principles. Viewed 19 July 2021, &lt;https://www.coalition-s.org/plan_s_principles/&gt;.</w:t>
      </w:r>
      <w:r w:rsidRPr="00B0640C">
        <w:fldChar w:fldCharType="end"/>
      </w:r>
    </w:p>
  </w:footnote>
  <w:footnote w:id="171">
    <w:p w14:paraId="0C0D30E4" w14:textId="62C0A5F8"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{"citationItems":[{"id":"ITEM-1","itemData":{"URL":"https://www.coalition-s.org/organisations/","accessed":{"date-parts":[["2021","10","8"]]},"author":[{"dropping-particle":"","family":"Plan S","given":"","non-dropping-particle":"","parse-names":false,"suffix":""}],"id":"ITEM-1","issued":{"date-parts":[["2021"]]},"title":"Organisations endorsing Plan S and working jointly on its implementation","type":"webpage"},"uris":["http://www.mendeley.com/documents/?uuid=489f8d3a-31cc-3855-97e4-52542ba7bddf"]}],"mendeley":{"formattedCitation":"Plan S (2021) Organisations endorsing Plan S and working jointly on its implementation. Viewed 8 October 2021, &lt;https://www.coalition-s.org/organisations/&gt;.","plainTextFormattedCitation":"Plan S (2021) Organisations endorsing Plan S and working jointly on its implementation. Viewed 8 October 2021, .","previouslyFormattedCitation":"Plan S (2021) Organisations endorsing Plan S and working jointly on its implementation. Viewed 8 October 2021, &lt;https://www.coalition-s.org/organisations/&gt;."},"properties":{"noteIndex":169},"schema":"https://github.com/citation-style-language/schema/raw/master/csl-citation.json"}</w:instrText>
      </w:r>
      <w:r w:rsidRPr="00B0640C">
        <w:fldChar w:fldCharType="separate"/>
      </w:r>
      <w:r w:rsidRPr="00C77D92">
        <w:rPr>
          <w:noProof/>
        </w:rPr>
        <w:t>Plan S (2021) Organisations endorsing Plan S and working jointly on its implementation. Viewed 8 October 2021, &lt;https://www.coalition-s.org/organisations/&gt;.</w:t>
      </w:r>
      <w:r w:rsidRPr="00B0640C">
        <w:fldChar w:fldCharType="end"/>
      </w:r>
    </w:p>
  </w:footnote>
  <w:footnote w:id="172">
    <w:p w14:paraId="711951D3" w14:textId="5E90F3F7"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URL":"https://www.share-research.org/","accessed":{"date-parts":[["2021","10","8"]]},"author":[{"dropping-particle":"","family":"SHARE","given":"","non-dropping-particle":"","parse-names":false,"suffix":""}],"id":"ITEM-1","issued":{"date-parts":[["0"]]},"title":"SHARE Homepage","type":"webpage"},"uris":["http://www.mendeley.com/documents/?uuid=02bdde97-5ce1-3c07-85a9-7d82c4947e1d"]}],"mendeley":{"formattedCitation":"SHARE SHARE Homepage. Viewed 8 October 2021, &lt;https://www.share-research.org/&gt;.","manualFormatting":"SHARE (n.d.) SHARE Homepage. Viewed 8 October 2021, .","plainTextFormattedCitation":"SHARE SHARE Homepage. Viewed 8 October 2021, .","previouslyFormattedCitation":"SHARE SHARE Homepage. Viewed 8 October 2021, &lt;https://www.share-research.org/&gt;."},"properties":{"noteIndex":170},"schema":"https://github.com/citation-style-language/schema/raw/master/csl-citation.json"}</w:instrText>
      </w:r>
      <w:r w:rsidRPr="00B0640C">
        <w:fldChar w:fldCharType="separate"/>
      </w:r>
      <w:r w:rsidRPr="0089412B">
        <w:rPr>
          <w:noProof/>
        </w:rPr>
        <w:t xml:space="preserve">SHARE </w:t>
      </w:r>
      <w:r>
        <w:rPr>
          <w:noProof/>
        </w:rPr>
        <w:t xml:space="preserve">(n.d.) </w:t>
      </w:r>
      <w:r w:rsidRPr="0089412B">
        <w:rPr>
          <w:noProof/>
        </w:rPr>
        <w:t>SHARE Homepage. Viewed 8 October 2021, &lt;https://www.share-research.org/&gt;.</w:t>
      </w:r>
      <w:r w:rsidRPr="00B0640C">
        <w:fldChar w:fldCharType="end"/>
      </w:r>
    </w:p>
  </w:footnote>
  <w:footnote w:id="173">
    <w:p w14:paraId="7364F1ED" w14:textId="7F677457" w:rsidR="00597B45" w:rsidRPr="00B0640C" w:rsidRDefault="00597B45" w:rsidP="00437DB9">
      <w:pPr>
        <w:pStyle w:val="FootnoteText"/>
        <w:jc w:val="left"/>
      </w:pPr>
      <w:r w:rsidRPr="00B0640C">
        <w:rPr>
          <w:rStyle w:val="FootnoteReference"/>
          <w:rFonts w:asciiTheme="minorHAnsi" w:hAnsiTheme="minorHAnsi" w:cstheme="minorHAnsi"/>
          <w:szCs w:val="16"/>
        </w:rPr>
        <w:footnoteRef/>
      </w:r>
      <w:r w:rsidRPr="00B0640C">
        <w:t xml:space="preserve"> </w:t>
      </w:r>
      <w:r w:rsidRPr="00B0640C">
        <w:fldChar w:fldCharType="begin" w:fldLock="1"/>
      </w:r>
      <w:r>
        <w:instrText>ADDIN CSL_CITATION {"citationItems":[{"id":"ITEM-1","itemData":{"author":[{"dropping-particle":"","family":"Association of Research Libraries","given":"","non-dropping-particle":"","parse-names":false,"suffix":""}],"id":"ITEM-1","issued":{"date-parts":[["2020"]]},"title":"SHARE Database Shutting Down While SHARE Services Enter New Phase","type":"article-newspaper"},"uris":["http://www.mendeley.com/documents/?uuid=6c07bb66-3a12-3922-b532-019a0975bf6c"]}],"mendeley":{"formattedCitation":"Association of Research Libraries (2020) SHARE Database Shutting Down While SHARE Services Enter New Phase.","plainTextFormattedCitation":"Association of Research Libraries (2020) SHARE Database Shutting Down While SHARE Services Enter New Phase.","previouslyFormattedCitation":"Association of Research Libraries (2020) SHARE Database Shutting Down While SHARE Services Enter New Phase."},"properties":{"noteIndex":171},"schema":"https://github.com/citation-style-language/schema/raw/master/csl-citation.json"}</w:instrText>
      </w:r>
      <w:r w:rsidRPr="00B0640C">
        <w:fldChar w:fldCharType="separate"/>
      </w:r>
      <w:r w:rsidRPr="0093165B">
        <w:rPr>
          <w:noProof/>
        </w:rPr>
        <w:t>Association of Research Libraries (2020) SHARE Database Shutting Down While SHARE Services Enter New Phase.</w:t>
      </w:r>
      <w:r w:rsidRPr="00B0640C">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C3EF2D2"/>
    <w:lvl w:ilvl="0">
      <w:start w:val="1"/>
      <w:numFmt w:val="lowerLetter"/>
      <w:pStyle w:val="ListNumber2"/>
      <w:lvlText w:val="%1."/>
      <w:lvlJc w:val="left"/>
      <w:pPr>
        <w:ind w:left="348"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BEEAAF8A"/>
    <w:lvl w:ilvl="0">
      <w:start w:val="1"/>
      <w:numFmt w:val="decimal"/>
      <w:pStyle w:val="ListNumber"/>
      <w:lvlText w:val="%1."/>
      <w:lvlJc w:val="left"/>
      <w:pPr>
        <w:ind w:left="360" w:hanging="360"/>
      </w:pPr>
      <w:rPr>
        <w:rFonts w:cs="Times New Roman"/>
      </w:rPr>
    </w:lvl>
  </w:abstractNum>
  <w:abstractNum w:abstractNumId="5" w15:restartNumberingAfterBreak="0">
    <w:nsid w:val="FFFFFF89"/>
    <w:multiLevelType w:val="singleLevel"/>
    <w:tmpl w:val="2E4C64D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922CE5"/>
    <w:multiLevelType w:val="multilevel"/>
    <w:tmpl w:val="01B4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187FEB"/>
    <w:multiLevelType w:val="hybridMultilevel"/>
    <w:tmpl w:val="540A9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EA0026"/>
    <w:multiLevelType w:val="multilevel"/>
    <w:tmpl w:val="B44A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563845"/>
    <w:multiLevelType w:val="hybridMultilevel"/>
    <w:tmpl w:val="D4B4B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20A7F2C"/>
    <w:multiLevelType w:val="hybridMultilevel"/>
    <w:tmpl w:val="773CB2EC"/>
    <w:lvl w:ilvl="0" w:tplc="0400CB64">
      <w:start w:val="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A84D43"/>
    <w:multiLevelType w:val="hybridMultilevel"/>
    <w:tmpl w:val="A5006E34"/>
    <w:lvl w:ilvl="0" w:tplc="1E7CF956">
      <w:numFmt w:val="bullet"/>
      <w:pStyle w:val="ListBullet2"/>
      <w:lvlText w:val="-"/>
      <w:lvlJc w:val="left"/>
      <w:pPr>
        <w:ind w:left="1080" w:hanging="360"/>
      </w:pPr>
      <w:rPr>
        <w:rFonts w:ascii="Feijoa Medium" w:eastAsia="Feijoa Medium" w:hAnsi="Feijoa Medium" w:cs="Feijoa Medium"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506065C"/>
    <w:multiLevelType w:val="hybridMultilevel"/>
    <w:tmpl w:val="6E0E7ABA"/>
    <w:lvl w:ilvl="0" w:tplc="990E5506">
      <w:start w:val="1"/>
      <w:numFmt w:val="bullet"/>
      <w:lvlText w:val=""/>
      <w:lvlJc w:val="left"/>
      <w:pPr>
        <w:ind w:left="360" w:hanging="360"/>
      </w:pPr>
      <w:rPr>
        <w:rFonts w:ascii="minorBidi" w:hAnsi="minorBidi" w:hint="default"/>
      </w:rPr>
    </w:lvl>
    <w:lvl w:ilvl="1" w:tplc="0C090003" w:tentative="1">
      <w:start w:val="1"/>
      <w:numFmt w:val="bullet"/>
      <w:lvlText w:val="o"/>
      <w:lvlJc w:val="left"/>
      <w:pPr>
        <w:ind w:left="1080" w:hanging="360"/>
      </w:pPr>
      <w:rPr>
        <w:rFonts w:ascii="MS Mincho" w:hAnsi="MS Mincho" w:cs="MS Mincho" w:hint="default"/>
      </w:rPr>
    </w:lvl>
    <w:lvl w:ilvl="2" w:tplc="0C090005" w:tentative="1">
      <w:start w:val="1"/>
      <w:numFmt w:val="bullet"/>
      <w:lvlText w:val=""/>
      <w:lvlJc w:val="left"/>
      <w:pPr>
        <w:ind w:left="1800" w:hanging="360"/>
      </w:pPr>
      <w:rPr>
        <w:rFonts w:ascii="Arial" w:hAnsi="Arial" w:hint="default"/>
      </w:rPr>
    </w:lvl>
    <w:lvl w:ilvl="3" w:tplc="0C090001" w:tentative="1">
      <w:start w:val="1"/>
      <w:numFmt w:val="bullet"/>
      <w:lvlText w:val=""/>
      <w:lvlJc w:val="left"/>
      <w:pPr>
        <w:ind w:left="2520" w:hanging="360"/>
      </w:pPr>
      <w:rPr>
        <w:rFonts w:ascii="minorBidi" w:hAnsi="minorBidi" w:hint="default"/>
      </w:rPr>
    </w:lvl>
    <w:lvl w:ilvl="4" w:tplc="0C090003" w:tentative="1">
      <w:start w:val="1"/>
      <w:numFmt w:val="bullet"/>
      <w:lvlText w:val="o"/>
      <w:lvlJc w:val="left"/>
      <w:pPr>
        <w:ind w:left="3240" w:hanging="360"/>
      </w:pPr>
      <w:rPr>
        <w:rFonts w:ascii="MS Mincho" w:hAnsi="MS Mincho" w:cs="MS Mincho" w:hint="default"/>
      </w:rPr>
    </w:lvl>
    <w:lvl w:ilvl="5" w:tplc="0C090005" w:tentative="1">
      <w:start w:val="1"/>
      <w:numFmt w:val="bullet"/>
      <w:lvlText w:val=""/>
      <w:lvlJc w:val="left"/>
      <w:pPr>
        <w:ind w:left="3960" w:hanging="360"/>
      </w:pPr>
      <w:rPr>
        <w:rFonts w:ascii="Arial" w:hAnsi="Arial" w:hint="default"/>
      </w:rPr>
    </w:lvl>
    <w:lvl w:ilvl="6" w:tplc="0C090001" w:tentative="1">
      <w:start w:val="1"/>
      <w:numFmt w:val="bullet"/>
      <w:lvlText w:val=""/>
      <w:lvlJc w:val="left"/>
      <w:pPr>
        <w:ind w:left="4680" w:hanging="360"/>
      </w:pPr>
      <w:rPr>
        <w:rFonts w:ascii="minorBidi" w:hAnsi="minorBidi" w:hint="default"/>
      </w:rPr>
    </w:lvl>
    <w:lvl w:ilvl="7" w:tplc="0C090003" w:tentative="1">
      <w:start w:val="1"/>
      <w:numFmt w:val="bullet"/>
      <w:lvlText w:val="o"/>
      <w:lvlJc w:val="left"/>
      <w:pPr>
        <w:ind w:left="5400" w:hanging="360"/>
      </w:pPr>
      <w:rPr>
        <w:rFonts w:ascii="MS Mincho" w:hAnsi="MS Mincho" w:cs="MS Mincho" w:hint="default"/>
      </w:rPr>
    </w:lvl>
    <w:lvl w:ilvl="8" w:tplc="0C090005" w:tentative="1">
      <w:start w:val="1"/>
      <w:numFmt w:val="bullet"/>
      <w:lvlText w:val=""/>
      <w:lvlJc w:val="left"/>
      <w:pPr>
        <w:ind w:left="6120" w:hanging="360"/>
      </w:pPr>
      <w:rPr>
        <w:rFonts w:ascii="Arial" w:hAnsi="Arial" w:hint="default"/>
      </w:rPr>
    </w:lvl>
  </w:abstractNum>
  <w:abstractNum w:abstractNumId="15" w15:restartNumberingAfterBreak="0">
    <w:nsid w:val="26A66CED"/>
    <w:multiLevelType w:val="hybridMultilevel"/>
    <w:tmpl w:val="9B72DEA0"/>
    <w:lvl w:ilvl="0" w:tplc="4DE2427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592531"/>
    <w:multiLevelType w:val="hybridMultilevel"/>
    <w:tmpl w:val="991C2D4E"/>
    <w:lvl w:ilvl="0" w:tplc="24F41E1A">
      <w:start w:val="1"/>
      <w:numFmt w:val="bullet"/>
      <w:pStyle w:val="ListBullet"/>
      <w:lvlText w:val=""/>
      <w:lvlJc w:val="left"/>
      <w:pPr>
        <w:ind w:left="720" w:hanging="360"/>
      </w:pPr>
      <w:rPr>
        <w:rFonts w:ascii="Symbol" w:hAnsi="Symbol" w:hint="default"/>
      </w:rPr>
    </w:lvl>
    <w:lvl w:ilvl="1" w:tplc="DF66CE4C">
      <w:numFmt w:val="bullet"/>
      <w:lvlText w:val="-"/>
      <w:lvlJc w:val="left"/>
      <w:pPr>
        <w:ind w:left="1440" w:hanging="360"/>
      </w:pPr>
      <w:rPr>
        <w:rFonts w:ascii="Feijoa Medium" w:eastAsia="Feijoa Medium" w:hAnsi="Feijoa Medium" w:cs="Feijoa Medium"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38F26BF3"/>
    <w:multiLevelType w:val="multilevel"/>
    <w:tmpl w:val="3366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1" w15:restartNumberingAfterBreak="0">
    <w:nsid w:val="411E5F1E"/>
    <w:multiLevelType w:val="multilevel"/>
    <w:tmpl w:val="9F947AAC"/>
    <w:lvl w:ilvl="0">
      <w:start w:val="1"/>
      <w:numFmt w:val="decimal"/>
      <w:lvlText w:val="%1."/>
      <w:lvlJc w:val="left"/>
      <w:pPr>
        <w:tabs>
          <w:tab w:val="num" w:pos="227"/>
        </w:tabs>
        <w:ind w:left="227" w:hanging="227"/>
      </w:pPr>
      <w:rPr>
        <w:rFonts w:hint="default"/>
        <w:b w:val="0"/>
        <w:bCs/>
      </w:rPr>
    </w:lvl>
    <w:lvl w:ilvl="1">
      <w:start w:val="1"/>
      <w:numFmt w:val="none"/>
      <w:lvlText w:val=""/>
      <w:lvlJc w:val="left"/>
      <w:pPr>
        <w:ind w:left="1440" w:hanging="360"/>
      </w:pPr>
      <w:rPr>
        <w:rFonts w:cs="Symbol" w:hint="default"/>
      </w:rPr>
    </w:lvl>
    <w:lvl w:ilvl="2">
      <w:start w:val="1"/>
      <w:numFmt w:val="none"/>
      <w:lvlText w:val=""/>
      <w:lvlJc w:val="right"/>
      <w:pPr>
        <w:ind w:left="2160" w:hanging="180"/>
      </w:pPr>
      <w:rPr>
        <w:rFonts w:cs="Symbol" w:hint="default"/>
      </w:rPr>
    </w:lvl>
    <w:lvl w:ilvl="3">
      <w:start w:val="1"/>
      <w:numFmt w:val="none"/>
      <w:lvlText w:val=""/>
      <w:lvlJc w:val="left"/>
      <w:pPr>
        <w:ind w:left="2880" w:hanging="360"/>
      </w:pPr>
      <w:rPr>
        <w:rFonts w:cs="Symbol" w:hint="default"/>
      </w:rPr>
    </w:lvl>
    <w:lvl w:ilvl="4">
      <w:start w:val="1"/>
      <w:numFmt w:val="none"/>
      <w:lvlText w:val=""/>
      <w:lvlJc w:val="left"/>
      <w:pPr>
        <w:ind w:left="3600" w:hanging="360"/>
      </w:pPr>
      <w:rPr>
        <w:rFonts w:cs="Symbol" w:hint="default"/>
      </w:rPr>
    </w:lvl>
    <w:lvl w:ilvl="5">
      <w:start w:val="1"/>
      <w:numFmt w:val="none"/>
      <w:lvlText w:val=""/>
      <w:lvlJc w:val="right"/>
      <w:pPr>
        <w:ind w:left="4320" w:hanging="180"/>
      </w:pPr>
      <w:rPr>
        <w:rFonts w:cs="Symbol" w:hint="default"/>
      </w:rPr>
    </w:lvl>
    <w:lvl w:ilvl="6">
      <w:start w:val="1"/>
      <w:numFmt w:val="none"/>
      <w:lvlText w:val=""/>
      <w:lvlJc w:val="left"/>
      <w:pPr>
        <w:ind w:left="5040" w:hanging="360"/>
      </w:pPr>
      <w:rPr>
        <w:rFonts w:cs="Symbol" w:hint="default"/>
      </w:rPr>
    </w:lvl>
    <w:lvl w:ilvl="7">
      <w:start w:val="1"/>
      <w:numFmt w:val="none"/>
      <w:lvlText w:val=""/>
      <w:lvlJc w:val="left"/>
      <w:pPr>
        <w:ind w:left="5760" w:hanging="360"/>
      </w:pPr>
      <w:rPr>
        <w:rFonts w:cs="Symbol" w:hint="default"/>
      </w:rPr>
    </w:lvl>
    <w:lvl w:ilvl="8">
      <w:start w:val="1"/>
      <w:numFmt w:val="none"/>
      <w:lvlText w:val=""/>
      <w:lvlJc w:val="right"/>
      <w:pPr>
        <w:ind w:left="6480" w:hanging="180"/>
      </w:pPr>
      <w:rPr>
        <w:rFonts w:cs="Symbol" w:hint="default"/>
      </w:rPr>
    </w:lvl>
  </w:abstractNum>
  <w:abstractNum w:abstractNumId="22"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3" w15:restartNumberingAfterBreak="0">
    <w:nsid w:val="427307CA"/>
    <w:multiLevelType w:val="hybridMultilevel"/>
    <w:tmpl w:val="20665CCC"/>
    <w:lvl w:ilvl="0" w:tplc="83D615F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8885D8A"/>
    <w:multiLevelType w:val="hybridMultilevel"/>
    <w:tmpl w:val="BCC69B42"/>
    <w:lvl w:ilvl="0" w:tplc="0C090001">
      <w:start w:val="1"/>
      <w:numFmt w:val="bullet"/>
      <w:lvlText w:val=""/>
      <w:lvlJc w:val="left"/>
      <w:pPr>
        <w:ind w:left="720" w:hanging="360"/>
      </w:pPr>
      <w:rPr>
        <w:rFonts w:ascii="minorBidi" w:hAnsi="minorBidi" w:hint="default"/>
      </w:rPr>
    </w:lvl>
    <w:lvl w:ilvl="1" w:tplc="0C090003" w:tentative="1">
      <w:start w:val="1"/>
      <w:numFmt w:val="bullet"/>
      <w:lvlText w:val="o"/>
      <w:lvlJc w:val="left"/>
      <w:pPr>
        <w:ind w:left="1440" w:hanging="360"/>
      </w:pPr>
      <w:rPr>
        <w:rFonts w:ascii="MS Mincho" w:hAnsi="MS Mincho" w:cs="MS Mincho"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minorBidi" w:hAnsi="minorBidi" w:hint="default"/>
      </w:rPr>
    </w:lvl>
    <w:lvl w:ilvl="4" w:tplc="0C090003" w:tentative="1">
      <w:start w:val="1"/>
      <w:numFmt w:val="bullet"/>
      <w:lvlText w:val="o"/>
      <w:lvlJc w:val="left"/>
      <w:pPr>
        <w:ind w:left="3600" w:hanging="360"/>
      </w:pPr>
      <w:rPr>
        <w:rFonts w:ascii="MS Mincho" w:hAnsi="MS Mincho" w:cs="MS Mincho"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minorBidi" w:hAnsi="minorBidi" w:hint="default"/>
      </w:rPr>
    </w:lvl>
    <w:lvl w:ilvl="7" w:tplc="0C090003" w:tentative="1">
      <w:start w:val="1"/>
      <w:numFmt w:val="bullet"/>
      <w:lvlText w:val="o"/>
      <w:lvlJc w:val="left"/>
      <w:pPr>
        <w:ind w:left="5760" w:hanging="360"/>
      </w:pPr>
      <w:rPr>
        <w:rFonts w:ascii="MS Mincho" w:hAnsi="MS Mincho" w:cs="MS Mincho" w:hint="default"/>
      </w:rPr>
    </w:lvl>
    <w:lvl w:ilvl="8" w:tplc="0C090005" w:tentative="1">
      <w:start w:val="1"/>
      <w:numFmt w:val="bullet"/>
      <w:lvlText w:val=""/>
      <w:lvlJc w:val="left"/>
      <w:pPr>
        <w:ind w:left="6480" w:hanging="360"/>
      </w:pPr>
      <w:rPr>
        <w:rFonts w:ascii="Arial" w:hAnsi="Arial" w:hint="default"/>
      </w:rPr>
    </w:lvl>
  </w:abstractNum>
  <w:abstractNum w:abstractNumId="25" w15:restartNumberingAfterBreak="0">
    <w:nsid w:val="4B0A07F7"/>
    <w:multiLevelType w:val="hybridMultilevel"/>
    <w:tmpl w:val="1A20C2FC"/>
    <w:lvl w:ilvl="0" w:tplc="DD0EF98C">
      <w:numFmt w:val="bullet"/>
      <w:lvlText w:val="-"/>
      <w:lvlJc w:val="left"/>
      <w:pPr>
        <w:ind w:left="720" w:hanging="360"/>
      </w:pPr>
      <w:rPr>
        <w:rFonts w:ascii="Feijoa Medium" w:eastAsia="Feijoa Medium" w:hAnsi="Feijoa Medium" w:cs="Feijoa Mediu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2702" w:hanging="576"/>
      </w:pPr>
      <w:rPr>
        <w:rFonts w:cs="Times New Roman" w:hint="default"/>
      </w:rPr>
    </w:lvl>
    <w:lvl w:ilvl="2">
      <w:start w:val="1"/>
      <w:numFmt w:val="decimal"/>
      <w:pStyle w:val="Heading3"/>
      <w:lvlText w:val="%1.%2.%3"/>
      <w:lvlJc w:val="left"/>
      <w:pPr>
        <w:ind w:left="2988"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8"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15:restartNumberingAfterBreak="0">
    <w:nsid w:val="62F50BB8"/>
    <w:multiLevelType w:val="hybridMultilevel"/>
    <w:tmpl w:val="0212D2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2" w15:restartNumberingAfterBreak="0">
    <w:nsid w:val="72672BBB"/>
    <w:multiLevelType w:val="hybridMultilevel"/>
    <w:tmpl w:val="8236F58E"/>
    <w:lvl w:ilvl="0" w:tplc="E1180E3C">
      <w:start w:val="1"/>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EA24CB"/>
    <w:multiLevelType w:val="hybridMultilevel"/>
    <w:tmpl w:val="79B48830"/>
    <w:lvl w:ilvl="0" w:tplc="A4F27746">
      <w:start w:val="1"/>
      <w:numFmt w:val="bullet"/>
      <w:lvlText w:val=""/>
      <w:lvlJc w:val="left"/>
      <w:pPr>
        <w:ind w:left="360" w:hanging="360"/>
      </w:pPr>
      <w:rPr>
        <w:rFonts w:ascii="minorBidi" w:hAnsi="minorBidi" w:hint="default"/>
      </w:rPr>
    </w:lvl>
    <w:lvl w:ilvl="1" w:tplc="2A9063CA">
      <w:numFmt w:val="bullet"/>
      <w:lvlText w:val="-"/>
      <w:lvlJc w:val="left"/>
      <w:pPr>
        <w:ind w:left="1080" w:hanging="360"/>
      </w:pPr>
      <w:rPr>
        <w:rFonts w:ascii="Feijoa Medium" w:eastAsia="Feijoa Medium" w:hAnsi="Feijoa Medium" w:cs="Feijoa Medium" w:hint="default"/>
      </w:rPr>
    </w:lvl>
    <w:lvl w:ilvl="2" w:tplc="0C090005" w:tentative="1">
      <w:start w:val="1"/>
      <w:numFmt w:val="bullet"/>
      <w:lvlText w:val=""/>
      <w:lvlJc w:val="left"/>
      <w:pPr>
        <w:ind w:left="1800" w:hanging="360"/>
      </w:pPr>
      <w:rPr>
        <w:rFonts w:ascii="Arial" w:hAnsi="Arial" w:hint="default"/>
      </w:rPr>
    </w:lvl>
    <w:lvl w:ilvl="3" w:tplc="0C090001" w:tentative="1">
      <w:start w:val="1"/>
      <w:numFmt w:val="bullet"/>
      <w:lvlText w:val=""/>
      <w:lvlJc w:val="left"/>
      <w:pPr>
        <w:ind w:left="2520" w:hanging="360"/>
      </w:pPr>
      <w:rPr>
        <w:rFonts w:ascii="minorBidi" w:hAnsi="minorBidi" w:hint="default"/>
      </w:rPr>
    </w:lvl>
    <w:lvl w:ilvl="4" w:tplc="0C090003" w:tentative="1">
      <w:start w:val="1"/>
      <w:numFmt w:val="bullet"/>
      <w:lvlText w:val="o"/>
      <w:lvlJc w:val="left"/>
      <w:pPr>
        <w:ind w:left="3240" w:hanging="360"/>
      </w:pPr>
      <w:rPr>
        <w:rFonts w:ascii="MS Mincho" w:hAnsi="MS Mincho" w:cs="MS Mincho" w:hint="default"/>
      </w:rPr>
    </w:lvl>
    <w:lvl w:ilvl="5" w:tplc="0C090005" w:tentative="1">
      <w:start w:val="1"/>
      <w:numFmt w:val="bullet"/>
      <w:lvlText w:val=""/>
      <w:lvlJc w:val="left"/>
      <w:pPr>
        <w:ind w:left="3960" w:hanging="360"/>
      </w:pPr>
      <w:rPr>
        <w:rFonts w:ascii="Arial" w:hAnsi="Arial" w:hint="default"/>
      </w:rPr>
    </w:lvl>
    <w:lvl w:ilvl="6" w:tplc="0C090001" w:tentative="1">
      <w:start w:val="1"/>
      <w:numFmt w:val="bullet"/>
      <w:lvlText w:val=""/>
      <w:lvlJc w:val="left"/>
      <w:pPr>
        <w:ind w:left="4680" w:hanging="360"/>
      </w:pPr>
      <w:rPr>
        <w:rFonts w:ascii="minorBidi" w:hAnsi="minorBidi" w:hint="default"/>
      </w:rPr>
    </w:lvl>
    <w:lvl w:ilvl="7" w:tplc="0C090003" w:tentative="1">
      <w:start w:val="1"/>
      <w:numFmt w:val="bullet"/>
      <w:lvlText w:val="o"/>
      <w:lvlJc w:val="left"/>
      <w:pPr>
        <w:ind w:left="5400" w:hanging="360"/>
      </w:pPr>
      <w:rPr>
        <w:rFonts w:ascii="MS Mincho" w:hAnsi="MS Mincho" w:cs="MS Mincho" w:hint="default"/>
      </w:rPr>
    </w:lvl>
    <w:lvl w:ilvl="8" w:tplc="0C090005" w:tentative="1">
      <w:start w:val="1"/>
      <w:numFmt w:val="bullet"/>
      <w:lvlText w:val=""/>
      <w:lvlJc w:val="left"/>
      <w:pPr>
        <w:ind w:left="6120" w:hanging="360"/>
      </w:pPr>
      <w:rPr>
        <w:rFonts w:ascii="Arial" w:hAnsi="Arial" w:hint="default"/>
      </w:rPr>
    </w:lvl>
  </w:abstractNum>
  <w:abstractNum w:abstractNumId="34" w15:restartNumberingAfterBreak="0">
    <w:nsid w:val="74C3242B"/>
    <w:multiLevelType w:val="hybridMultilevel"/>
    <w:tmpl w:val="B6289422"/>
    <w:lvl w:ilvl="0" w:tplc="A30C8C2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6" w15:restartNumberingAfterBreak="0">
    <w:nsid w:val="7A363D8B"/>
    <w:multiLevelType w:val="multilevel"/>
    <w:tmpl w:val="7080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9A1C7A"/>
    <w:multiLevelType w:val="hybridMultilevel"/>
    <w:tmpl w:val="BA9EB9B2"/>
    <w:lvl w:ilvl="0" w:tplc="A502C69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DC4AFE"/>
    <w:multiLevelType w:val="hybridMultilevel"/>
    <w:tmpl w:val="D9448D58"/>
    <w:lvl w:ilvl="0" w:tplc="DF66CE4C">
      <w:numFmt w:val="bullet"/>
      <w:lvlText w:val="-"/>
      <w:lvlJc w:val="left"/>
      <w:pPr>
        <w:ind w:left="720" w:hanging="360"/>
      </w:pPr>
      <w:rPr>
        <w:rFonts w:ascii="Feijoa Medium" w:eastAsia="Feijoa Medium" w:hAnsi="Feijoa Medium" w:cs="Feijoa Medium" w:hint="default"/>
      </w:rPr>
    </w:lvl>
    <w:lvl w:ilvl="1" w:tplc="0C090003" w:tentative="1">
      <w:start w:val="1"/>
      <w:numFmt w:val="bullet"/>
      <w:lvlText w:val="o"/>
      <w:lvlJc w:val="left"/>
      <w:pPr>
        <w:ind w:left="1440" w:hanging="360"/>
      </w:pPr>
      <w:rPr>
        <w:rFonts w:ascii="MS Mincho" w:hAnsi="MS Mincho" w:cs="MS Mincho"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minorBidi" w:hAnsi="minorBidi" w:hint="default"/>
      </w:rPr>
    </w:lvl>
    <w:lvl w:ilvl="4" w:tplc="0C090003" w:tentative="1">
      <w:start w:val="1"/>
      <w:numFmt w:val="bullet"/>
      <w:lvlText w:val="o"/>
      <w:lvlJc w:val="left"/>
      <w:pPr>
        <w:ind w:left="3600" w:hanging="360"/>
      </w:pPr>
      <w:rPr>
        <w:rFonts w:ascii="MS Mincho" w:hAnsi="MS Mincho" w:cs="MS Mincho"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minorBidi" w:hAnsi="minorBidi" w:hint="default"/>
      </w:rPr>
    </w:lvl>
    <w:lvl w:ilvl="7" w:tplc="0C090003" w:tentative="1">
      <w:start w:val="1"/>
      <w:numFmt w:val="bullet"/>
      <w:lvlText w:val="o"/>
      <w:lvlJc w:val="left"/>
      <w:pPr>
        <w:ind w:left="5760" w:hanging="360"/>
      </w:pPr>
      <w:rPr>
        <w:rFonts w:ascii="MS Mincho" w:hAnsi="MS Mincho" w:cs="MS Mincho" w:hint="default"/>
      </w:rPr>
    </w:lvl>
    <w:lvl w:ilvl="8" w:tplc="0C090005" w:tentative="1">
      <w:start w:val="1"/>
      <w:numFmt w:val="bullet"/>
      <w:lvlText w:val=""/>
      <w:lvlJc w:val="left"/>
      <w:pPr>
        <w:ind w:left="6480" w:hanging="360"/>
      </w:pPr>
      <w:rPr>
        <w:rFonts w:ascii="Arial" w:hAnsi="Arial" w:hint="default"/>
      </w:rPr>
    </w:lvl>
  </w:abstractNum>
  <w:abstractNum w:abstractNumId="39" w15:restartNumberingAfterBreak="0">
    <w:nsid w:val="7D161547"/>
    <w:multiLevelType w:val="hybridMultilevel"/>
    <w:tmpl w:val="20ACC614"/>
    <w:lvl w:ilvl="0" w:tplc="3852FDE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8B3B30"/>
    <w:multiLevelType w:val="hybridMultilevel"/>
    <w:tmpl w:val="B34E2708"/>
    <w:lvl w:ilvl="0" w:tplc="0C090001">
      <w:start w:val="1"/>
      <w:numFmt w:val="bullet"/>
      <w:lvlText w:val=""/>
      <w:lvlJc w:val="left"/>
      <w:pPr>
        <w:ind w:left="720" w:hanging="360"/>
      </w:pPr>
      <w:rPr>
        <w:rFonts w:ascii="minorBidi" w:hAnsi="minorBidi" w:hint="default"/>
      </w:rPr>
    </w:lvl>
    <w:lvl w:ilvl="1" w:tplc="0C090003" w:tentative="1">
      <w:start w:val="1"/>
      <w:numFmt w:val="bullet"/>
      <w:lvlText w:val="o"/>
      <w:lvlJc w:val="left"/>
      <w:pPr>
        <w:ind w:left="1440" w:hanging="360"/>
      </w:pPr>
      <w:rPr>
        <w:rFonts w:ascii="MS Mincho" w:hAnsi="MS Mincho" w:cs="MS Mincho"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minorBidi" w:hAnsi="minorBidi" w:hint="default"/>
      </w:rPr>
    </w:lvl>
    <w:lvl w:ilvl="4" w:tplc="0C090003" w:tentative="1">
      <w:start w:val="1"/>
      <w:numFmt w:val="bullet"/>
      <w:lvlText w:val="o"/>
      <w:lvlJc w:val="left"/>
      <w:pPr>
        <w:ind w:left="3600" w:hanging="360"/>
      </w:pPr>
      <w:rPr>
        <w:rFonts w:ascii="MS Mincho" w:hAnsi="MS Mincho" w:cs="MS Mincho"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minorBidi" w:hAnsi="minorBidi" w:hint="default"/>
      </w:rPr>
    </w:lvl>
    <w:lvl w:ilvl="7" w:tplc="0C090003" w:tentative="1">
      <w:start w:val="1"/>
      <w:numFmt w:val="bullet"/>
      <w:lvlText w:val="o"/>
      <w:lvlJc w:val="left"/>
      <w:pPr>
        <w:ind w:left="5760" w:hanging="360"/>
      </w:pPr>
      <w:rPr>
        <w:rFonts w:ascii="MS Mincho" w:hAnsi="MS Mincho" w:cs="MS Mincho" w:hint="default"/>
      </w:rPr>
    </w:lvl>
    <w:lvl w:ilvl="8" w:tplc="0C090005" w:tentative="1">
      <w:start w:val="1"/>
      <w:numFmt w:val="bullet"/>
      <w:lvlText w:val=""/>
      <w:lvlJc w:val="left"/>
      <w:pPr>
        <w:ind w:left="6480" w:hanging="360"/>
      </w:pPr>
      <w:rPr>
        <w:rFonts w:ascii="Arial" w:hAnsi="Arial" w:hint="default"/>
      </w:rPr>
    </w:lvl>
  </w:abstractNum>
  <w:num w:numId="1" w16cid:durableId="1787964249">
    <w:abstractNumId w:val="4"/>
  </w:num>
  <w:num w:numId="2" w16cid:durableId="2108039485">
    <w:abstractNumId w:val="3"/>
  </w:num>
  <w:num w:numId="3" w16cid:durableId="1207176927">
    <w:abstractNumId w:val="2"/>
  </w:num>
  <w:num w:numId="4" w16cid:durableId="1763136152">
    <w:abstractNumId w:val="1"/>
  </w:num>
  <w:num w:numId="5" w16cid:durableId="403381954">
    <w:abstractNumId w:val="22"/>
  </w:num>
  <w:num w:numId="6" w16cid:durableId="1723627560">
    <w:abstractNumId w:val="11"/>
  </w:num>
  <w:num w:numId="7" w16cid:durableId="50691702">
    <w:abstractNumId w:val="10"/>
  </w:num>
  <w:num w:numId="8" w16cid:durableId="434204834">
    <w:abstractNumId w:val="27"/>
  </w:num>
  <w:num w:numId="9" w16cid:durableId="681668694">
    <w:abstractNumId w:val="18"/>
  </w:num>
  <w:num w:numId="10" w16cid:durableId="157692462">
    <w:abstractNumId w:val="17"/>
  </w:num>
  <w:num w:numId="11" w16cid:durableId="931278771">
    <w:abstractNumId w:val="29"/>
  </w:num>
  <w:num w:numId="12" w16cid:durableId="1361971970">
    <w:abstractNumId w:val="0"/>
  </w:num>
  <w:num w:numId="13" w16cid:durableId="417364934">
    <w:abstractNumId w:val="26"/>
  </w:num>
  <w:num w:numId="14" w16cid:durableId="557864889">
    <w:abstractNumId w:val="31"/>
  </w:num>
  <w:num w:numId="15" w16cid:durableId="817192385">
    <w:abstractNumId w:val="35"/>
  </w:num>
  <w:num w:numId="16" w16cid:durableId="2139760101">
    <w:abstractNumId w:val="28"/>
  </w:num>
  <w:num w:numId="17" w16cid:durableId="573508565">
    <w:abstractNumId w:val="20"/>
  </w:num>
  <w:num w:numId="18" w16cid:durableId="1308764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0283">
    <w:abstractNumId w:val="21"/>
  </w:num>
  <w:num w:numId="20" w16cid:durableId="152794885">
    <w:abstractNumId w:val="38"/>
  </w:num>
  <w:num w:numId="21" w16cid:durableId="1599943288">
    <w:abstractNumId w:val="24"/>
  </w:num>
  <w:num w:numId="22" w16cid:durableId="1430352708">
    <w:abstractNumId w:val="40"/>
  </w:num>
  <w:num w:numId="23" w16cid:durableId="1301569715">
    <w:abstractNumId w:val="33"/>
  </w:num>
  <w:num w:numId="24" w16cid:durableId="1394086665">
    <w:abstractNumId w:val="14"/>
  </w:num>
  <w:num w:numId="25" w16cid:durableId="10622122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094631">
    <w:abstractNumId w:val="23"/>
  </w:num>
  <w:num w:numId="27" w16cid:durableId="884755409">
    <w:abstractNumId w:val="25"/>
  </w:num>
  <w:num w:numId="28" w16cid:durableId="2086681182">
    <w:abstractNumId w:val="5"/>
  </w:num>
  <w:num w:numId="29" w16cid:durableId="495996815">
    <w:abstractNumId w:val="8"/>
  </w:num>
  <w:num w:numId="30" w16cid:durableId="436754671">
    <w:abstractNumId w:val="19"/>
  </w:num>
  <w:num w:numId="31" w16cid:durableId="920066350">
    <w:abstractNumId w:val="36"/>
  </w:num>
  <w:num w:numId="32" w16cid:durableId="952400240">
    <w:abstractNumId w:val="6"/>
  </w:num>
  <w:num w:numId="33" w16cid:durableId="1856767619">
    <w:abstractNumId w:val="16"/>
  </w:num>
  <w:num w:numId="34" w16cid:durableId="7848109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7838390">
    <w:abstractNumId w:val="13"/>
  </w:num>
  <w:num w:numId="36" w16cid:durableId="1809736780">
    <w:abstractNumId w:val="13"/>
  </w:num>
  <w:num w:numId="37" w16cid:durableId="994409745">
    <w:abstractNumId w:val="13"/>
  </w:num>
  <w:num w:numId="38" w16cid:durableId="1673800766">
    <w:abstractNumId w:val="39"/>
  </w:num>
  <w:num w:numId="39" w16cid:durableId="1776049596">
    <w:abstractNumId w:val="37"/>
  </w:num>
  <w:num w:numId="40" w16cid:durableId="699672216">
    <w:abstractNumId w:val="15"/>
  </w:num>
  <w:num w:numId="41" w16cid:durableId="1007514018">
    <w:abstractNumId w:val="34"/>
  </w:num>
  <w:num w:numId="42" w16cid:durableId="1610354481">
    <w:abstractNumId w:val="32"/>
  </w:num>
  <w:num w:numId="43" w16cid:durableId="2055537697">
    <w:abstractNumId w:val="7"/>
  </w:num>
  <w:num w:numId="44" w16cid:durableId="5133959">
    <w:abstractNumId w:val="30"/>
  </w:num>
  <w:num w:numId="45" w16cid:durableId="181362223">
    <w:abstractNumId w:val="9"/>
  </w:num>
  <w:num w:numId="46" w16cid:durableId="1673490242">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5E6933"/>
    <w:rsid w:val="000004F6"/>
    <w:rsid w:val="00000EEA"/>
    <w:rsid w:val="0000161D"/>
    <w:rsid w:val="00001847"/>
    <w:rsid w:val="00001864"/>
    <w:rsid w:val="0000219C"/>
    <w:rsid w:val="00002AA7"/>
    <w:rsid w:val="000031E1"/>
    <w:rsid w:val="0000358F"/>
    <w:rsid w:val="000037C1"/>
    <w:rsid w:val="00003970"/>
    <w:rsid w:val="0000420C"/>
    <w:rsid w:val="0000444A"/>
    <w:rsid w:val="00004982"/>
    <w:rsid w:val="0000597E"/>
    <w:rsid w:val="000060FE"/>
    <w:rsid w:val="000062FF"/>
    <w:rsid w:val="000064E0"/>
    <w:rsid w:val="00006657"/>
    <w:rsid w:val="000071B0"/>
    <w:rsid w:val="000072CD"/>
    <w:rsid w:val="000074D2"/>
    <w:rsid w:val="000075A8"/>
    <w:rsid w:val="00007673"/>
    <w:rsid w:val="00010283"/>
    <w:rsid w:val="00010BA2"/>
    <w:rsid w:val="000110C8"/>
    <w:rsid w:val="00011A89"/>
    <w:rsid w:val="00011FC6"/>
    <w:rsid w:val="000122CC"/>
    <w:rsid w:val="000126EB"/>
    <w:rsid w:val="00012AAC"/>
    <w:rsid w:val="00013714"/>
    <w:rsid w:val="000137F1"/>
    <w:rsid w:val="00014097"/>
    <w:rsid w:val="000144B1"/>
    <w:rsid w:val="000145D3"/>
    <w:rsid w:val="000150C7"/>
    <w:rsid w:val="00015664"/>
    <w:rsid w:val="00015C54"/>
    <w:rsid w:val="00015E82"/>
    <w:rsid w:val="000160BF"/>
    <w:rsid w:val="000169D7"/>
    <w:rsid w:val="0001775B"/>
    <w:rsid w:val="0002008F"/>
    <w:rsid w:val="00020621"/>
    <w:rsid w:val="00020689"/>
    <w:rsid w:val="000209CE"/>
    <w:rsid w:val="00020F97"/>
    <w:rsid w:val="00021E33"/>
    <w:rsid w:val="00022CFC"/>
    <w:rsid w:val="0002388F"/>
    <w:rsid w:val="000239D8"/>
    <w:rsid w:val="00023E22"/>
    <w:rsid w:val="00024078"/>
    <w:rsid w:val="00024A33"/>
    <w:rsid w:val="00024B29"/>
    <w:rsid w:val="00024F6E"/>
    <w:rsid w:val="000252E2"/>
    <w:rsid w:val="00025532"/>
    <w:rsid w:val="000256A4"/>
    <w:rsid w:val="00025EE6"/>
    <w:rsid w:val="00025FD5"/>
    <w:rsid w:val="000260A5"/>
    <w:rsid w:val="000262FA"/>
    <w:rsid w:val="00026635"/>
    <w:rsid w:val="0002686D"/>
    <w:rsid w:val="00030B38"/>
    <w:rsid w:val="000312EA"/>
    <w:rsid w:val="000316D4"/>
    <w:rsid w:val="0003217B"/>
    <w:rsid w:val="00032923"/>
    <w:rsid w:val="00032C10"/>
    <w:rsid w:val="000331D4"/>
    <w:rsid w:val="00033E0C"/>
    <w:rsid w:val="00034BA0"/>
    <w:rsid w:val="00036663"/>
    <w:rsid w:val="0003737B"/>
    <w:rsid w:val="0003792E"/>
    <w:rsid w:val="000379CE"/>
    <w:rsid w:val="00037C9E"/>
    <w:rsid w:val="00040693"/>
    <w:rsid w:val="000409E1"/>
    <w:rsid w:val="00040A45"/>
    <w:rsid w:val="00040A81"/>
    <w:rsid w:val="00040A92"/>
    <w:rsid w:val="00040EF7"/>
    <w:rsid w:val="00040F7B"/>
    <w:rsid w:val="000411B8"/>
    <w:rsid w:val="00041891"/>
    <w:rsid w:val="00041F95"/>
    <w:rsid w:val="000425CD"/>
    <w:rsid w:val="00042A1A"/>
    <w:rsid w:val="00042A8D"/>
    <w:rsid w:val="00042DBD"/>
    <w:rsid w:val="00043281"/>
    <w:rsid w:val="00043876"/>
    <w:rsid w:val="000440F6"/>
    <w:rsid w:val="000443E1"/>
    <w:rsid w:val="0004594F"/>
    <w:rsid w:val="00045B23"/>
    <w:rsid w:val="00045FD9"/>
    <w:rsid w:val="00046533"/>
    <w:rsid w:val="000465C7"/>
    <w:rsid w:val="000467B5"/>
    <w:rsid w:val="00046B0F"/>
    <w:rsid w:val="0005010A"/>
    <w:rsid w:val="0005048B"/>
    <w:rsid w:val="00050553"/>
    <w:rsid w:val="00051219"/>
    <w:rsid w:val="00051456"/>
    <w:rsid w:val="000519FD"/>
    <w:rsid w:val="00051C79"/>
    <w:rsid w:val="0005226F"/>
    <w:rsid w:val="00052DC8"/>
    <w:rsid w:val="0005333B"/>
    <w:rsid w:val="0005371F"/>
    <w:rsid w:val="00053E83"/>
    <w:rsid w:val="00053EE7"/>
    <w:rsid w:val="00054830"/>
    <w:rsid w:val="00054AAB"/>
    <w:rsid w:val="00054AF7"/>
    <w:rsid w:val="000556C2"/>
    <w:rsid w:val="000557A4"/>
    <w:rsid w:val="00056FD0"/>
    <w:rsid w:val="000570C9"/>
    <w:rsid w:val="0005746E"/>
    <w:rsid w:val="00057F80"/>
    <w:rsid w:val="00060A8D"/>
    <w:rsid w:val="00061BB9"/>
    <w:rsid w:val="00062450"/>
    <w:rsid w:val="00063E4A"/>
    <w:rsid w:val="000643A6"/>
    <w:rsid w:val="00064612"/>
    <w:rsid w:val="00064CDA"/>
    <w:rsid w:val="00065A2D"/>
    <w:rsid w:val="00066472"/>
    <w:rsid w:val="00066546"/>
    <w:rsid w:val="000667A4"/>
    <w:rsid w:val="00066831"/>
    <w:rsid w:val="00066C2E"/>
    <w:rsid w:val="000673FE"/>
    <w:rsid w:val="00067B0B"/>
    <w:rsid w:val="00067F7C"/>
    <w:rsid w:val="00070580"/>
    <w:rsid w:val="00070E9C"/>
    <w:rsid w:val="000710CF"/>
    <w:rsid w:val="0007173D"/>
    <w:rsid w:val="00071F9F"/>
    <w:rsid w:val="00072981"/>
    <w:rsid w:val="00072D42"/>
    <w:rsid w:val="00073394"/>
    <w:rsid w:val="00073503"/>
    <w:rsid w:val="00073840"/>
    <w:rsid w:val="0007449E"/>
    <w:rsid w:val="00074674"/>
    <w:rsid w:val="00074AD1"/>
    <w:rsid w:val="00074DFE"/>
    <w:rsid w:val="00075774"/>
    <w:rsid w:val="00075B0B"/>
    <w:rsid w:val="00075E1E"/>
    <w:rsid w:val="00075FCC"/>
    <w:rsid w:val="00076358"/>
    <w:rsid w:val="000765C9"/>
    <w:rsid w:val="0007664F"/>
    <w:rsid w:val="000767AC"/>
    <w:rsid w:val="00076B16"/>
    <w:rsid w:val="000772DF"/>
    <w:rsid w:val="00080C45"/>
    <w:rsid w:val="00081324"/>
    <w:rsid w:val="000815C2"/>
    <w:rsid w:val="00081AE4"/>
    <w:rsid w:val="00081BBA"/>
    <w:rsid w:val="000822DD"/>
    <w:rsid w:val="0008281F"/>
    <w:rsid w:val="00082B42"/>
    <w:rsid w:val="00083251"/>
    <w:rsid w:val="000838B2"/>
    <w:rsid w:val="000839FF"/>
    <w:rsid w:val="00083CBE"/>
    <w:rsid w:val="00083FBD"/>
    <w:rsid w:val="0008406D"/>
    <w:rsid w:val="000857AB"/>
    <w:rsid w:val="000859B7"/>
    <w:rsid w:val="00085AF1"/>
    <w:rsid w:val="00085B7F"/>
    <w:rsid w:val="00085DC0"/>
    <w:rsid w:val="000865C2"/>
    <w:rsid w:val="00086B3B"/>
    <w:rsid w:val="00086E46"/>
    <w:rsid w:val="00086EE0"/>
    <w:rsid w:val="00086F13"/>
    <w:rsid w:val="00087056"/>
    <w:rsid w:val="000874C3"/>
    <w:rsid w:val="00087ADA"/>
    <w:rsid w:val="00087B77"/>
    <w:rsid w:val="00087E62"/>
    <w:rsid w:val="000904C3"/>
    <w:rsid w:val="00090CC9"/>
    <w:rsid w:val="000912B7"/>
    <w:rsid w:val="0009212A"/>
    <w:rsid w:val="00092D83"/>
    <w:rsid w:val="00092DFB"/>
    <w:rsid w:val="00092E63"/>
    <w:rsid w:val="00093995"/>
    <w:rsid w:val="00093B0B"/>
    <w:rsid w:val="00094CA4"/>
    <w:rsid w:val="00095ACF"/>
    <w:rsid w:val="000960C5"/>
    <w:rsid w:val="000973A3"/>
    <w:rsid w:val="000979AD"/>
    <w:rsid w:val="000A0AD3"/>
    <w:rsid w:val="000A0E8C"/>
    <w:rsid w:val="000A12E8"/>
    <w:rsid w:val="000A1AAC"/>
    <w:rsid w:val="000A2614"/>
    <w:rsid w:val="000A395C"/>
    <w:rsid w:val="000A3E69"/>
    <w:rsid w:val="000A453F"/>
    <w:rsid w:val="000A5D49"/>
    <w:rsid w:val="000A5F19"/>
    <w:rsid w:val="000A6937"/>
    <w:rsid w:val="000A6F40"/>
    <w:rsid w:val="000A709B"/>
    <w:rsid w:val="000A70BA"/>
    <w:rsid w:val="000A781E"/>
    <w:rsid w:val="000A7943"/>
    <w:rsid w:val="000B0187"/>
    <w:rsid w:val="000B08AB"/>
    <w:rsid w:val="000B09D1"/>
    <w:rsid w:val="000B0A3D"/>
    <w:rsid w:val="000B0DAE"/>
    <w:rsid w:val="000B1470"/>
    <w:rsid w:val="000B16D9"/>
    <w:rsid w:val="000B170E"/>
    <w:rsid w:val="000B227F"/>
    <w:rsid w:val="000B2284"/>
    <w:rsid w:val="000B3486"/>
    <w:rsid w:val="000B3683"/>
    <w:rsid w:val="000B548B"/>
    <w:rsid w:val="000B663B"/>
    <w:rsid w:val="000B791F"/>
    <w:rsid w:val="000C01BA"/>
    <w:rsid w:val="000C02C0"/>
    <w:rsid w:val="000C05F1"/>
    <w:rsid w:val="000C075F"/>
    <w:rsid w:val="000C0940"/>
    <w:rsid w:val="000C0D61"/>
    <w:rsid w:val="000C0E41"/>
    <w:rsid w:val="000C0F69"/>
    <w:rsid w:val="000C1F1A"/>
    <w:rsid w:val="000C235B"/>
    <w:rsid w:val="000C31E8"/>
    <w:rsid w:val="000C3DCB"/>
    <w:rsid w:val="000C4051"/>
    <w:rsid w:val="000C4A60"/>
    <w:rsid w:val="000C4BDF"/>
    <w:rsid w:val="000C53ED"/>
    <w:rsid w:val="000C5523"/>
    <w:rsid w:val="000C60C4"/>
    <w:rsid w:val="000C61C0"/>
    <w:rsid w:val="000C65EA"/>
    <w:rsid w:val="000C6670"/>
    <w:rsid w:val="000C7C39"/>
    <w:rsid w:val="000C7D15"/>
    <w:rsid w:val="000C7F40"/>
    <w:rsid w:val="000C7FD9"/>
    <w:rsid w:val="000D0298"/>
    <w:rsid w:val="000D0ECF"/>
    <w:rsid w:val="000D19DE"/>
    <w:rsid w:val="000D3E0E"/>
    <w:rsid w:val="000D436B"/>
    <w:rsid w:val="000D468B"/>
    <w:rsid w:val="000D4A25"/>
    <w:rsid w:val="000D6B19"/>
    <w:rsid w:val="000D6B9E"/>
    <w:rsid w:val="000D6D2F"/>
    <w:rsid w:val="000D7EBE"/>
    <w:rsid w:val="000E0927"/>
    <w:rsid w:val="000E1BF8"/>
    <w:rsid w:val="000E1C39"/>
    <w:rsid w:val="000E1CF3"/>
    <w:rsid w:val="000E2422"/>
    <w:rsid w:val="000E26D4"/>
    <w:rsid w:val="000E29BF"/>
    <w:rsid w:val="000E2E80"/>
    <w:rsid w:val="000E310E"/>
    <w:rsid w:val="000E31EA"/>
    <w:rsid w:val="000E3EEC"/>
    <w:rsid w:val="000E4C21"/>
    <w:rsid w:val="000E52A5"/>
    <w:rsid w:val="000E599F"/>
    <w:rsid w:val="000E59D1"/>
    <w:rsid w:val="000E5B2D"/>
    <w:rsid w:val="000E6003"/>
    <w:rsid w:val="000E6022"/>
    <w:rsid w:val="000E6813"/>
    <w:rsid w:val="000E741C"/>
    <w:rsid w:val="000E78AD"/>
    <w:rsid w:val="000E78E8"/>
    <w:rsid w:val="000E7A61"/>
    <w:rsid w:val="000E7F9F"/>
    <w:rsid w:val="000F0AD3"/>
    <w:rsid w:val="000F0E6A"/>
    <w:rsid w:val="000F0FC5"/>
    <w:rsid w:val="000F178E"/>
    <w:rsid w:val="000F1C15"/>
    <w:rsid w:val="000F1D7F"/>
    <w:rsid w:val="000F1EC3"/>
    <w:rsid w:val="000F1FE4"/>
    <w:rsid w:val="000F1FF9"/>
    <w:rsid w:val="000F2C70"/>
    <w:rsid w:val="000F2D14"/>
    <w:rsid w:val="000F35AC"/>
    <w:rsid w:val="000F4BD4"/>
    <w:rsid w:val="000F4D00"/>
    <w:rsid w:val="000F4D47"/>
    <w:rsid w:val="000F537E"/>
    <w:rsid w:val="000F6905"/>
    <w:rsid w:val="000F6D93"/>
    <w:rsid w:val="0010020E"/>
    <w:rsid w:val="00100F50"/>
    <w:rsid w:val="001017D8"/>
    <w:rsid w:val="00101A2A"/>
    <w:rsid w:val="00101E81"/>
    <w:rsid w:val="00101FDA"/>
    <w:rsid w:val="001023DD"/>
    <w:rsid w:val="00104459"/>
    <w:rsid w:val="00104FBD"/>
    <w:rsid w:val="00105226"/>
    <w:rsid w:val="00105CC9"/>
    <w:rsid w:val="00106598"/>
    <w:rsid w:val="001067F0"/>
    <w:rsid w:val="001068F9"/>
    <w:rsid w:val="00106F99"/>
    <w:rsid w:val="00107236"/>
    <w:rsid w:val="00107316"/>
    <w:rsid w:val="00107D33"/>
    <w:rsid w:val="001100D4"/>
    <w:rsid w:val="001107AF"/>
    <w:rsid w:val="0011165A"/>
    <w:rsid w:val="001118B7"/>
    <w:rsid w:val="00111A17"/>
    <w:rsid w:val="00111AFF"/>
    <w:rsid w:val="00111C0A"/>
    <w:rsid w:val="00112729"/>
    <w:rsid w:val="00112EF8"/>
    <w:rsid w:val="0011346D"/>
    <w:rsid w:val="00113B10"/>
    <w:rsid w:val="001142DC"/>
    <w:rsid w:val="00114706"/>
    <w:rsid w:val="0011470B"/>
    <w:rsid w:val="00114B30"/>
    <w:rsid w:val="00114B34"/>
    <w:rsid w:val="00114B83"/>
    <w:rsid w:val="001150AD"/>
    <w:rsid w:val="00116750"/>
    <w:rsid w:val="00116C3E"/>
    <w:rsid w:val="00116E17"/>
    <w:rsid w:val="00117297"/>
    <w:rsid w:val="00117303"/>
    <w:rsid w:val="00117E59"/>
    <w:rsid w:val="00120578"/>
    <w:rsid w:val="0012201E"/>
    <w:rsid w:val="0012213D"/>
    <w:rsid w:val="0012251A"/>
    <w:rsid w:val="001229AE"/>
    <w:rsid w:val="00123BCC"/>
    <w:rsid w:val="00123FD7"/>
    <w:rsid w:val="001241FD"/>
    <w:rsid w:val="001249CC"/>
    <w:rsid w:val="00125038"/>
    <w:rsid w:val="00125274"/>
    <w:rsid w:val="00125649"/>
    <w:rsid w:val="0012576C"/>
    <w:rsid w:val="00125C63"/>
    <w:rsid w:val="00125EBA"/>
    <w:rsid w:val="00125FB4"/>
    <w:rsid w:val="0012705D"/>
    <w:rsid w:val="0012718B"/>
    <w:rsid w:val="001272D4"/>
    <w:rsid w:val="00130056"/>
    <w:rsid w:val="001301F1"/>
    <w:rsid w:val="00130531"/>
    <w:rsid w:val="0013089B"/>
    <w:rsid w:val="001316D6"/>
    <w:rsid w:val="0013299E"/>
    <w:rsid w:val="00132B83"/>
    <w:rsid w:val="00132BA8"/>
    <w:rsid w:val="00132F76"/>
    <w:rsid w:val="0013384F"/>
    <w:rsid w:val="001338C3"/>
    <w:rsid w:val="00134F83"/>
    <w:rsid w:val="00134FC3"/>
    <w:rsid w:val="001350FB"/>
    <w:rsid w:val="00135450"/>
    <w:rsid w:val="00135F4C"/>
    <w:rsid w:val="001362D8"/>
    <w:rsid w:val="001367A6"/>
    <w:rsid w:val="00136B7F"/>
    <w:rsid w:val="001377F9"/>
    <w:rsid w:val="001400F6"/>
    <w:rsid w:val="00140A0A"/>
    <w:rsid w:val="00140D54"/>
    <w:rsid w:val="00141A77"/>
    <w:rsid w:val="00141AB6"/>
    <w:rsid w:val="00141D5A"/>
    <w:rsid w:val="0014224F"/>
    <w:rsid w:val="0014419A"/>
    <w:rsid w:val="00145517"/>
    <w:rsid w:val="001460D5"/>
    <w:rsid w:val="00146958"/>
    <w:rsid w:val="0014703E"/>
    <w:rsid w:val="00147313"/>
    <w:rsid w:val="001479D9"/>
    <w:rsid w:val="00147A2E"/>
    <w:rsid w:val="00147B2E"/>
    <w:rsid w:val="00147DE1"/>
    <w:rsid w:val="00150D11"/>
    <w:rsid w:val="0015100B"/>
    <w:rsid w:val="0015110C"/>
    <w:rsid w:val="00151176"/>
    <w:rsid w:val="001513D0"/>
    <w:rsid w:val="0015166F"/>
    <w:rsid w:val="00152133"/>
    <w:rsid w:val="0015217E"/>
    <w:rsid w:val="00152EEC"/>
    <w:rsid w:val="00154168"/>
    <w:rsid w:val="00154247"/>
    <w:rsid w:val="00155A4D"/>
    <w:rsid w:val="00155B11"/>
    <w:rsid w:val="00155CDA"/>
    <w:rsid w:val="0015605C"/>
    <w:rsid w:val="00156817"/>
    <w:rsid w:val="001569CA"/>
    <w:rsid w:val="00157AAE"/>
    <w:rsid w:val="00157D33"/>
    <w:rsid w:val="00160B14"/>
    <w:rsid w:val="00160EA3"/>
    <w:rsid w:val="00160EF5"/>
    <w:rsid w:val="00160F01"/>
    <w:rsid w:val="001613A9"/>
    <w:rsid w:val="00161BB6"/>
    <w:rsid w:val="00162518"/>
    <w:rsid w:val="00162AE8"/>
    <w:rsid w:val="00163475"/>
    <w:rsid w:val="001637B2"/>
    <w:rsid w:val="00164F25"/>
    <w:rsid w:val="0016571D"/>
    <w:rsid w:val="00165C8F"/>
    <w:rsid w:val="00165EBC"/>
    <w:rsid w:val="001673A1"/>
    <w:rsid w:val="00167C03"/>
    <w:rsid w:val="00170122"/>
    <w:rsid w:val="00170595"/>
    <w:rsid w:val="001708B3"/>
    <w:rsid w:val="00170C94"/>
    <w:rsid w:val="00170FFB"/>
    <w:rsid w:val="0017261D"/>
    <w:rsid w:val="001727E8"/>
    <w:rsid w:val="0017339A"/>
    <w:rsid w:val="00173C4D"/>
    <w:rsid w:val="00173FF0"/>
    <w:rsid w:val="00174A49"/>
    <w:rsid w:val="00175388"/>
    <w:rsid w:val="0017594E"/>
    <w:rsid w:val="00175AEC"/>
    <w:rsid w:val="00175D03"/>
    <w:rsid w:val="001768BB"/>
    <w:rsid w:val="00177270"/>
    <w:rsid w:val="001772D6"/>
    <w:rsid w:val="0017758B"/>
    <w:rsid w:val="00177A86"/>
    <w:rsid w:val="00180A22"/>
    <w:rsid w:val="00180BDF"/>
    <w:rsid w:val="0018236A"/>
    <w:rsid w:val="00182B68"/>
    <w:rsid w:val="00182D8D"/>
    <w:rsid w:val="00185345"/>
    <w:rsid w:val="00186A5C"/>
    <w:rsid w:val="00190425"/>
    <w:rsid w:val="0019086B"/>
    <w:rsid w:val="00190DB4"/>
    <w:rsid w:val="00190E0B"/>
    <w:rsid w:val="00191B74"/>
    <w:rsid w:val="00192800"/>
    <w:rsid w:val="0019292C"/>
    <w:rsid w:val="00192994"/>
    <w:rsid w:val="00192A2A"/>
    <w:rsid w:val="00192A52"/>
    <w:rsid w:val="00192E59"/>
    <w:rsid w:val="00193162"/>
    <w:rsid w:val="0019334D"/>
    <w:rsid w:val="00194542"/>
    <w:rsid w:val="0019456F"/>
    <w:rsid w:val="00195301"/>
    <w:rsid w:val="0019586F"/>
    <w:rsid w:val="00195C73"/>
    <w:rsid w:val="00196146"/>
    <w:rsid w:val="00196641"/>
    <w:rsid w:val="00196BFD"/>
    <w:rsid w:val="00196EFA"/>
    <w:rsid w:val="001971FA"/>
    <w:rsid w:val="0019776D"/>
    <w:rsid w:val="001978FE"/>
    <w:rsid w:val="001A0EC9"/>
    <w:rsid w:val="001A1020"/>
    <w:rsid w:val="001A13F5"/>
    <w:rsid w:val="001A1E82"/>
    <w:rsid w:val="001A2404"/>
    <w:rsid w:val="001A27B4"/>
    <w:rsid w:val="001A2E89"/>
    <w:rsid w:val="001A3A81"/>
    <w:rsid w:val="001A40E8"/>
    <w:rsid w:val="001A474E"/>
    <w:rsid w:val="001A581F"/>
    <w:rsid w:val="001A5A6B"/>
    <w:rsid w:val="001A5C7C"/>
    <w:rsid w:val="001A70D0"/>
    <w:rsid w:val="001A7A8D"/>
    <w:rsid w:val="001A7D4C"/>
    <w:rsid w:val="001B00A0"/>
    <w:rsid w:val="001B037D"/>
    <w:rsid w:val="001B1005"/>
    <w:rsid w:val="001B100C"/>
    <w:rsid w:val="001B1E95"/>
    <w:rsid w:val="001B23ED"/>
    <w:rsid w:val="001B29E5"/>
    <w:rsid w:val="001B34DE"/>
    <w:rsid w:val="001B3D05"/>
    <w:rsid w:val="001B3F85"/>
    <w:rsid w:val="001B4300"/>
    <w:rsid w:val="001B5CAF"/>
    <w:rsid w:val="001B6A50"/>
    <w:rsid w:val="001B6CB5"/>
    <w:rsid w:val="001B72B1"/>
    <w:rsid w:val="001B79DA"/>
    <w:rsid w:val="001B7B94"/>
    <w:rsid w:val="001B7BF3"/>
    <w:rsid w:val="001C0654"/>
    <w:rsid w:val="001C07E3"/>
    <w:rsid w:val="001C07F5"/>
    <w:rsid w:val="001C0C38"/>
    <w:rsid w:val="001C0CCB"/>
    <w:rsid w:val="001C11DB"/>
    <w:rsid w:val="001C11E0"/>
    <w:rsid w:val="001C2DEB"/>
    <w:rsid w:val="001C3137"/>
    <w:rsid w:val="001C39A8"/>
    <w:rsid w:val="001C50D7"/>
    <w:rsid w:val="001C540A"/>
    <w:rsid w:val="001C5CA5"/>
    <w:rsid w:val="001C5F13"/>
    <w:rsid w:val="001C6336"/>
    <w:rsid w:val="001C6625"/>
    <w:rsid w:val="001C663B"/>
    <w:rsid w:val="001C68BC"/>
    <w:rsid w:val="001C6981"/>
    <w:rsid w:val="001C7906"/>
    <w:rsid w:val="001C7C06"/>
    <w:rsid w:val="001C7FF3"/>
    <w:rsid w:val="001D057D"/>
    <w:rsid w:val="001D1412"/>
    <w:rsid w:val="001D167F"/>
    <w:rsid w:val="001D1DB3"/>
    <w:rsid w:val="001D1FB2"/>
    <w:rsid w:val="001D318C"/>
    <w:rsid w:val="001D36DC"/>
    <w:rsid w:val="001D3EAE"/>
    <w:rsid w:val="001D4D59"/>
    <w:rsid w:val="001D713C"/>
    <w:rsid w:val="001D7219"/>
    <w:rsid w:val="001D7533"/>
    <w:rsid w:val="001E020A"/>
    <w:rsid w:val="001E1A45"/>
    <w:rsid w:val="001E2039"/>
    <w:rsid w:val="001E2156"/>
    <w:rsid w:val="001E231E"/>
    <w:rsid w:val="001E248E"/>
    <w:rsid w:val="001E2852"/>
    <w:rsid w:val="001E2D97"/>
    <w:rsid w:val="001E30E8"/>
    <w:rsid w:val="001E4092"/>
    <w:rsid w:val="001E42DD"/>
    <w:rsid w:val="001E4957"/>
    <w:rsid w:val="001E4C59"/>
    <w:rsid w:val="001E50BD"/>
    <w:rsid w:val="001E531C"/>
    <w:rsid w:val="001E5A5E"/>
    <w:rsid w:val="001E610C"/>
    <w:rsid w:val="001E63F7"/>
    <w:rsid w:val="001E766D"/>
    <w:rsid w:val="001E7DF5"/>
    <w:rsid w:val="001F02CF"/>
    <w:rsid w:val="001F0CAD"/>
    <w:rsid w:val="001F12E8"/>
    <w:rsid w:val="001F1F61"/>
    <w:rsid w:val="001F2368"/>
    <w:rsid w:val="001F243A"/>
    <w:rsid w:val="001F2764"/>
    <w:rsid w:val="001F29C1"/>
    <w:rsid w:val="001F2E26"/>
    <w:rsid w:val="001F31E8"/>
    <w:rsid w:val="001F3681"/>
    <w:rsid w:val="001F4221"/>
    <w:rsid w:val="001F4481"/>
    <w:rsid w:val="001F44C4"/>
    <w:rsid w:val="001F64EA"/>
    <w:rsid w:val="0020034E"/>
    <w:rsid w:val="00200786"/>
    <w:rsid w:val="00201C06"/>
    <w:rsid w:val="002023FD"/>
    <w:rsid w:val="00203AE9"/>
    <w:rsid w:val="00203F2B"/>
    <w:rsid w:val="00206320"/>
    <w:rsid w:val="00206BE0"/>
    <w:rsid w:val="00206DED"/>
    <w:rsid w:val="00206E62"/>
    <w:rsid w:val="00207117"/>
    <w:rsid w:val="00207873"/>
    <w:rsid w:val="00207F56"/>
    <w:rsid w:val="002101A4"/>
    <w:rsid w:val="002109F9"/>
    <w:rsid w:val="00210D12"/>
    <w:rsid w:val="00210D25"/>
    <w:rsid w:val="00210E0B"/>
    <w:rsid w:val="0021148D"/>
    <w:rsid w:val="00211C9A"/>
    <w:rsid w:val="00212A80"/>
    <w:rsid w:val="002137D2"/>
    <w:rsid w:val="00214187"/>
    <w:rsid w:val="00214440"/>
    <w:rsid w:val="00214D4B"/>
    <w:rsid w:val="002150C2"/>
    <w:rsid w:val="00215132"/>
    <w:rsid w:val="002154A2"/>
    <w:rsid w:val="002156C8"/>
    <w:rsid w:val="00215794"/>
    <w:rsid w:val="00215A92"/>
    <w:rsid w:val="002167C8"/>
    <w:rsid w:val="00217101"/>
    <w:rsid w:val="0021741E"/>
    <w:rsid w:val="0021758C"/>
    <w:rsid w:val="002202C8"/>
    <w:rsid w:val="0022035C"/>
    <w:rsid w:val="00221A8F"/>
    <w:rsid w:val="00221BE2"/>
    <w:rsid w:val="00221D5A"/>
    <w:rsid w:val="00222015"/>
    <w:rsid w:val="0022203D"/>
    <w:rsid w:val="002223BD"/>
    <w:rsid w:val="002233CE"/>
    <w:rsid w:val="00223793"/>
    <w:rsid w:val="00223822"/>
    <w:rsid w:val="00224068"/>
    <w:rsid w:val="0022431B"/>
    <w:rsid w:val="0022462B"/>
    <w:rsid w:val="002249EC"/>
    <w:rsid w:val="0022526C"/>
    <w:rsid w:val="00225284"/>
    <w:rsid w:val="002254A0"/>
    <w:rsid w:val="002256CA"/>
    <w:rsid w:val="00225816"/>
    <w:rsid w:val="002268D7"/>
    <w:rsid w:val="00226E43"/>
    <w:rsid w:val="00226F75"/>
    <w:rsid w:val="00227327"/>
    <w:rsid w:val="002274F9"/>
    <w:rsid w:val="002309CD"/>
    <w:rsid w:val="00231440"/>
    <w:rsid w:val="00231728"/>
    <w:rsid w:val="00231C04"/>
    <w:rsid w:val="00232086"/>
    <w:rsid w:val="00232B56"/>
    <w:rsid w:val="00232D33"/>
    <w:rsid w:val="00233018"/>
    <w:rsid w:val="002339BE"/>
    <w:rsid w:val="00233C88"/>
    <w:rsid w:val="00233F66"/>
    <w:rsid w:val="00234730"/>
    <w:rsid w:val="00234ACB"/>
    <w:rsid w:val="00236FB2"/>
    <w:rsid w:val="0023799F"/>
    <w:rsid w:val="002407B3"/>
    <w:rsid w:val="002409D8"/>
    <w:rsid w:val="00241535"/>
    <w:rsid w:val="002418DA"/>
    <w:rsid w:val="00241BAC"/>
    <w:rsid w:val="002421F2"/>
    <w:rsid w:val="00242433"/>
    <w:rsid w:val="00242A35"/>
    <w:rsid w:val="00245BF0"/>
    <w:rsid w:val="00246295"/>
    <w:rsid w:val="0024666C"/>
    <w:rsid w:val="002472C5"/>
    <w:rsid w:val="00247786"/>
    <w:rsid w:val="00250323"/>
    <w:rsid w:val="00250562"/>
    <w:rsid w:val="00251361"/>
    <w:rsid w:val="0025177C"/>
    <w:rsid w:val="002519DA"/>
    <w:rsid w:val="00251DDE"/>
    <w:rsid w:val="00251F75"/>
    <w:rsid w:val="00252CBB"/>
    <w:rsid w:val="00252D52"/>
    <w:rsid w:val="00253499"/>
    <w:rsid w:val="00253AA1"/>
    <w:rsid w:val="002544F2"/>
    <w:rsid w:val="002546F9"/>
    <w:rsid w:val="00254997"/>
    <w:rsid w:val="00254D1B"/>
    <w:rsid w:val="00254F0E"/>
    <w:rsid w:val="00255D86"/>
    <w:rsid w:val="00255EA9"/>
    <w:rsid w:val="00256081"/>
    <w:rsid w:val="00257419"/>
    <w:rsid w:val="0025774D"/>
    <w:rsid w:val="002579B2"/>
    <w:rsid w:val="00260CC9"/>
    <w:rsid w:val="0026171C"/>
    <w:rsid w:val="00262624"/>
    <w:rsid w:val="00262E38"/>
    <w:rsid w:val="0026343D"/>
    <w:rsid w:val="00263A58"/>
    <w:rsid w:val="00263B87"/>
    <w:rsid w:val="00264277"/>
    <w:rsid w:val="0026480C"/>
    <w:rsid w:val="002651E9"/>
    <w:rsid w:val="002654CC"/>
    <w:rsid w:val="00265A5E"/>
    <w:rsid w:val="00266647"/>
    <w:rsid w:val="00266C4D"/>
    <w:rsid w:val="00267364"/>
    <w:rsid w:val="0026739B"/>
    <w:rsid w:val="0027013B"/>
    <w:rsid w:val="00270775"/>
    <w:rsid w:val="002710D6"/>
    <w:rsid w:val="00271564"/>
    <w:rsid w:val="00271581"/>
    <w:rsid w:val="00271687"/>
    <w:rsid w:val="002717CA"/>
    <w:rsid w:val="00272256"/>
    <w:rsid w:val="002727CE"/>
    <w:rsid w:val="002731AC"/>
    <w:rsid w:val="00273A31"/>
    <w:rsid w:val="00273C8B"/>
    <w:rsid w:val="00273F93"/>
    <w:rsid w:val="00274483"/>
    <w:rsid w:val="00274694"/>
    <w:rsid w:val="00274A4C"/>
    <w:rsid w:val="00274DF1"/>
    <w:rsid w:val="00274EFE"/>
    <w:rsid w:val="00274FEA"/>
    <w:rsid w:val="00275B16"/>
    <w:rsid w:val="00276C73"/>
    <w:rsid w:val="00276E3E"/>
    <w:rsid w:val="00277240"/>
    <w:rsid w:val="00277610"/>
    <w:rsid w:val="00277A23"/>
    <w:rsid w:val="002803B6"/>
    <w:rsid w:val="00280D94"/>
    <w:rsid w:val="00280E4B"/>
    <w:rsid w:val="0028191E"/>
    <w:rsid w:val="002820B8"/>
    <w:rsid w:val="002828DC"/>
    <w:rsid w:val="00282CEB"/>
    <w:rsid w:val="00282ED8"/>
    <w:rsid w:val="002833F7"/>
    <w:rsid w:val="00283599"/>
    <w:rsid w:val="00283B79"/>
    <w:rsid w:val="00283CDA"/>
    <w:rsid w:val="00283DC1"/>
    <w:rsid w:val="0028430B"/>
    <w:rsid w:val="00284508"/>
    <w:rsid w:val="00284A82"/>
    <w:rsid w:val="00284CB9"/>
    <w:rsid w:val="002852DB"/>
    <w:rsid w:val="00285F27"/>
    <w:rsid w:val="00286285"/>
    <w:rsid w:val="002872DD"/>
    <w:rsid w:val="00287576"/>
    <w:rsid w:val="00287989"/>
    <w:rsid w:val="00287FBB"/>
    <w:rsid w:val="0029026E"/>
    <w:rsid w:val="002903F7"/>
    <w:rsid w:val="00290416"/>
    <w:rsid w:val="00290FEE"/>
    <w:rsid w:val="00291CAB"/>
    <w:rsid w:val="00292FA9"/>
    <w:rsid w:val="0029371B"/>
    <w:rsid w:val="002938E4"/>
    <w:rsid w:val="00293EB0"/>
    <w:rsid w:val="00295D01"/>
    <w:rsid w:val="00295EEC"/>
    <w:rsid w:val="00296418"/>
    <w:rsid w:val="00297170"/>
    <w:rsid w:val="00297F2C"/>
    <w:rsid w:val="002A04B4"/>
    <w:rsid w:val="002A196E"/>
    <w:rsid w:val="002A1D5B"/>
    <w:rsid w:val="002A1EF0"/>
    <w:rsid w:val="002A26D6"/>
    <w:rsid w:val="002A30C7"/>
    <w:rsid w:val="002A3B14"/>
    <w:rsid w:val="002A4657"/>
    <w:rsid w:val="002A47DB"/>
    <w:rsid w:val="002A503C"/>
    <w:rsid w:val="002A5714"/>
    <w:rsid w:val="002A5A18"/>
    <w:rsid w:val="002A5D8F"/>
    <w:rsid w:val="002A6338"/>
    <w:rsid w:val="002A6504"/>
    <w:rsid w:val="002A658F"/>
    <w:rsid w:val="002A6647"/>
    <w:rsid w:val="002A6DED"/>
    <w:rsid w:val="002A6F4D"/>
    <w:rsid w:val="002A7448"/>
    <w:rsid w:val="002A7AA4"/>
    <w:rsid w:val="002B0C4A"/>
    <w:rsid w:val="002B0F78"/>
    <w:rsid w:val="002B15B7"/>
    <w:rsid w:val="002B17B1"/>
    <w:rsid w:val="002B18F9"/>
    <w:rsid w:val="002B2735"/>
    <w:rsid w:val="002B35F9"/>
    <w:rsid w:val="002B3E6E"/>
    <w:rsid w:val="002B437A"/>
    <w:rsid w:val="002B4524"/>
    <w:rsid w:val="002B4A24"/>
    <w:rsid w:val="002B6627"/>
    <w:rsid w:val="002B7A11"/>
    <w:rsid w:val="002C0287"/>
    <w:rsid w:val="002C11FB"/>
    <w:rsid w:val="002C13B6"/>
    <w:rsid w:val="002C166F"/>
    <w:rsid w:val="002C19C2"/>
    <w:rsid w:val="002C2174"/>
    <w:rsid w:val="002C21B7"/>
    <w:rsid w:val="002C2334"/>
    <w:rsid w:val="002C248E"/>
    <w:rsid w:val="002C3114"/>
    <w:rsid w:val="002C3AAC"/>
    <w:rsid w:val="002C4742"/>
    <w:rsid w:val="002C4B7C"/>
    <w:rsid w:val="002C50B1"/>
    <w:rsid w:val="002C54A6"/>
    <w:rsid w:val="002C7F75"/>
    <w:rsid w:val="002D0049"/>
    <w:rsid w:val="002D02C8"/>
    <w:rsid w:val="002D19CD"/>
    <w:rsid w:val="002D1DA9"/>
    <w:rsid w:val="002D2AEE"/>
    <w:rsid w:val="002D2CC9"/>
    <w:rsid w:val="002D3038"/>
    <w:rsid w:val="002D39E4"/>
    <w:rsid w:val="002D498E"/>
    <w:rsid w:val="002D688F"/>
    <w:rsid w:val="002D6E51"/>
    <w:rsid w:val="002D6F9C"/>
    <w:rsid w:val="002D7407"/>
    <w:rsid w:val="002D7A87"/>
    <w:rsid w:val="002D7EAC"/>
    <w:rsid w:val="002D7F1E"/>
    <w:rsid w:val="002E00BA"/>
    <w:rsid w:val="002E0694"/>
    <w:rsid w:val="002E07E9"/>
    <w:rsid w:val="002E081E"/>
    <w:rsid w:val="002E0C1E"/>
    <w:rsid w:val="002E11E5"/>
    <w:rsid w:val="002E1B27"/>
    <w:rsid w:val="002E2420"/>
    <w:rsid w:val="002E25EF"/>
    <w:rsid w:val="002E3B33"/>
    <w:rsid w:val="002E3BB0"/>
    <w:rsid w:val="002E3D75"/>
    <w:rsid w:val="002E4DA6"/>
    <w:rsid w:val="002E4E18"/>
    <w:rsid w:val="002E5478"/>
    <w:rsid w:val="002E56E1"/>
    <w:rsid w:val="002E604A"/>
    <w:rsid w:val="002E63E5"/>
    <w:rsid w:val="002E6619"/>
    <w:rsid w:val="002E73DE"/>
    <w:rsid w:val="002E7A4B"/>
    <w:rsid w:val="002E7A7B"/>
    <w:rsid w:val="002E7AB1"/>
    <w:rsid w:val="002E7DC9"/>
    <w:rsid w:val="002E7EA9"/>
    <w:rsid w:val="002F0071"/>
    <w:rsid w:val="002F01D6"/>
    <w:rsid w:val="002F06CC"/>
    <w:rsid w:val="002F208C"/>
    <w:rsid w:val="002F249A"/>
    <w:rsid w:val="002F2CA1"/>
    <w:rsid w:val="002F33FF"/>
    <w:rsid w:val="002F3DA4"/>
    <w:rsid w:val="002F436F"/>
    <w:rsid w:val="002F4B4B"/>
    <w:rsid w:val="002F51CD"/>
    <w:rsid w:val="002F5550"/>
    <w:rsid w:val="002F58F0"/>
    <w:rsid w:val="002F5B07"/>
    <w:rsid w:val="002F5E1D"/>
    <w:rsid w:val="002F5E9D"/>
    <w:rsid w:val="002F6327"/>
    <w:rsid w:val="002F6563"/>
    <w:rsid w:val="002F6753"/>
    <w:rsid w:val="002F6F84"/>
    <w:rsid w:val="002F7A19"/>
    <w:rsid w:val="0030005D"/>
    <w:rsid w:val="0030050B"/>
    <w:rsid w:val="00301C5C"/>
    <w:rsid w:val="00302135"/>
    <w:rsid w:val="00302783"/>
    <w:rsid w:val="003036A2"/>
    <w:rsid w:val="00304F4B"/>
    <w:rsid w:val="003053C7"/>
    <w:rsid w:val="003054CC"/>
    <w:rsid w:val="003059EB"/>
    <w:rsid w:val="00306473"/>
    <w:rsid w:val="00306A4B"/>
    <w:rsid w:val="00307B3C"/>
    <w:rsid w:val="00307DE6"/>
    <w:rsid w:val="00310226"/>
    <w:rsid w:val="00310421"/>
    <w:rsid w:val="00310A17"/>
    <w:rsid w:val="00310A8E"/>
    <w:rsid w:val="00310E60"/>
    <w:rsid w:val="003119DC"/>
    <w:rsid w:val="00312A0C"/>
    <w:rsid w:val="00312B0B"/>
    <w:rsid w:val="003138E5"/>
    <w:rsid w:val="003139EB"/>
    <w:rsid w:val="00313B66"/>
    <w:rsid w:val="00313CAE"/>
    <w:rsid w:val="00313E2D"/>
    <w:rsid w:val="00313EC0"/>
    <w:rsid w:val="003153E8"/>
    <w:rsid w:val="00315769"/>
    <w:rsid w:val="003159DD"/>
    <w:rsid w:val="00315B8B"/>
    <w:rsid w:val="0031605A"/>
    <w:rsid w:val="00317815"/>
    <w:rsid w:val="0031794E"/>
    <w:rsid w:val="003179C4"/>
    <w:rsid w:val="00317CAC"/>
    <w:rsid w:val="00317D9E"/>
    <w:rsid w:val="00317EDF"/>
    <w:rsid w:val="00320351"/>
    <w:rsid w:val="00320CF9"/>
    <w:rsid w:val="00321698"/>
    <w:rsid w:val="00322BA1"/>
    <w:rsid w:val="00323D9F"/>
    <w:rsid w:val="00324DE7"/>
    <w:rsid w:val="00325E24"/>
    <w:rsid w:val="00326042"/>
    <w:rsid w:val="003263B2"/>
    <w:rsid w:val="003267EA"/>
    <w:rsid w:val="00327390"/>
    <w:rsid w:val="00327969"/>
    <w:rsid w:val="0032796C"/>
    <w:rsid w:val="00327B9F"/>
    <w:rsid w:val="00330190"/>
    <w:rsid w:val="00330A13"/>
    <w:rsid w:val="00330EB5"/>
    <w:rsid w:val="00331731"/>
    <w:rsid w:val="00332695"/>
    <w:rsid w:val="003337DE"/>
    <w:rsid w:val="00333879"/>
    <w:rsid w:val="003338BE"/>
    <w:rsid w:val="00333BFA"/>
    <w:rsid w:val="00333EED"/>
    <w:rsid w:val="00334A34"/>
    <w:rsid w:val="0033537D"/>
    <w:rsid w:val="003353B1"/>
    <w:rsid w:val="0033551F"/>
    <w:rsid w:val="003364DB"/>
    <w:rsid w:val="00337016"/>
    <w:rsid w:val="00337D4B"/>
    <w:rsid w:val="00340806"/>
    <w:rsid w:val="003413BF"/>
    <w:rsid w:val="00341FFE"/>
    <w:rsid w:val="003425BE"/>
    <w:rsid w:val="003429C3"/>
    <w:rsid w:val="00343E4D"/>
    <w:rsid w:val="003450A8"/>
    <w:rsid w:val="003451F5"/>
    <w:rsid w:val="00345318"/>
    <w:rsid w:val="003453D0"/>
    <w:rsid w:val="00345418"/>
    <w:rsid w:val="00345DDA"/>
    <w:rsid w:val="003461B2"/>
    <w:rsid w:val="00346315"/>
    <w:rsid w:val="003464E9"/>
    <w:rsid w:val="00346C56"/>
    <w:rsid w:val="00346D21"/>
    <w:rsid w:val="00347229"/>
    <w:rsid w:val="00350361"/>
    <w:rsid w:val="00350C0F"/>
    <w:rsid w:val="00350E81"/>
    <w:rsid w:val="00352561"/>
    <w:rsid w:val="003536C8"/>
    <w:rsid w:val="00353BB0"/>
    <w:rsid w:val="00354538"/>
    <w:rsid w:val="0035559C"/>
    <w:rsid w:val="00355B43"/>
    <w:rsid w:val="00356364"/>
    <w:rsid w:val="00357251"/>
    <w:rsid w:val="003572B6"/>
    <w:rsid w:val="003579A8"/>
    <w:rsid w:val="00357F24"/>
    <w:rsid w:val="00361057"/>
    <w:rsid w:val="0036106E"/>
    <w:rsid w:val="0036152B"/>
    <w:rsid w:val="00361EE2"/>
    <w:rsid w:val="00361FF6"/>
    <w:rsid w:val="00362001"/>
    <w:rsid w:val="0036306D"/>
    <w:rsid w:val="0036319D"/>
    <w:rsid w:val="003633FB"/>
    <w:rsid w:val="00363871"/>
    <w:rsid w:val="00364D59"/>
    <w:rsid w:val="00365024"/>
    <w:rsid w:val="00366334"/>
    <w:rsid w:val="00366342"/>
    <w:rsid w:val="00366AB7"/>
    <w:rsid w:val="00366F12"/>
    <w:rsid w:val="003700C5"/>
    <w:rsid w:val="003709FF"/>
    <w:rsid w:val="00370A83"/>
    <w:rsid w:val="00370E23"/>
    <w:rsid w:val="00372543"/>
    <w:rsid w:val="00373AF5"/>
    <w:rsid w:val="00373AF8"/>
    <w:rsid w:val="003740AA"/>
    <w:rsid w:val="003751B7"/>
    <w:rsid w:val="00375AC7"/>
    <w:rsid w:val="00376924"/>
    <w:rsid w:val="00377991"/>
    <w:rsid w:val="00377E9F"/>
    <w:rsid w:val="0038145B"/>
    <w:rsid w:val="00381B1E"/>
    <w:rsid w:val="00381E97"/>
    <w:rsid w:val="00381FCD"/>
    <w:rsid w:val="0038260F"/>
    <w:rsid w:val="00383ADF"/>
    <w:rsid w:val="00383DDB"/>
    <w:rsid w:val="0038407D"/>
    <w:rsid w:val="00384A49"/>
    <w:rsid w:val="0038558B"/>
    <w:rsid w:val="00385774"/>
    <w:rsid w:val="00385DAA"/>
    <w:rsid w:val="003864C0"/>
    <w:rsid w:val="00386582"/>
    <w:rsid w:val="003866A8"/>
    <w:rsid w:val="00386A13"/>
    <w:rsid w:val="00386AB9"/>
    <w:rsid w:val="00387651"/>
    <w:rsid w:val="00387912"/>
    <w:rsid w:val="00387974"/>
    <w:rsid w:val="003879CB"/>
    <w:rsid w:val="00387C6D"/>
    <w:rsid w:val="00387FCB"/>
    <w:rsid w:val="00390015"/>
    <w:rsid w:val="00390A8B"/>
    <w:rsid w:val="00390E10"/>
    <w:rsid w:val="00391BEB"/>
    <w:rsid w:val="003920DA"/>
    <w:rsid w:val="00392423"/>
    <w:rsid w:val="0039270B"/>
    <w:rsid w:val="00393682"/>
    <w:rsid w:val="00394765"/>
    <w:rsid w:val="0039478A"/>
    <w:rsid w:val="003947D6"/>
    <w:rsid w:val="003958A3"/>
    <w:rsid w:val="00395BD6"/>
    <w:rsid w:val="00395EF5"/>
    <w:rsid w:val="003963CC"/>
    <w:rsid w:val="00396B19"/>
    <w:rsid w:val="0039721D"/>
    <w:rsid w:val="0039729E"/>
    <w:rsid w:val="003976A7"/>
    <w:rsid w:val="003A1117"/>
    <w:rsid w:val="003A1345"/>
    <w:rsid w:val="003A1919"/>
    <w:rsid w:val="003A1AA4"/>
    <w:rsid w:val="003A2469"/>
    <w:rsid w:val="003A24E6"/>
    <w:rsid w:val="003A25ED"/>
    <w:rsid w:val="003A2FF2"/>
    <w:rsid w:val="003A3052"/>
    <w:rsid w:val="003A3556"/>
    <w:rsid w:val="003A36CD"/>
    <w:rsid w:val="003A3919"/>
    <w:rsid w:val="003A3A00"/>
    <w:rsid w:val="003A3BE0"/>
    <w:rsid w:val="003A401F"/>
    <w:rsid w:val="003A418C"/>
    <w:rsid w:val="003A46C1"/>
    <w:rsid w:val="003A476E"/>
    <w:rsid w:val="003A4AF4"/>
    <w:rsid w:val="003A4F99"/>
    <w:rsid w:val="003A575D"/>
    <w:rsid w:val="003A5B42"/>
    <w:rsid w:val="003A5E05"/>
    <w:rsid w:val="003A628C"/>
    <w:rsid w:val="003A647C"/>
    <w:rsid w:val="003A675E"/>
    <w:rsid w:val="003A6882"/>
    <w:rsid w:val="003A710E"/>
    <w:rsid w:val="003A7160"/>
    <w:rsid w:val="003B065D"/>
    <w:rsid w:val="003B1238"/>
    <w:rsid w:val="003B2711"/>
    <w:rsid w:val="003B28D9"/>
    <w:rsid w:val="003B3014"/>
    <w:rsid w:val="003B4380"/>
    <w:rsid w:val="003B5622"/>
    <w:rsid w:val="003B58A6"/>
    <w:rsid w:val="003B5C98"/>
    <w:rsid w:val="003B6F44"/>
    <w:rsid w:val="003B7114"/>
    <w:rsid w:val="003C0C21"/>
    <w:rsid w:val="003C115C"/>
    <w:rsid w:val="003C14A3"/>
    <w:rsid w:val="003C255E"/>
    <w:rsid w:val="003C27E2"/>
    <w:rsid w:val="003C2BB2"/>
    <w:rsid w:val="003C40B6"/>
    <w:rsid w:val="003C48D4"/>
    <w:rsid w:val="003C4968"/>
    <w:rsid w:val="003C5B13"/>
    <w:rsid w:val="003C5DB6"/>
    <w:rsid w:val="003C5FCA"/>
    <w:rsid w:val="003C770B"/>
    <w:rsid w:val="003C7844"/>
    <w:rsid w:val="003D018C"/>
    <w:rsid w:val="003D0213"/>
    <w:rsid w:val="003D0328"/>
    <w:rsid w:val="003D0466"/>
    <w:rsid w:val="003D0B5F"/>
    <w:rsid w:val="003D1169"/>
    <w:rsid w:val="003D11BE"/>
    <w:rsid w:val="003D1320"/>
    <w:rsid w:val="003D1522"/>
    <w:rsid w:val="003D1D06"/>
    <w:rsid w:val="003D1DA6"/>
    <w:rsid w:val="003D251B"/>
    <w:rsid w:val="003D26A3"/>
    <w:rsid w:val="003D2BC0"/>
    <w:rsid w:val="003D3AAF"/>
    <w:rsid w:val="003D4EB4"/>
    <w:rsid w:val="003D62C9"/>
    <w:rsid w:val="003D641F"/>
    <w:rsid w:val="003D6565"/>
    <w:rsid w:val="003D6F90"/>
    <w:rsid w:val="003D737E"/>
    <w:rsid w:val="003D74F2"/>
    <w:rsid w:val="003D778D"/>
    <w:rsid w:val="003D7E28"/>
    <w:rsid w:val="003D7E9D"/>
    <w:rsid w:val="003E0030"/>
    <w:rsid w:val="003E064E"/>
    <w:rsid w:val="003E1082"/>
    <w:rsid w:val="003E1769"/>
    <w:rsid w:val="003E1A05"/>
    <w:rsid w:val="003E27E2"/>
    <w:rsid w:val="003E2975"/>
    <w:rsid w:val="003E2ED6"/>
    <w:rsid w:val="003E32AA"/>
    <w:rsid w:val="003E3972"/>
    <w:rsid w:val="003E4849"/>
    <w:rsid w:val="003E4F35"/>
    <w:rsid w:val="003E52D5"/>
    <w:rsid w:val="003E5416"/>
    <w:rsid w:val="003E5E68"/>
    <w:rsid w:val="003E62A0"/>
    <w:rsid w:val="003E69EA"/>
    <w:rsid w:val="003E6B26"/>
    <w:rsid w:val="003E6BC7"/>
    <w:rsid w:val="003E71F0"/>
    <w:rsid w:val="003E7358"/>
    <w:rsid w:val="003E79D4"/>
    <w:rsid w:val="003F061A"/>
    <w:rsid w:val="003F097A"/>
    <w:rsid w:val="003F1806"/>
    <w:rsid w:val="003F1EBA"/>
    <w:rsid w:val="003F1FBD"/>
    <w:rsid w:val="003F211E"/>
    <w:rsid w:val="003F2638"/>
    <w:rsid w:val="003F2818"/>
    <w:rsid w:val="003F2B5E"/>
    <w:rsid w:val="003F325B"/>
    <w:rsid w:val="003F33AD"/>
    <w:rsid w:val="003F3693"/>
    <w:rsid w:val="003F5D08"/>
    <w:rsid w:val="003F5D80"/>
    <w:rsid w:val="003F6EAD"/>
    <w:rsid w:val="003F77FE"/>
    <w:rsid w:val="004002D2"/>
    <w:rsid w:val="0040108B"/>
    <w:rsid w:val="00401C9F"/>
    <w:rsid w:val="00402285"/>
    <w:rsid w:val="00402335"/>
    <w:rsid w:val="00402F12"/>
    <w:rsid w:val="0040313B"/>
    <w:rsid w:val="00403CE8"/>
    <w:rsid w:val="00404209"/>
    <w:rsid w:val="00404D05"/>
    <w:rsid w:val="0040546B"/>
    <w:rsid w:val="004054CA"/>
    <w:rsid w:val="00405F9D"/>
    <w:rsid w:val="004070AA"/>
    <w:rsid w:val="00407182"/>
    <w:rsid w:val="00410CB7"/>
    <w:rsid w:val="00411649"/>
    <w:rsid w:val="00411AC8"/>
    <w:rsid w:val="00411FA7"/>
    <w:rsid w:val="00411FD9"/>
    <w:rsid w:val="00412553"/>
    <w:rsid w:val="00412E7A"/>
    <w:rsid w:val="0041323D"/>
    <w:rsid w:val="004134DD"/>
    <w:rsid w:val="00413587"/>
    <w:rsid w:val="004135B6"/>
    <w:rsid w:val="004136B6"/>
    <w:rsid w:val="00413996"/>
    <w:rsid w:val="00413B6E"/>
    <w:rsid w:val="00413F5D"/>
    <w:rsid w:val="0041400A"/>
    <w:rsid w:val="004140DE"/>
    <w:rsid w:val="0041517D"/>
    <w:rsid w:val="00415853"/>
    <w:rsid w:val="00415B20"/>
    <w:rsid w:val="00415BC9"/>
    <w:rsid w:val="00416DF7"/>
    <w:rsid w:val="00417205"/>
    <w:rsid w:val="0041737A"/>
    <w:rsid w:val="00417CEE"/>
    <w:rsid w:val="00420CC0"/>
    <w:rsid w:val="00423455"/>
    <w:rsid w:val="004242CB"/>
    <w:rsid w:val="00424719"/>
    <w:rsid w:val="00424A4B"/>
    <w:rsid w:val="004253B2"/>
    <w:rsid w:val="00425B20"/>
    <w:rsid w:val="00425BC3"/>
    <w:rsid w:val="0042628F"/>
    <w:rsid w:val="00426947"/>
    <w:rsid w:val="00426E82"/>
    <w:rsid w:val="00426E97"/>
    <w:rsid w:val="0042727F"/>
    <w:rsid w:val="00427405"/>
    <w:rsid w:val="00427A2E"/>
    <w:rsid w:val="00430A4E"/>
    <w:rsid w:val="00430FF1"/>
    <w:rsid w:val="00431610"/>
    <w:rsid w:val="0043260A"/>
    <w:rsid w:val="004327AD"/>
    <w:rsid w:val="00432B1B"/>
    <w:rsid w:val="00433D7C"/>
    <w:rsid w:val="00434462"/>
    <w:rsid w:val="00434F7D"/>
    <w:rsid w:val="00434FBB"/>
    <w:rsid w:val="00435352"/>
    <w:rsid w:val="00435EDE"/>
    <w:rsid w:val="004362E3"/>
    <w:rsid w:val="00436469"/>
    <w:rsid w:val="00436F3A"/>
    <w:rsid w:val="004372D7"/>
    <w:rsid w:val="0043773B"/>
    <w:rsid w:val="00437DB9"/>
    <w:rsid w:val="00440643"/>
    <w:rsid w:val="00440CFE"/>
    <w:rsid w:val="00441D99"/>
    <w:rsid w:val="0044358F"/>
    <w:rsid w:val="004436BC"/>
    <w:rsid w:val="00443CD0"/>
    <w:rsid w:val="00444967"/>
    <w:rsid w:val="00444D4A"/>
    <w:rsid w:val="00445192"/>
    <w:rsid w:val="004459B1"/>
    <w:rsid w:val="0044668C"/>
    <w:rsid w:val="00446B37"/>
    <w:rsid w:val="00446BDA"/>
    <w:rsid w:val="00446EBB"/>
    <w:rsid w:val="00447F23"/>
    <w:rsid w:val="0045035F"/>
    <w:rsid w:val="00450B7D"/>
    <w:rsid w:val="00450C41"/>
    <w:rsid w:val="00452AF1"/>
    <w:rsid w:val="004536C0"/>
    <w:rsid w:val="00453A5F"/>
    <w:rsid w:val="00453E8D"/>
    <w:rsid w:val="00453FD5"/>
    <w:rsid w:val="00454653"/>
    <w:rsid w:val="00454DBB"/>
    <w:rsid w:val="00454F87"/>
    <w:rsid w:val="00455807"/>
    <w:rsid w:val="0045593E"/>
    <w:rsid w:val="004560F0"/>
    <w:rsid w:val="00456271"/>
    <w:rsid w:val="00456BA6"/>
    <w:rsid w:val="00457358"/>
    <w:rsid w:val="00457440"/>
    <w:rsid w:val="00460C2B"/>
    <w:rsid w:val="00461069"/>
    <w:rsid w:val="0046191F"/>
    <w:rsid w:val="00461A75"/>
    <w:rsid w:val="0046209B"/>
    <w:rsid w:val="00462182"/>
    <w:rsid w:val="004624D1"/>
    <w:rsid w:val="00462E1F"/>
    <w:rsid w:val="00463205"/>
    <w:rsid w:val="00463CBE"/>
    <w:rsid w:val="00463ED6"/>
    <w:rsid w:val="0046484E"/>
    <w:rsid w:val="00464E2C"/>
    <w:rsid w:val="004650A5"/>
    <w:rsid w:val="004652D9"/>
    <w:rsid w:val="004656EF"/>
    <w:rsid w:val="00465A6A"/>
    <w:rsid w:val="004662BA"/>
    <w:rsid w:val="00466556"/>
    <w:rsid w:val="004666B7"/>
    <w:rsid w:val="00466B27"/>
    <w:rsid w:val="00466D42"/>
    <w:rsid w:val="00467438"/>
    <w:rsid w:val="004677AA"/>
    <w:rsid w:val="00470976"/>
    <w:rsid w:val="004712A8"/>
    <w:rsid w:val="004715FC"/>
    <w:rsid w:val="00471957"/>
    <w:rsid w:val="00471DED"/>
    <w:rsid w:val="004720EA"/>
    <w:rsid w:val="0047221E"/>
    <w:rsid w:val="00472862"/>
    <w:rsid w:val="004739DA"/>
    <w:rsid w:val="00474060"/>
    <w:rsid w:val="00474145"/>
    <w:rsid w:val="004744EF"/>
    <w:rsid w:val="00474C3A"/>
    <w:rsid w:val="00474D95"/>
    <w:rsid w:val="00474DD6"/>
    <w:rsid w:val="00475B2F"/>
    <w:rsid w:val="00475BB5"/>
    <w:rsid w:val="00475BCD"/>
    <w:rsid w:val="00475EB7"/>
    <w:rsid w:val="0047637D"/>
    <w:rsid w:val="004766E5"/>
    <w:rsid w:val="004767C2"/>
    <w:rsid w:val="0048000C"/>
    <w:rsid w:val="00480327"/>
    <w:rsid w:val="00480ABC"/>
    <w:rsid w:val="004811F6"/>
    <w:rsid w:val="00481377"/>
    <w:rsid w:val="00481D86"/>
    <w:rsid w:val="004822CA"/>
    <w:rsid w:val="00482613"/>
    <w:rsid w:val="004826CF"/>
    <w:rsid w:val="0048380B"/>
    <w:rsid w:val="00483F64"/>
    <w:rsid w:val="00484198"/>
    <w:rsid w:val="004849F7"/>
    <w:rsid w:val="00484C09"/>
    <w:rsid w:val="00484EB5"/>
    <w:rsid w:val="0048599E"/>
    <w:rsid w:val="004863FC"/>
    <w:rsid w:val="00486B46"/>
    <w:rsid w:val="00487303"/>
    <w:rsid w:val="0048768F"/>
    <w:rsid w:val="00487B5A"/>
    <w:rsid w:val="00487D3D"/>
    <w:rsid w:val="00490A67"/>
    <w:rsid w:val="00490D37"/>
    <w:rsid w:val="00491B05"/>
    <w:rsid w:val="00491B9A"/>
    <w:rsid w:val="00491D68"/>
    <w:rsid w:val="00492161"/>
    <w:rsid w:val="004922DE"/>
    <w:rsid w:val="00492547"/>
    <w:rsid w:val="00493056"/>
    <w:rsid w:val="0049386A"/>
    <w:rsid w:val="00493985"/>
    <w:rsid w:val="00493B3B"/>
    <w:rsid w:val="0049440F"/>
    <w:rsid w:val="0049453E"/>
    <w:rsid w:val="00494587"/>
    <w:rsid w:val="00494743"/>
    <w:rsid w:val="004949BB"/>
    <w:rsid w:val="0049610C"/>
    <w:rsid w:val="00496278"/>
    <w:rsid w:val="00496475"/>
    <w:rsid w:val="0049650E"/>
    <w:rsid w:val="004967FB"/>
    <w:rsid w:val="00497BA7"/>
    <w:rsid w:val="004A04B6"/>
    <w:rsid w:val="004A04FD"/>
    <w:rsid w:val="004A067D"/>
    <w:rsid w:val="004A0D56"/>
    <w:rsid w:val="004A0DD6"/>
    <w:rsid w:val="004A1227"/>
    <w:rsid w:val="004A1352"/>
    <w:rsid w:val="004A1718"/>
    <w:rsid w:val="004A1723"/>
    <w:rsid w:val="004A18F2"/>
    <w:rsid w:val="004A2739"/>
    <w:rsid w:val="004A4028"/>
    <w:rsid w:val="004A422C"/>
    <w:rsid w:val="004A4C3E"/>
    <w:rsid w:val="004A4E8D"/>
    <w:rsid w:val="004A5431"/>
    <w:rsid w:val="004A575F"/>
    <w:rsid w:val="004A5F0C"/>
    <w:rsid w:val="004A6B3D"/>
    <w:rsid w:val="004A6C5F"/>
    <w:rsid w:val="004A6D7E"/>
    <w:rsid w:val="004A77EC"/>
    <w:rsid w:val="004A78A9"/>
    <w:rsid w:val="004A7FA7"/>
    <w:rsid w:val="004B09A2"/>
    <w:rsid w:val="004B1330"/>
    <w:rsid w:val="004B17BD"/>
    <w:rsid w:val="004B2DAA"/>
    <w:rsid w:val="004B4517"/>
    <w:rsid w:val="004B4893"/>
    <w:rsid w:val="004B4B60"/>
    <w:rsid w:val="004B4FFE"/>
    <w:rsid w:val="004B55A8"/>
    <w:rsid w:val="004B5AC9"/>
    <w:rsid w:val="004B6315"/>
    <w:rsid w:val="004B7043"/>
    <w:rsid w:val="004B763B"/>
    <w:rsid w:val="004B7D01"/>
    <w:rsid w:val="004C01B4"/>
    <w:rsid w:val="004C089D"/>
    <w:rsid w:val="004C08B6"/>
    <w:rsid w:val="004C0D00"/>
    <w:rsid w:val="004C11CE"/>
    <w:rsid w:val="004C14AB"/>
    <w:rsid w:val="004C1501"/>
    <w:rsid w:val="004C1C79"/>
    <w:rsid w:val="004C1D0B"/>
    <w:rsid w:val="004C2565"/>
    <w:rsid w:val="004C3462"/>
    <w:rsid w:val="004C3C28"/>
    <w:rsid w:val="004C4148"/>
    <w:rsid w:val="004C557B"/>
    <w:rsid w:val="004C5772"/>
    <w:rsid w:val="004C57EB"/>
    <w:rsid w:val="004C60E5"/>
    <w:rsid w:val="004C7141"/>
    <w:rsid w:val="004C7D73"/>
    <w:rsid w:val="004D0A90"/>
    <w:rsid w:val="004D11ED"/>
    <w:rsid w:val="004D139E"/>
    <w:rsid w:val="004D14A9"/>
    <w:rsid w:val="004D16A8"/>
    <w:rsid w:val="004D16BD"/>
    <w:rsid w:val="004D1CE2"/>
    <w:rsid w:val="004D2E00"/>
    <w:rsid w:val="004D3151"/>
    <w:rsid w:val="004D31AB"/>
    <w:rsid w:val="004D3310"/>
    <w:rsid w:val="004D3DB4"/>
    <w:rsid w:val="004D4137"/>
    <w:rsid w:val="004D431B"/>
    <w:rsid w:val="004D44AC"/>
    <w:rsid w:val="004D4536"/>
    <w:rsid w:val="004D4B27"/>
    <w:rsid w:val="004D506F"/>
    <w:rsid w:val="004D510A"/>
    <w:rsid w:val="004D5D5D"/>
    <w:rsid w:val="004D5DFF"/>
    <w:rsid w:val="004D5ED7"/>
    <w:rsid w:val="004D6864"/>
    <w:rsid w:val="004D7713"/>
    <w:rsid w:val="004D7860"/>
    <w:rsid w:val="004E029A"/>
    <w:rsid w:val="004E1262"/>
    <w:rsid w:val="004E3049"/>
    <w:rsid w:val="004E3599"/>
    <w:rsid w:val="004E39F5"/>
    <w:rsid w:val="004E411B"/>
    <w:rsid w:val="004E4955"/>
    <w:rsid w:val="004E4A82"/>
    <w:rsid w:val="004E4FA2"/>
    <w:rsid w:val="004E5109"/>
    <w:rsid w:val="004E546E"/>
    <w:rsid w:val="004E5C69"/>
    <w:rsid w:val="004E60D0"/>
    <w:rsid w:val="004E6495"/>
    <w:rsid w:val="004E68A2"/>
    <w:rsid w:val="004E6F6E"/>
    <w:rsid w:val="004E790A"/>
    <w:rsid w:val="004E7DF7"/>
    <w:rsid w:val="004F0AD3"/>
    <w:rsid w:val="004F12A6"/>
    <w:rsid w:val="004F1565"/>
    <w:rsid w:val="004F1878"/>
    <w:rsid w:val="004F1933"/>
    <w:rsid w:val="004F2304"/>
    <w:rsid w:val="004F26F8"/>
    <w:rsid w:val="004F287F"/>
    <w:rsid w:val="004F2EA5"/>
    <w:rsid w:val="004F455F"/>
    <w:rsid w:val="004F4CC0"/>
    <w:rsid w:val="004F4CC9"/>
    <w:rsid w:val="004F4E08"/>
    <w:rsid w:val="004F5394"/>
    <w:rsid w:val="004F75D8"/>
    <w:rsid w:val="00500514"/>
    <w:rsid w:val="0050176F"/>
    <w:rsid w:val="0050177D"/>
    <w:rsid w:val="00501903"/>
    <w:rsid w:val="005025FE"/>
    <w:rsid w:val="00502E40"/>
    <w:rsid w:val="00502F6A"/>
    <w:rsid w:val="00504585"/>
    <w:rsid w:val="0050526B"/>
    <w:rsid w:val="00505BE4"/>
    <w:rsid w:val="00506290"/>
    <w:rsid w:val="00506714"/>
    <w:rsid w:val="00506DDE"/>
    <w:rsid w:val="0050749F"/>
    <w:rsid w:val="005077D0"/>
    <w:rsid w:val="00507A22"/>
    <w:rsid w:val="0051072E"/>
    <w:rsid w:val="005107DA"/>
    <w:rsid w:val="005109E7"/>
    <w:rsid w:val="0051159E"/>
    <w:rsid w:val="00511C1F"/>
    <w:rsid w:val="00512742"/>
    <w:rsid w:val="005129AB"/>
    <w:rsid w:val="00512AEA"/>
    <w:rsid w:val="005136AD"/>
    <w:rsid w:val="005138BA"/>
    <w:rsid w:val="00513923"/>
    <w:rsid w:val="005141CD"/>
    <w:rsid w:val="00514434"/>
    <w:rsid w:val="00514745"/>
    <w:rsid w:val="005149BA"/>
    <w:rsid w:val="00515897"/>
    <w:rsid w:val="005160C8"/>
    <w:rsid w:val="0051635E"/>
    <w:rsid w:val="00516657"/>
    <w:rsid w:val="00516904"/>
    <w:rsid w:val="00516F60"/>
    <w:rsid w:val="00520CB5"/>
    <w:rsid w:val="00520D81"/>
    <w:rsid w:val="00521037"/>
    <w:rsid w:val="005210CC"/>
    <w:rsid w:val="005211AF"/>
    <w:rsid w:val="0052129D"/>
    <w:rsid w:val="005213E2"/>
    <w:rsid w:val="00521E9E"/>
    <w:rsid w:val="00521F16"/>
    <w:rsid w:val="00522C82"/>
    <w:rsid w:val="00522CC2"/>
    <w:rsid w:val="00522ED7"/>
    <w:rsid w:val="00524002"/>
    <w:rsid w:val="00524730"/>
    <w:rsid w:val="00524DA4"/>
    <w:rsid w:val="00525B1D"/>
    <w:rsid w:val="005276C2"/>
    <w:rsid w:val="00527AF4"/>
    <w:rsid w:val="005309B8"/>
    <w:rsid w:val="00530FAB"/>
    <w:rsid w:val="00531117"/>
    <w:rsid w:val="00531393"/>
    <w:rsid w:val="005313CC"/>
    <w:rsid w:val="0053191B"/>
    <w:rsid w:val="00531ED3"/>
    <w:rsid w:val="0053266E"/>
    <w:rsid w:val="005330CE"/>
    <w:rsid w:val="00533729"/>
    <w:rsid w:val="005358A8"/>
    <w:rsid w:val="00535AF8"/>
    <w:rsid w:val="00536E2C"/>
    <w:rsid w:val="005372CD"/>
    <w:rsid w:val="00537B1A"/>
    <w:rsid w:val="00540009"/>
    <w:rsid w:val="005402E5"/>
    <w:rsid w:val="005403A5"/>
    <w:rsid w:val="005406F8"/>
    <w:rsid w:val="0054169B"/>
    <w:rsid w:val="005417D2"/>
    <w:rsid w:val="00541C02"/>
    <w:rsid w:val="00541CC8"/>
    <w:rsid w:val="005421A4"/>
    <w:rsid w:val="005422E4"/>
    <w:rsid w:val="00542815"/>
    <w:rsid w:val="00542915"/>
    <w:rsid w:val="0054306D"/>
    <w:rsid w:val="00543721"/>
    <w:rsid w:val="005437AB"/>
    <w:rsid w:val="00543C30"/>
    <w:rsid w:val="00543E03"/>
    <w:rsid w:val="00544161"/>
    <w:rsid w:val="0054436C"/>
    <w:rsid w:val="00544393"/>
    <w:rsid w:val="0054516D"/>
    <w:rsid w:val="0054524F"/>
    <w:rsid w:val="005455CE"/>
    <w:rsid w:val="00545758"/>
    <w:rsid w:val="00545CF8"/>
    <w:rsid w:val="0054605D"/>
    <w:rsid w:val="005478C4"/>
    <w:rsid w:val="00550252"/>
    <w:rsid w:val="00550254"/>
    <w:rsid w:val="00550E4D"/>
    <w:rsid w:val="00550F69"/>
    <w:rsid w:val="0055141B"/>
    <w:rsid w:val="0055176F"/>
    <w:rsid w:val="005520EA"/>
    <w:rsid w:val="00552208"/>
    <w:rsid w:val="005523C6"/>
    <w:rsid w:val="00552687"/>
    <w:rsid w:val="00552B61"/>
    <w:rsid w:val="005535C1"/>
    <w:rsid w:val="00553921"/>
    <w:rsid w:val="00553930"/>
    <w:rsid w:val="00553A5D"/>
    <w:rsid w:val="0055446F"/>
    <w:rsid w:val="005560CB"/>
    <w:rsid w:val="00560005"/>
    <w:rsid w:val="005600B7"/>
    <w:rsid w:val="0056101E"/>
    <w:rsid w:val="00561431"/>
    <w:rsid w:val="005616AE"/>
    <w:rsid w:val="00561723"/>
    <w:rsid w:val="00561B26"/>
    <w:rsid w:val="00561C0E"/>
    <w:rsid w:val="00561D29"/>
    <w:rsid w:val="00562495"/>
    <w:rsid w:val="005624BF"/>
    <w:rsid w:val="00562742"/>
    <w:rsid w:val="00562FE8"/>
    <w:rsid w:val="005634C9"/>
    <w:rsid w:val="00563A63"/>
    <w:rsid w:val="00563BB4"/>
    <w:rsid w:val="0056561B"/>
    <w:rsid w:val="005658FB"/>
    <w:rsid w:val="00565996"/>
    <w:rsid w:val="00566E46"/>
    <w:rsid w:val="00567573"/>
    <w:rsid w:val="00567FC5"/>
    <w:rsid w:val="00570D59"/>
    <w:rsid w:val="00571AAC"/>
    <w:rsid w:val="00571ADF"/>
    <w:rsid w:val="00571CEA"/>
    <w:rsid w:val="00571F91"/>
    <w:rsid w:val="00572ABB"/>
    <w:rsid w:val="005734AE"/>
    <w:rsid w:val="00573591"/>
    <w:rsid w:val="00573B05"/>
    <w:rsid w:val="0057400E"/>
    <w:rsid w:val="005740DD"/>
    <w:rsid w:val="00574196"/>
    <w:rsid w:val="0057428A"/>
    <w:rsid w:val="00574D4B"/>
    <w:rsid w:val="0057516A"/>
    <w:rsid w:val="00575E75"/>
    <w:rsid w:val="0057621D"/>
    <w:rsid w:val="00576A8C"/>
    <w:rsid w:val="005804DA"/>
    <w:rsid w:val="005809EB"/>
    <w:rsid w:val="00581316"/>
    <w:rsid w:val="00581C8A"/>
    <w:rsid w:val="00581F8B"/>
    <w:rsid w:val="0058237B"/>
    <w:rsid w:val="00582F63"/>
    <w:rsid w:val="00583B33"/>
    <w:rsid w:val="00583DE3"/>
    <w:rsid w:val="00585550"/>
    <w:rsid w:val="005855FF"/>
    <w:rsid w:val="00585C0D"/>
    <w:rsid w:val="00585C1A"/>
    <w:rsid w:val="005871BD"/>
    <w:rsid w:val="005873F8"/>
    <w:rsid w:val="005900A1"/>
    <w:rsid w:val="00590387"/>
    <w:rsid w:val="005906E6"/>
    <w:rsid w:val="00590B01"/>
    <w:rsid w:val="00591763"/>
    <w:rsid w:val="0059201B"/>
    <w:rsid w:val="0059391B"/>
    <w:rsid w:val="00593BAC"/>
    <w:rsid w:val="00593BE3"/>
    <w:rsid w:val="00593D0F"/>
    <w:rsid w:val="005948F5"/>
    <w:rsid w:val="00594B4B"/>
    <w:rsid w:val="00594E3D"/>
    <w:rsid w:val="00595311"/>
    <w:rsid w:val="00595344"/>
    <w:rsid w:val="00595936"/>
    <w:rsid w:val="00597B45"/>
    <w:rsid w:val="00597CDD"/>
    <w:rsid w:val="00597CEC"/>
    <w:rsid w:val="00597F03"/>
    <w:rsid w:val="005A0224"/>
    <w:rsid w:val="005A0246"/>
    <w:rsid w:val="005A0BA6"/>
    <w:rsid w:val="005A0CE4"/>
    <w:rsid w:val="005A0E19"/>
    <w:rsid w:val="005A0F2E"/>
    <w:rsid w:val="005A1201"/>
    <w:rsid w:val="005A15CC"/>
    <w:rsid w:val="005A15E8"/>
    <w:rsid w:val="005A1CC6"/>
    <w:rsid w:val="005A1EF9"/>
    <w:rsid w:val="005A21A6"/>
    <w:rsid w:val="005A2235"/>
    <w:rsid w:val="005A2887"/>
    <w:rsid w:val="005A3186"/>
    <w:rsid w:val="005A34F1"/>
    <w:rsid w:val="005A35B2"/>
    <w:rsid w:val="005A3671"/>
    <w:rsid w:val="005A3A93"/>
    <w:rsid w:val="005A3C9F"/>
    <w:rsid w:val="005A3F38"/>
    <w:rsid w:val="005A477C"/>
    <w:rsid w:val="005A5580"/>
    <w:rsid w:val="005A5852"/>
    <w:rsid w:val="005A68C6"/>
    <w:rsid w:val="005A6C20"/>
    <w:rsid w:val="005A6F02"/>
    <w:rsid w:val="005A71C1"/>
    <w:rsid w:val="005A726E"/>
    <w:rsid w:val="005A72EE"/>
    <w:rsid w:val="005B0724"/>
    <w:rsid w:val="005B0BCB"/>
    <w:rsid w:val="005B0E6F"/>
    <w:rsid w:val="005B0EC4"/>
    <w:rsid w:val="005B170A"/>
    <w:rsid w:val="005B173F"/>
    <w:rsid w:val="005B2B2E"/>
    <w:rsid w:val="005B367F"/>
    <w:rsid w:val="005B3B4C"/>
    <w:rsid w:val="005B4ABC"/>
    <w:rsid w:val="005B61FF"/>
    <w:rsid w:val="005B641D"/>
    <w:rsid w:val="005B6BE4"/>
    <w:rsid w:val="005B753C"/>
    <w:rsid w:val="005B756B"/>
    <w:rsid w:val="005B759B"/>
    <w:rsid w:val="005B77B6"/>
    <w:rsid w:val="005B7995"/>
    <w:rsid w:val="005B7A25"/>
    <w:rsid w:val="005B7E5A"/>
    <w:rsid w:val="005C030A"/>
    <w:rsid w:val="005C0FAD"/>
    <w:rsid w:val="005C1695"/>
    <w:rsid w:val="005C1B4B"/>
    <w:rsid w:val="005C1F9A"/>
    <w:rsid w:val="005C2517"/>
    <w:rsid w:val="005C2541"/>
    <w:rsid w:val="005C2B18"/>
    <w:rsid w:val="005C36E4"/>
    <w:rsid w:val="005C4715"/>
    <w:rsid w:val="005C481D"/>
    <w:rsid w:val="005C508B"/>
    <w:rsid w:val="005C50DD"/>
    <w:rsid w:val="005C628C"/>
    <w:rsid w:val="005C7132"/>
    <w:rsid w:val="005C71E9"/>
    <w:rsid w:val="005D07E4"/>
    <w:rsid w:val="005D1A4E"/>
    <w:rsid w:val="005D2E32"/>
    <w:rsid w:val="005D3014"/>
    <w:rsid w:val="005D344A"/>
    <w:rsid w:val="005D50EC"/>
    <w:rsid w:val="005D5421"/>
    <w:rsid w:val="005D55AD"/>
    <w:rsid w:val="005D5D01"/>
    <w:rsid w:val="005D5EBF"/>
    <w:rsid w:val="005D67F6"/>
    <w:rsid w:val="005D76FC"/>
    <w:rsid w:val="005D7700"/>
    <w:rsid w:val="005D7EF6"/>
    <w:rsid w:val="005E0393"/>
    <w:rsid w:val="005E1076"/>
    <w:rsid w:val="005E1106"/>
    <w:rsid w:val="005E30C1"/>
    <w:rsid w:val="005E3617"/>
    <w:rsid w:val="005E3E33"/>
    <w:rsid w:val="005E3E5B"/>
    <w:rsid w:val="005E5EEE"/>
    <w:rsid w:val="005E6122"/>
    <w:rsid w:val="005E6408"/>
    <w:rsid w:val="005E6639"/>
    <w:rsid w:val="005E6933"/>
    <w:rsid w:val="005E7012"/>
    <w:rsid w:val="005E72C6"/>
    <w:rsid w:val="005E7622"/>
    <w:rsid w:val="005E7D55"/>
    <w:rsid w:val="005F054F"/>
    <w:rsid w:val="005F0729"/>
    <w:rsid w:val="005F0DA6"/>
    <w:rsid w:val="005F1650"/>
    <w:rsid w:val="005F1702"/>
    <w:rsid w:val="005F2370"/>
    <w:rsid w:val="005F25A9"/>
    <w:rsid w:val="005F27FE"/>
    <w:rsid w:val="005F32AD"/>
    <w:rsid w:val="005F41CD"/>
    <w:rsid w:val="005F4D33"/>
    <w:rsid w:val="005F543C"/>
    <w:rsid w:val="005F573F"/>
    <w:rsid w:val="005F5CBC"/>
    <w:rsid w:val="005F66D5"/>
    <w:rsid w:val="005F6EEC"/>
    <w:rsid w:val="005F719D"/>
    <w:rsid w:val="005F7341"/>
    <w:rsid w:val="005F7C32"/>
    <w:rsid w:val="006000BC"/>
    <w:rsid w:val="006007A4"/>
    <w:rsid w:val="00601595"/>
    <w:rsid w:val="006018B9"/>
    <w:rsid w:val="00601BED"/>
    <w:rsid w:val="006040BC"/>
    <w:rsid w:val="006056D6"/>
    <w:rsid w:val="00605BC0"/>
    <w:rsid w:val="006065A9"/>
    <w:rsid w:val="0060667F"/>
    <w:rsid w:val="006068DB"/>
    <w:rsid w:val="006069B6"/>
    <w:rsid w:val="00606C22"/>
    <w:rsid w:val="006075B1"/>
    <w:rsid w:val="00607651"/>
    <w:rsid w:val="0061008C"/>
    <w:rsid w:val="006101EB"/>
    <w:rsid w:val="006103AF"/>
    <w:rsid w:val="006105B8"/>
    <w:rsid w:val="00610C1D"/>
    <w:rsid w:val="00611321"/>
    <w:rsid w:val="00611F2E"/>
    <w:rsid w:val="006131D3"/>
    <w:rsid w:val="006132E7"/>
    <w:rsid w:val="0061367E"/>
    <w:rsid w:val="006137A9"/>
    <w:rsid w:val="00613805"/>
    <w:rsid w:val="00613D9D"/>
    <w:rsid w:val="00614086"/>
    <w:rsid w:val="00614530"/>
    <w:rsid w:val="00614945"/>
    <w:rsid w:val="00614A5D"/>
    <w:rsid w:val="006156F9"/>
    <w:rsid w:val="00615BE3"/>
    <w:rsid w:val="00615CB0"/>
    <w:rsid w:val="0061655D"/>
    <w:rsid w:val="0061687C"/>
    <w:rsid w:val="00617125"/>
    <w:rsid w:val="00617363"/>
    <w:rsid w:val="006201B2"/>
    <w:rsid w:val="0062025A"/>
    <w:rsid w:val="00620AB1"/>
    <w:rsid w:val="00620C5C"/>
    <w:rsid w:val="00620FA5"/>
    <w:rsid w:val="0062227B"/>
    <w:rsid w:val="0062233B"/>
    <w:rsid w:val="00622516"/>
    <w:rsid w:val="00622850"/>
    <w:rsid w:val="006228C7"/>
    <w:rsid w:val="00622D66"/>
    <w:rsid w:val="00622FF4"/>
    <w:rsid w:val="006234B7"/>
    <w:rsid w:val="0062379C"/>
    <w:rsid w:val="00624673"/>
    <w:rsid w:val="00624D17"/>
    <w:rsid w:val="00625BAE"/>
    <w:rsid w:val="00627195"/>
    <w:rsid w:val="0062799A"/>
    <w:rsid w:val="00627F09"/>
    <w:rsid w:val="0063024F"/>
    <w:rsid w:val="00630603"/>
    <w:rsid w:val="00630623"/>
    <w:rsid w:val="00630C34"/>
    <w:rsid w:val="00630E7C"/>
    <w:rsid w:val="00630FD4"/>
    <w:rsid w:val="00631104"/>
    <w:rsid w:val="006336BE"/>
    <w:rsid w:val="00633D5F"/>
    <w:rsid w:val="006341E0"/>
    <w:rsid w:val="00634C8B"/>
    <w:rsid w:val="0063561B"/>
    <w:rsid w:val="00635B3D"/>
    <w:rsid w:val="00635E33"/>
    <w:rsid w:val="006361A2"/>
    <w:rsid w:val="00637292"/>
    <w:rsid w:val="00637782"/>
    <w:rsid w:val="00637C27"/>
    <w:rsid w:val="006400F6"/>
    <w:rsid w:val="0064042D"/>
    <w:rsid w:val="00641AEC"/>
    <w:rsid w:val="006420C2"/>
    <w:rsid w:val="00642434"/>
    <w:rsid w:val="006425B7"/>
    <w:rsid w:val="00642647"/>
    <w:rsid w:val="0064277C"/>
    <w:rsid w:val="006432E2"/>
    <w:rsid w:val="00643FE2"/>
    <w:rsid w:val="00644BA3"/>
    <w:rsid w:val="0064524B"/>
    <w:rsid w:val="00645601"/>
    <w:rsid w:val="006461BC"/>
    <w:rsid w:val="006462BB"/>
    <w:rsid w:val="0064648C"/>
    <w:rsid w:val="006469A4"/>
    <w:rsid w:val="00646FE7"/>
    <w:rsid w:val="00647958"/>
    <w:rsid w:val="00650517"/>
    <w:rsid w:val="006507F3"/>
    <w:rsid w:val="00650A8F"/>
    <w:rsid w:val="00650CCE"/>
    <w:rsid w:val="00650EEA"/>
    <w:rsid w:val="0065160E"/>
    <w:rsid w:val="00651877"/>
    <w:rsid w:val="00652CE0"/>
    <w:rsid w:val="00653533"/>
    <w:rsid w:val="006538F4"/>
    <w:rsid w:val="00653A45"/>
    <w:rsid w:val="00653BB6"/>
    <w:rsid w:val="00653E5D"/>
    <w:rsid w:val="00654B19"/>
    <w:rsid w:val="00655388"/>
    <w:rsid w:val="00655AA0"/>
    <w:rsid w:val="00655D42"/>
    <w:rsid w:val="00656199"/>
    <w:rsid w:val="0065695C"/>
    <w:rsid w:val="006569FF"/>
    <w:rsid w:val="00656B9B"/>
    <w:rsid w:val="00656FD8"/>
    <w:rsid w:val="006572C0"/>
    <w:rsid w:val="006607FE"/>
    <w:rsid w:val="006614AE"/>
    <w:rsid w:val="006616E7"/>
    <w:rsid w:val="00661F84"/>
    <w:rsid w:val="006626AB"/>
    <w:rsid w:val="00662B16"/>
    <w:rsid w:val="00662B4D"/>
    <w:rsid w:val="00662FE0"/>
    <w:rsid w:val="006639C5"/>
    <w:rsid w:val="00663A17"/>
    <w:rsid w:val="0066424C"/>
    <w:rsid w:val="00664D3A"/>
    <w:rsid w:val="0066597F"/>
    <w:rsid w:val="0066615B"/>
    <w:rsid w:val="00666B96"/>
    <w:rsid w:val="0066750F"/>
    <w:rsid w:val="00667F45"/>
    <w:rsid w:val="00671F37"/>
    <w:rsid w:val="00673A04"/>
    <w:rsid w:val="00673D1E"/>
    <w:rsid w:val="006748F2"/>
    <w:rsid w:val="00674B32"/>
    <w:rsid w:val="00674D18"/>
    <w:rsid w:val="00675060"/>
    <w:rsid w:val="006754FD"/>
    <w:rsid w:val="006759C2"/>
    <w:rsid w:val="006759F7"/>
    <w:rsid w:val="0067631B"/>
    <w:rsid w:val="00676831"/>
    <w:rsid w:val="006769F6"/>
    <w:rsid w:val="00677253"/>
    <w:rsid w:val="00677780"/>
    <w:rsid w:val="00677A9F"/>
    <w:rsid w:val="006807FA"/>
    <w:rsid w:val="00680FDD"/>
    <w:rsid w:val="00681CA4"/>
    <w:rsid w:val="00682027"/>
    <w:rsid w:val="006823ED"/>
    <w:rsid w:val="00682485"/>
    <w:rsid w:val="006825F6"/>
    <w:rsid w:val="00682B16"/>
    <w:rsid w:val="00683317"/>
    <w:rsid w:val="0068383E"/>
    <w:rsid w:val="006839AA"/>
    <w:rsid w:val="00684FC1"/>
    <w:rsid w:val="006854B6"/>
    <w:rsid w:val="00685B63"/>
    <w:rsid w:val="00686DE0"/>
    <w:rsid w:val="00686F37"/>
    <w:rsid w:val="00687427"/>
    <w:rsid w:val="00687B85"/>
    <w:rsid w:val="00690252"/>
    <w:rsid w:val="00690E73"/>
    <w:rsid w:val="0069143D"/>
    <w:rsid w:val="00691C0C"/>
    <w:rsid w:val="006927A0"/>
    <w:rsid w:val="00692D96"/>
    <w:rsid w:val="00692EB3"/>
    <w:rsid w:val="00692FF4"/>
    <w:rsid w:val="006931D8"/>
    <w:rsid w:val="00694E1A"/>
    <w:rsid w:val="006957CE"/>
    <w:rsid w:val="00695870"/>
    <w:rsid w:val="00695A1E"/>
    <w:rsid w:val="0069673D"/>
    <w:rsid w:val="00697073"/>
    <w:rsid w:val="00697107"/>
    <w:rsid w:val="00697135"/>
    <w:rsid w:val="006A158C"/>
    <w:rsid w:val="006A16FF"/>
    <w:rsid w:val="006A212D"/>
    <w:rsid w:val="006A248E"/>
    <w:rsid w:val="006A25BB"/>
    <w:rsid w:val="006A323D"/>
    <w:rsid w:val="006A3BFB"/>
    <w:rsid w:val="006A4E81"/>
    <w:rsid w:val="006A5054"/>
    <w:rsid w:val="006A52CC"/>
    <w:rsid w:val="006A55A3"/>
    <w:rsid w:val="006A5D0B"/>
    <w:rsid w:val="006A5E22"/>
    <w:rsid w:val="006B10B6"/>
    <w:rsid w:val="006B1377"/>
    <w:rsid w:val="006B17FD"/>
    <w:rsid w:val="006B2726"/>
    <w:rsid w:val="006B2A2C"/>
    <w:rsid w:val="006B3C47"/>
    <w:rsid w:val="006B3E89"/>
    <w:rsid w:val="006B41B6"/>
    <w:rsid w:val="006B470D"/>
    <w:rsid w:val="006B4A8C"/>
    <w:rsid w:val="006B4C0D"/>
    <w:rsid w:val="006B4CFD"/>
    <w:rsid w:val="006B5004"/>
    <w:rsid w:val="006B57B2"/>
    <w:rsid w:val="006C0387"/>
    <w:rsid w:val="006C0853"/>
    <w:rsid w:val="006C0EDC"/>
    <w:rsid w:val="006C109B"/>
    <w:rsid w:val="006C180F"/>
    <w:rsid w:val="006C234E"/>
    <w:rsid w:val="006C2CA3"/>
    <w:rsid w:val="006C2F7A"/>
    <w:rsid w:val="006C34AE"/>
    <w:rsid w:val="006C3DCD"/>
    <w:rsid w:val="006C4203"/>
    <w:rsid w:val="006C4214"/>
    <w:rsid w:val="006C4ECA"/>
    <w:rsid w:val="006C63D3"/>
    <w:rsid w:val="006C6AFF"/>
    <w:rsid w:val="006C6CB3"/>
    <w:rsid w:val="006C6E26"/>
    <w:rsid w:val="006C7200"/>
    <w:rsid w:val="006C7568"/>
    <w:rsid w:val="006C7852"/>
    <w:rsid w:val="006C79EB"/>
    <w:rsid w:val="006C7B4B"/>
    <w:rsid w:val="006D1483"/>
    <w:rsid w:val="006D1B2D"/>
    <w:rsid w:val="006D1E80"/>
    <w:rsid w:val="006D3784"/>
    <w:rsid w:val="006D37B4"/>
    <w:rsid w:val="006D38DC"/>
    <w:rsid w:val="006D3D6F"/>
    <w:rsid w:val="006D5381"/>
    <w:rsid w:val="006D555F"/>
    <w:rsid w:val="006D5624"/>
    <w:rsid w:val="006D5D4C"/>
    <w:rsid w:val="006D5F42"/>
    <w:rsid w:val="006D6ACF"/>
    <w:rsid w:val="006D7A1E"/>
    <w:rsid w:val="006D7E28"/>
    <w:rsid w:val="006E01AD"/>
    <w:rsid w:val="006E1081"/>
    <w:rsid w:val="006E17CD"/>
    <w:rsid w:val="006E23B6"/>
    <w:rsid w:val="006E25AB"/>
    <w:rsid w:val="006E3262"/>
    <w:rsid w:val="006E3A6D"/>
    <w:rsid w:val="006E3B4D"/>
    <w:rsid w:val="006E3BDF"/>
    <w:rsid w:val="006E3DC8"/>
    <w:rsid w:val="006E405F"/>
    <w:rsid w:val="006E411C"/>
    <w:rsid w:val="006E460C"/>
    <w:rsid w:val="006E4748"/>
    <w:rsid w:val="006E4C67"/>
    <w:rsid w:val="006E531D"/>
    <w:rsid w:val="006E5331"/>
    <w:rsid w:val="006E64B3"/>
    <w:rsid w:val="006E6E55"/>
    <w:rsid w:val="006E71A2"/>
    <w:rsid w:val="006E72C3"/>
    <w:rsid w:val="006E7746"/>
    <w:rsid w:val="006E7913"/>
    <w:rsid w:val="006E7F70"/>
    <w:rsid w:val="006F04F7"/>
    <w:rsid w:val="006F0970"/>
    <w:rsid w:val="006F0A4A"/>
    <w:rsid w:val="006F1247"/>
    <w:rsid w:val="006F1570"/>
    <w:rsid w:val="006F202C"/>
    <w:rsid w:val="006F2946"/>
    <w:rsid w:val="006F3FE0"/>
    <w:rsid w:val="006F41A8"/>
    <w:rsid w:val="006F41AB"/>
    <w:rsid w:val="006F4826"/>
    <w:rsid w:val="006F4BB6"/>
    <w:rsid w:val="006F4D0E"/>
    <w:rsid w:val="006F568E"/>
    <w:rsid w:val="006F5F09"/>
    <w:rsid w:val="006F6261"/>
    <w:rsid w:val="006F738D"/>
    <w:rsid w:val="006F7CED"/>
    <w:rsid w:val="006F7ED2"/>
    <w:rsid w:val="00700738"/>
    <w:rsid w:val="00700A92"/>
    <w:rsid w:val="00700F01"/>
    <w:rsid w:val="0070146D"/>
    <w:rsid w:val="0070163D"/>
    <w:rsid w:val="00701DA2"/>
    <w:rsid w:val="00701DAD"/>
    <w:rsid w:val="00701FF9"/>
    <w:rsid w:val="00703F3C"/>
    <w:rsid w:val="00705CD6"/>
    <w:rsid w:val="007061B6"/>
    <w:rsid w:val="007062B7"/>
    <w:rsid w:val="00706DC3"/>
    <w:rsid w:val="007070A4"/>
    <w:rsid w:val="00707997"/>
    <w:rsid w:val="0071029B"/>
    <w:rsid w:val="0071052E"/>
    <w:rsid w:val="007106AC"/>
    <w:rsid w:val="00710DAF"/>
    <w:rsid w:val="00710E89"/>
    <w:rsid w:val="007110C3"/>
    <w:rsid w:val="00711762"/>
    <w:rsid w:val="00711F51"/>
    <w:rsid w:val="007123C0"/>
    <w:rsid w:val="007129B1"/>
    <w:rsid w:val="0071379F"/>
    <w:rsid w:val="00713EE7"/>
    <w:rsid w:val="007148CB"/>
    <w:rsid w:val="00714A54"/>
    <w:rsid w:val="00715447"/>
    <w:rsid w:val="00715CDC"/>
    <w:rsid w:val="007164EB"/>
    <w:rsid w:val="007164FD"/>
    <w:rsid w:val="00716588"/>
    <w:rsid w:val="00716B5A"/>
    <w:rsid w:val="007176E1"/>
    <w:rsid w:val="00717FBA"/>
    <w:rsid w:val="0072100A"/>
    <w:rsid w:val="00721552"/>
    <w:rsid w:val="00721B59"/>
    <w:rsid w:val="00722238"/>
    <w:rsid w:val="00722740"/>
    <w:rsid w:val="00722DC9"/>
    <w:rsid w:val="007232A4"/>
    <w:rsid w:val="00723A7D"/>
    <w:rsid w:val="00724797"/>
    <w:rsid w:val="00724C00"/>
    <w:rsid w:val="007254B6"/>
    <w:rsid w:val="00725CB6"/>
    <w:rsid w:val="00725F67"/>
    <w:rsid w:val="00726168"/>
    <w:rsid w:val="00726896"/>
    <w:rsid w:val="00726E5E"/>
    <w:rsid w:val="007270DC"/>
    <w:rsid w:val="00727300"/>
    <w:rsid w:val="007278DF"/>
    <w:rsid w:val="0073097E"/>
    <w:rsid w:val="0073099C"/>
    <w:rsid w:val="00731163"/>
    <w:rsid w:val="00731331"/>
    <w:rsid w:val="007316B1"/>
    <w:rsid w:val="00731ED4"/>
    <w:rsid w:val="007327F4"/>
    <w:rsid w:val="00732B73"/>
    <w:rsid w:val="00732D48"/>
    <w:rsid w:val="007337CB"/>
    <w:rsid w:val="00733DB2"/>
    <w:rsid w:val="00734AC9"/>
    <w:rsid w:val="00735CFD"/>
    <w:rsid w:val="00735DE5"/>
    <w:rsid w:val="007367A7"/>
    <w:rsid w:val="00736C13"/>
    <w:rsid w:val="00736D6C"/>
    <w:rsid w:val="00736DC6"/>
    <w:rsid w:val="00736E1E"/>
    <w:rsid w:val="00736F0E"/>
    <w:rsid w:val="00737118"/>
    <w:rsid w:val="00737203"/>
    <w:rsid w:val="00737F92"/>
    <w:rsid w:val="007400D2"/>
    <w:rsid w:val="00740FC4"/>
    <w:rsid w:val="007412F4"/>
    <w:rsid w:val="007423DE"/>
    <w:rsid w:val="00743B61"/>
    <w:rsid w:val="00743FA2"/>
    <w:rsid w:val="007445DB"/>
    <w:rsid w:val="007446A3"/>
    <w:rsid w:val="00744A83"/>
    <w:rsid w:val="00745378"/>
    <w:rsid w:val="0074569B"/>
    <w:rsid w:val="007458E6"/>
    <w:rsid w:val="00746067"/>
    <w:rsid w:val="007461A6"/>
    <w:rsid w:val="00746431"/>
    <w:rsid w:val="00746FE8"/>
    <w:rsid w:val="0074731E"/>
    <w:rsid w:val="007510C8"/>
    <w:rsid w:val="007510E2"/>
    <w:rsid w:val="007513AA"/>
    <w:rsid w:val="007515B4"/>
    <w:rsid w:val="00752314"/>
    <w:rsid w:val="00752473"/>
    <w:rsid w:val="007524A7"/>
    <w:rsid w:val="00752903"/>
    <w:rsid w:val="00752AC1"/>
    <w:rsid w:val="00752C2F"/>
    <w:rsid w:val="00752D09"/>
    <w:rsid w:val="00752DB3"/>
    <w:rsid w:val="00753167"/>
    <w:rsid w:val="00753ABB"/>
    <w:rsid w:val="0075473C"/>
    <w:rsid w:val="0075478E"/>
    <w:rsid w:val="00755F7C"/>
    <w:rsid w:val="0075618C"/>
    <w:rsid w:val="007566DC"/>
    <w:rsid w:val="00756CC2"/>
    <w:rsid w:val="00757D44"/>
    <w:rsid w:val="0076074F"/>
    <w:rsid w:val="00760FD7"/>
    <w:rsid w:val="00761706"/>
    <w:rsid w:val="00761EF7"/>
    <w:rsid w:val="0076245E"/>
    <w:rsid w:val="00762513"/>
    <w:rsid w:val="007626E2"/>
    <w:rsid w:val="0076273C"/>
    <w:rsid w:val="00762FC5"/>
    <w:rsid w:val="00763126"/>
    <w:rsid w:val="007635EF"/>
    <w:rsid w:val="00763E3F"/>
    <w:rsid w:val="00763ECB"/>
    <w:rsid w:val="00764093"/>
    <w:rsid w:val="00765697"/>
    <w:rsid w:val="007663AE"/>
    <w:rsid w:val="00766423"/>
    <w:rsid w:val="00766AD5"/>
    <w:rsid w:val="00766BBE"/>
    <w:rsid w:val="00767521"/>
    <w:rsid w:val="00767CF1"/>
    <w:rsid w:val="007710B1"/>
    <w:rsid w:val="007712B1"/>
    <w:rsid w:val="0077189E"/>
    <w:rsid w:val="007732C9"/>
    <w:rsid w:val="007738F3"/>
    <w:rsid w:val="00774793"/>
    <w:rsid w:val="00774A0A"/>
    <w:rsid w:val="00774CB6"/>
    <w:rsid w:val="00775D82"/>
    <w:rsid w:val="007760C3"/>
    <w:rsid w:val="00776122"/>
    <w:rsid w:val="00776994"/>
    <w:rsid w:val="00776A3D"/>
    <w:rsid w:val="0077752E"/>
    <w:rsid w:val="00780704"/>
    <w:rsid w:val="0078086C"/>
    <w:rsid w:val="00781045"/>
    <w:rsid w:val="007815FC"/>
    <w:rsid w:val="00781EF2"/>
    <w:rsid w:val="00782488"/>
    <w:rsid w:val="00783093"/>
    <w:rsid w:val="007846BF"/>
    <w:rsid w:val="00784E22"/>
    <w:rsid w:val="007850BF"/>
    <w:rsid w:val="00785290"/>
    <w:rsid w:val="007856B2"/>
    <w:rsid w:val="007857F7"/>
    <w:rsid w:val="00785E49"/>
    <w:rsid w:val="0078629A"/>
    <w:rsid w:val="00786501"/>
    <w:rsid w:val="0078657A"/>
    <w:rsid w:val="007868C5"/>
    <w:rsid w:val="00786A8D"/>
    <w:rsid w:val="00786B17"/>
    <w:rsid w:val="00787338"/>
    <w:rsid w:val="00787C90"/>
    <w:rsid w:val="00790A1F"/>
    <w:rsid w:val="00790CFE"/>
    <w:rsid w:val="007928E0"/>
    <w:rsid w:val="00793322"/>
    <w:rsid w:val="00793B7A"/>
    <w:rsid w:val="00793C15"/>
    <w:rsid w:val="00793DA2"/>
    <w:rsid w:val="00793F31"/>
    <w:rsid w:val="007A01EB"/>
    <w:rsid w:val="007A1630"/>
    <w:rsid w:val="007A1915"/>
    <w:rsid w:val="007A33A1"/>
    <w:rsid w:val="007A34C5"/>
    <w:rsid w:val="007A579B"/>
    <w:rsid w:val="007A63FE"/>
    <w:rsid w:val="007A72D9"/>
    <w:rsid w:val="007A763F"/>
    <w:rsid w:val="007B13AE"/>
    <w:rsid w:val="007B2184"/>
    <w:rsid w:val="007B2475"/>
    <w:rsid w:val="007B249F"/>
    <w:rsid w:val="007B2628"/>
    <w:rsid w:val="007B26EE"/>
    <w:rsid w:val="007B2CEF"/>
    <w:rsid w:val="007B2ECC"/>
    <w:rsid w:val="007B3D32"/>
    <w:rsid w:val="007B436F"/>
    <w:rsid w:val="007B528F"/>
    <w:rsid w:val="007B5ED9"/>
    <w:rsid w:val="007B67F4"/>
    <w:rsid w:val="007B6806"/>
    <w:rsid w:val="007B75B7"/>
    <w:rsid w:val="007B7F7E"/>
    <w:rsid w:val="007C01C5"/>
    <w:rsid w:val="007C13EC"/>
    <w:rsid w:val="007C1DF4"/>
    <w:rsid w:val="007C2403"/>
    <w:rsid w:val="007C28A4"/>
    <w:rsid w:val="007C2B33"/>
    <w:rsid w:val="007C310A"/>
    <w:rsid w:val="007C397F"/>
    <w:rsid w:val="007C3C1F"/>
    <w:rsid w:val="007C5394"/>
    <w:rsid w:val="007C5E23"/>
    <w:rsid w:val="007C5F8E"/>
    <w:rsid w:val="007C64FF"/>
    <w:rsid w:val="007C6BB9"/>
    <w:rsid w:val="007C7E51"/>
    <w:rsid w:val="007D0402"/>
    <w:rsid w:val="007D06C7"/>
    <w:rsid w:val="007D0842"/>
    <w:rsid w:val="007D1633"/>
    <w:rsid w:val="007D1960"/>
    <w:rsid w:val="007D1B46"/>
    <w:rsid w:val="007D1B60"/>
    <w:rsid w:val="007D2E6D"/>
    <w:rsid w:val="007D3B80"/>
    <w:rsid w:val="007D45A9"/>
    <w:rsid w:val="007D45AE"/>
    <w:rsid w:val="007D472E"/>
    <w:rsid w:val="007D5501"/>
    <w:rsid w:val="007D6196"/>
    <w:rsid w:val="007D65BD"/>
    <w:rsid w:val="007D7799"/>
    <w:rsid w:val="007D799F"/>
    <w:rsid w:val="007D7BCE"/>
    <w:rsid w:val="007D7F23"/>
    <w:rsid w:val="007E0256"/>
    <w:rsid w:val="007E073D"/>
    <w:rsid w:val="007E0E42"/>
    <w:rsid w:val="007E1A71"/>
    <w:rsid w:val="007E1F02"/>
    <w:rsid w:val="007E2597"/>
    <w:rsid w:val="007E260F"/>
    <w:rsid w:val="007E283B"/>
    <w:rsid w:val="007E29B7"/>
    <w:rsid w:val="007E3256"/>
    <w:rsid w:val="007E35CB"/>
    <w:rsid w:val="007E35E4"/>
    <w:rsid w:val="007E3AAE"/>
    <w:rsid w:val="007E464D"/>
    <w:rsid w:val="007E4921"/>
    <w:rsid w:val="007E4AAD"/>
    <w:rsid w:val="007E4B05"/>
    <w:rsid w:val="007E4FCB"/>
    <w:rsid w:val="007E5046"/>
    <w:rsid w:val="007E54A0"/>
    <w:rsid w:val="007E5591"/>
    <w:rsid w:val="007E56D8"/>
    <w:rsid w:val="007E58EC"/>
    <w:rsid w:val="007E5BF6"/>
    <w:rsid w:val="007E650F"/>
    <w:rsid w:val="007F0274"/>
    <w:rsid w:val="007F052E"/>
    <w:rsid w:val="007F067B"/>
    <w:rsid w:val="007F16A8"/>
    <w:rsid w:val="007F1A27"/>
    <w:rsid w:val="007F1A8F"/>
    <w:rsid w:val="007F1E87"/>
    <w:rsid w:val="007F24F9"/>
    <w:rsid w:val="007F355F"/>
    <w:rsid w:val="007F46E0"/>
    <w:rsid w:val="007F4709"/>
    <w:rsid w:val="007F5612"/>
    <w:rsid w:val="007F56DC"/>
    <w:rsid w:val="007F6149"/>
    <w:rsid w:val="007F618C"/>
    <w:rsid w:val="007F61FE"/>
    <w:rsid w:val="007F6703"/>
    <w:rsid w:val="007F677D"/>
    <w:rsid w:val="007F688D"/>
    <w:rsid w:val="007F6A8D"/>
    <w:rsid w:val="007F78F1"/>
    <w:rsid w:val="007F7AEE"/>
    <w:rsid w:val="00800759"/>
    <w:rsid w:val="008007C6"/>
    <w:rsid w:val="008015DD"/>
    <w:rsid w:val="00801935"/>
    <w:rsid w:val="00801E1F"/>
    <w:rsid w:val="00802325"/>
    <w:rsid w:val="00802B0D"/>
    <w:rsid w:val="00803F72"/>
    <w:rsid w:val="00804650"/>
    <w:rsid w:val="008047A1"/>
    <w:rsid w:val="00804A1D"/>
    <w:rsid w:val="00804C07"/>
    <w:rsid w:val="00804E8B"/>
    <w:rsid w:val="008052A5"/>
    <w:rsid w:val="0080579C"/>
    <w:rsid w:val="0080588A"/>
    <w:rsid w:val="00806E39"/>
    <w:rsid w:val="00806F44"/>
    <w:rsid w:val="0080767C"/>
    <w:rsid w:val="00807954"/>
    <w:rsid w:val="00807BF8"/>
    <w:rsid w:val="00807F4B"/>
    <w:rsid w:val="00810787"/>
    <w:rsid w:val="00810841"/>
    <w:rsid w:val="00810E8D"/>
    <w:rsid w:val="00811103"/>
    <w:rsid w:val="008122F3"/>
    <w:rsid w:val="00812B00"/>
    <w:rsid w:val="00812E7D"/>
    <w:rsid w:val="008137FE"/>
    <w:rsid w:val="00814296"/>
    <w:rsid w:val="00815144"/>
    <w:rsid w:val="00815312"/>
    <w:rsid w:val="00815DBC"/>
    <w:rsid w:val="00816739"/>
    <w:rsid w:val="00816CAC"/>
    <w:rsid w:val="00816F1C"/>
    <w:rsid w:val="008175AA"/>
    <w:rsid w:val="008201D3"/>
    <w:rsid w:val="00820782"/>
    <w:rsid w:val="00821116"/>
    <w:rsid w:val="00821998"/>
    <w:rsid w:val="008219B5"/>
    <w:rsid w:val="00821ABF"/>
    <w:rsid w:val="00821BAF"/>
    <w:rsid w:val="00822389"/>
    <w:rsid w:val="008223E7"/>
    <w:rsid w:val="00823DAB"/>
    <w:rsid w:val="008241BB"/>
    <w:rsid w:val="0082434E"/>
    <w:rsid w:val="008244A0"/>
    <w:rsid w:val="008249C4"/>
    <w:rsid w:val="00824C8C"/>
    <w:rsid w:val="008252EB"/>
    <w:rsid w:val="008253DA"/>
    <w:rsid w:val="00825A71"/>
    <w:rsid w:val="00825C49"/>
    <w:rsid w:val="00826091"/>
    <w:rsid w:val="00826D20"/>
    <w:rsid w:val="008274D6"/>
    <w:rsid w:val="00827D10"/>
    <w:rsid w:val="00830036"/>
    <w:rsid w:val="008300F5"/>
    <w:rsid w:val="00830212"/>
    <w:rsid w:val="008303E3"/>
    <w:rsid w:val="00830853"/>
    <w:rsid w:val="00830CD2"/>
    <w:rsid w:val="00831768"/>
    <w:rsid w:val="00833678"/>
    <w:rsid w:val="0083383A"/>
    <w:rsid w:val="00833F84"/>
    <w:rsid w:val="00834997"/>
    <w:rsid w:val="00834EE7"/>
    <w:rsid w:val="00835A91"/>
    <w:rsid w:val="00835FD3"/>
    <w:rsid w:val="00836733"/>
    <w:rsid w:val="00836D41"/>
    <w:rsid w:val="00837CCA"/>
    <w:rsid w:val="00840460"/>
    <w:rsid w:val="008408C1"/>
    <w:rsid w:val="00840B15"/>
    <w:rsid w:val="00840E43"/>
    <w:rsid w:val="0084138C"/>
    <w:rsid w:val="008413D6"/>
    <w:rsid w:val="0084273B"/>
    <w:rsid w:val="00843A62"/>
    <w:rsid w:val="00844B0F"/>
    <w:rsid w:val="008454DB"/>
    <w:rsid w:val="00845531"/>
    <w:rsid w:val="0084576B"/>
    <w:rsid w:val="00845792"/>
    <w:rsid w:val="008458F5"/>
    <w:rsid w:val="0084763A"/>
    <w:rsid w:val="00847801"/>
    <w:rsid w:val="00850110"/>
    <w:rsid w:val="008503AA"/>
    <w:rsid w:val="00850B64"/>
    <w:rsid w:val="00851050"/>
    <w:rsid w:val="0085234E"/>
    <w:rsid w:val="00852D2E"/>
    <w:rsid w:val="00852E86"/>
    <w:rsid w:val="00853D85"/>
    <w:rsid w:val="00854079"/>
    <w:rsid w:val="00854D03"/>
    <w:rsid w:val="00854E3D"/>
    <w:rsid w:val="008550CC"/>
    <w:rsid w:val="008551E3"/>
    <w:rsid w:val="008553CC"/>
    <w:rsid w:val="00856CAB"/>
    <w:rsid w:val="00856E94"/>
    <w:rsid w:val="00856FA4"/>
    <w:rsid w:val="00857E65"/>
    <w:rsid w:val="008601C5"/>
    <w:rsid w:val="0086174F"/>
    <w:rsid w:val="00862123"/>
    <w:rsid w:val="00862EE9"/>
    <w:rsid w:val="008631BE"/>
    <w:rsid w:val="00863EE4"/>
    <w:rsid w:val="00863F9A"/>
    <w:rsid w:val="00864102"/>
    <w:rsid w:val="00864118"/>
    <w:rsid w:val="00864126"/>
    <w:rsid w:val="00864B46"/>
    <w:rsid w:val="00864FD9"/>
    <w:rsid w:val="00865D50"/>
    <w:rsid w:val="00865F66"/>
    <w:rsid w:val="008660B6"/>
    <w:rsid w:val="00867518"/>
    <w:rsid w:val="0086752A"/>
    <w:rsid w:val="00867584"/>
    <w:rsid w:val="00867AE2"/>
    <w:rsid w:val="00867AFB"/>
    <w:rsid w:val="0087036A"/>
    <w:rsid w:val="008704E4"/>
    <w:rsid w:val="00870665"/>
    <w:rsid w:val="008709E3"/>
    <w:rsid w:val="00870B7D"/>
    <w:rsid w:val="00870F89"/>
    <w:rsid w:val="00871BED"/>
    <w:rsid w:val="00872080"/>
    <w:rsid w:val="00874869"/>
    <w:rsid w:val="00874B6C"/>
    <w:rsid w:val="00875B27"/>
    <w:rsid w:val="00876062"/>
    <w:rsid w:val="0087652A"/>
    <w:rsid w:val="008771F5"/>
    <w:rsid w:val="00880396"/>
    <w:rsid w:val="00880650"/>
    <w:rsid w:val="00880DE8"/>
    <w:rsid w:val="00881B89"/>
    <w:rsid w:val="0088229E"/>
    <w:rsid w:val="008823DE"/>
    <w:rsid w:val="00882614"/>
    <w:rsid w:val="00882C33"/>
    <w:rsid w:val="0088334B"/>
    <w:rsid w:val="00883B7F"/>
    <w:rsid w:val="00883E43"/>
    <w:rsid w:val="00884DD3"/>
    <w:rsid w:val="00885757"/>
    <w:rsid w:val="00885EBF"/>
    <w:rsid w:val="00887047"/>
    <w:rsid w:val="00887AD9"/>
    <w:rsid w:val="00887CEA"/>
    <w:rsid w:val="00890BD7"/>
    <w:rsid w:val="00890D78"/>
    <w:rsid w:val="00891A6E"/>
    <w:rsid w:val="008929C3"/>
    <w:rsid w:val="00892A70"/>
    <w:rsid w:val="00893744"/>
    <w:rsid w:val="008937AA"/>
    <w:rsid w:val="008939E4"/>
    <w:rsid w:val="00893ADD"/>
    <w:rsid w:val="0089412B"/>
    <w:rsid w:val="008941B7"/>
    <w:rsid w:val="00894A4A"/>
    <w:rsid w:val="00894E82"/>
    <w:rsid w:val="008951FB"/>
    <w:rsid w:val="008966EB"/>
    <w:rsid w:val="008968EB"/>
    <w:rsid w:val="00896DE7"/>
    <w:rsid w:val="008973FD"/>
    <w:rsid w:val="00897689"/>
    <w:rsid w:val="00897695"/>
    <w:rsid w:val="00897FEE"/>
    <w:rsid w:val="008A0E44"/>
    <w:rsid w:val="008A0E4D"/>
    <w:rsid w:val="008A1685"/>
    <w:rsid w:val="008A1A9A"/>
    <w:rsid w:val="008A1CA8"/>
    <w:rsid w:val="008A251A"/>
    <w:rsid w:val="008A273A"/>
    <w:rsid w:val="008A2894"/>
    <w:rsid w:val="008A2F6E"/>
    <w:rsid w:val="008A3A56"/>
    <w:rsid w:val="008A3A8E"/>
    <w:rsid w:val="008A405E"/>
    <w:rsid w:val="008A44F8"/>
    <w:rsid w:val="008A4582"/>
    <w:rsid w:val="008A4DD1"/>
    <w:rsid w:val="008A51A2"/>
    <w:rsid w:val="008A51C6"/>
    <w:rsid w:val="008A51D2"/>
    <w:rsid w:val="008A5D84"/>
    <w:rsid w:val="008A6066"/>
    <w:rsid w:val="008A69D9"/>
    <w:rsid w:val="008A6B8D"/>
    <w:rsid w:val="008A748F"/>
    <w:rsid w:val="008A7EBE"/>
    <w:rsid w:val="008B0774"/>
    <w:rsid w:val="008B0897"/>
    <w:rsid w:val="008B129E"/>
    <w:rsid w:val="008B2B48"/>
    <w:rsid w:val="008B2EB2"/>
    <w:rsid w:val="008B44F0"/>
    <w:rsid w:val="008B4799"/>
    <w:rsid w:val="008B4903"/>
    <w:rsid w:val="008B51F9"/>
    <w:rsid w:val="008B55B4"/>
    <w:rsid w:val="008B592D"/>
    <w:rsid w:val="008B65DC"/>
    <w:rsid w:val="008B6BF0"/>
    <w:rsid w:val="008B6F6D"/>
    <w:rsid w:val="008B7AF1"/>
    <w:rsid w:val="008C0B20"/>
    <w:rsid w:val="008C0C73"/>
    <w:rsid w:val="008C203E"/>
    <w:rsid w:val="008C2D7E"/>
    <w:rsid w:val="008C2F8E"/>
    <w:rsid w:val="008C335E"/>
    <w:rsid w:val="008C34A8"/>
    <w:rsid w:val="008C3D6B"/>
    <w:rsid w:val="008C3EB9"/>
    <w:rsid w:val="008C4336"/>
    <w:rsid w:val="008C488F"/>
    <w:rsid w:val="008C52B6"/>
    <w:rsid w:val="008C5790"/>
    <w:rsid w:val="008C750C"/>
    <w:rsid w:val="008C7B98"/>
    <w:rsid w:val="008C7F91"/>
    <w:rsid w:val="008C7FC1"/>
    <w:rsid w:val="008D03A5"/>
    <w:rsid w:val="008D0832"/>
    <w:rsid w:val="008D08F1"/>
    <w:rsid w:val="008D0BC3"/>
    <w:rsid w:val="008D104E"/>
    <w:rsid w:val="008D1990"/>
    <w:rsid w:val="008D1BE0"/>
    <w:rsid w:val="008D1C76"/>
    <w:rsid w:val="008D1FEC"/>
    <w:rsid w:val="008D218A"/>
    <w:rsid w:val="008D24CA"/>
    <w:rsid w:val="008D2ECC"/>
    <w:rsid w:val="008D3AAE"/>
    <w:rsid w:val="008D42BD"/>
    <w:rsid w:val="008D4A93"/>
    <w:rsid w:val="008D5E4D"/>
    <w:rsid w:val="008D5E56"/>
    <w:rsid w:val="008D61B2"/>
    <w:rsid w:val="008D630F"/>
    <w:rsid w:val="008D6812"/>
    <w:rsid w:val="008D6EB6"/>
    <w:rsid w:val="008E11E7"/>
    <w:rsid w:val="008E2A1B"/>
    <w:rsid w:val="008E36EC"/>
    <w:rsid w:val="008E3A6A"/>
    <w:rsid w:val="008E478C"/>
    <w:rsid w:val="008E581B"/>
    <w:rsid w:val="008E5ABF"/>
    <w:rsid w:val="008E5CE3"/>
    <w:rsid w:val="008E632E"/>
    <w:rsid w:val="008E76C4"/>
    <w:rsid w:val="008E7933"/>
    <w:rsid w:val="008E7B7A"/>
    <w:rsid w:val="008E7BCB"/>
    <w:rsid w:val="008E7F41"/>
    <w:rsid w:val="008F05D7"/>
    <w:rsid w:val="008F10C0"/>
    <w:rsid w:val="008F1194"/>
    <w:rsid w:val="008F188A"/>
    <w:rsid w:val="008F1996"/>
    <w:rsid w:val="008F1E99"/>
    <w:rsid w:val="008F2425"/>
    <w:rsid w:val="008F24BE"/>
    <w:rsid w:val="008F273A"/>
    <w:rsid w:val="008F36FE"/>
    <w:rsid w:val="008F42E9"/>
    <w:rsid w:val="008F4537"/>
    <w:rsid w:val="008F5FA6"/>
    <w:rsid w:val="008F64BD"/>
    <w:rsid w:val="008F69A1"/>
    <w:rsid w:val="008F7A9C"/>
    <w:rsid w:val="00900503"/>
    <w:rsid w:val="00900521"/>
    <w:rsid w:val="00900ECD"/>
    <w:rsid w:val="009011E2"/>
    <w:rsid w:val="00901A17"/>
    <w:rsid w:val="00901C73"/>
    <w:rsid w:val="00901FEF"/>
    <w:rsid w:val="0090338F"/>
    <w:rsid w:val="0090391A"/>
    <w:rsid w:val="00903DE7"/>
    <w:rsid w:val="00903F7E"/>
    <w:rsid w:val="00904344"/>
    <w:rsid w:val="00904393"/>
    <w:rsid w:val="00904EEC"/>
    <w:rsid w:val="00905579"/>
    <w:rsid w:val="00906CD5"/>
    <w:rsid w:val="00906EA1"/>
    <w:rsid w:val="00907A2B"/>
    <w:rsid w:val="00907E89"/>
    <w:rsid w:val="00910444"/>
    <w:rsid w:val="0091069A"/>
    <w:rsid w:val="00911173"/>
    <w:rsid w:val="00911468"/>
    <w:rsid w:val="009119D1"/>
    <w:rsid w:val="00911B68"/>
    <w:rsid w:val="00911C69"/>
    <w:rsid w:val="0091299A"/>
    <w:rsid w:val="00913779"/>
    <w:rsid w:val="0091380F"/>
    <w:rsid w:val="00914489"/>
    <w:rsid w:val="00914764"/>
    <w:rsid w:val="0091539C"/>
    <w:rsid w:val="00915850"/>
    <w:rsid w:val="00915EC7"/>
    <w:rsid w:val="009160B0"/>
    <w:rsid w:val="00916A36"/>
    <w:rsid w:val="00916D8C"/>
    <w:rsid w:val="00917531"/>
    <w:rsid w:val="00917822"/>
    <w:rsid w:val="00920B9C"/>
    <w:rsid w:val="009212D9"/>
    <w:rsid w:val="00921389"/>
    <w:rsid w:val="00921FEE"/>
    <w:rsid w:val="00922305"/>
    <w:rsid w:val="009227F9"/>
    <w:rsid w:val="00922965"/>
    <w:rsid w:val="009238C0"/>
    <w:rsid w:val="0092466D"/>
    <w:rsid w:val="00924818"/>
    <w:rsid w:val="00924975"/>
    <w:rsid w:val="009249C8"/>
    <w:rsid w:val="00924D99"/>
    <w:rsid w:val="00924DA6"/>
    <w:rsid w:val="00924E9C"/>
    <w:rsid w:val="00925BAA"/>
    <w:rsid w:val="00925EE3"/>
    <w:rsid w:val="0092698B"/>
    <w:rsid w:val="0092796F"/>
    <w:rsid w:val="0093097A"/>
    <w:rsid w:val="00930DD1"/>
    <w:rsid w:val="0093165B"/>
    <w:rsid w:val="0093176E"/>
    <w:rsid w:val="009317F7"/>
    <w:rsid w:val="00932366"/>
    <w:rsid w:val="00932830"/>
    <w:rsid w:val="009328FC"/>
    <w:rsid w:val="00932DA6"/>
    <w:rsid w:val="00932E7B"/>
    <w:rsid w:val="009336DE"/>
    <w:rsid w:val="00933D7D"/>
    <w:rsid w:val="00934282"/>
    <w:rsid w:val="00935DCE"/>
    <w:rsid w:val="009360C5"/>
    <w:rsid w:val="009363FB"/>
    <w:rsid w:val="009367F8"/>
    <w:rsid w:val="00936CA5"/>
    <w:rsid w:val="00937096"/>
    <w:rsid w:val="00940AB4"/>
    <w:rsid w:val="0094244E"/>
    <w:rsid w:val="009425F9"/>
    <w:rsid w:val="009429D4"/>
    <w:rsid w:val="00942ED6"/>
    <w:rsid w:val="009430E7"/>
    <w:rsid w:val="00943A07"/>
    <w:rsid w:val="00943A81"/>
    <w:rsid w:val="00944443"/>
    <w:rsid w:val="0094485F"/>
    <w:rsid w:val="0094693E"/>
    <w:rsid w:val="00946B0F"/>
    <w:rsid w:val="00947048"/>
    <w:rsid w:val="0094727A"/>
    <w:rsid w:val="009478B2"/>
    <w:rsid w:val="00950842"/>
    <w:rsid w:val="00951634"/>
    <w:rsid w:val="00952499"/>
    <w:rsid w:val="00952956"/>
    <w:rsid w:val="00953C89"/>
    <w:rsid w:val="00954078"/>
    <w:rsid w:val="009545B7"/>
    <w:rsid w:val="0095512D"/>
    <w:rsid w:val="009557F0"/>
    <w:rsid w:val="00955A44"/>
    <w:rsid w:val="009561DB"/>
    <w:rsid w:val="009563DF"/>
    <w:rsid w:val="00957152"/>
    <w:rsid w:val="00957156"/>
    <w:rsid w:val="0096064B"/>
    <w:rsid w:val="00960CF4"/>
    <w:rsid w:val="00961D2B"/>
    <w:rsid w:val="00961F4B"/>
    <w:rsid w:val="009620B0"/>
    <w:rsid w:val="00962C63"/>
    <w:rsid w:val="00963568"/>
    <w:rsid w:val="00963C9E"/>
    <w:rsid w:val="00963E46"/>
    <w:rsid w:val="0096463D"/>
    <w:rsid w:val="009648A2"/>
    <w:rsid w:val="00964968"/>
    <w:rsid w:val="00964FDA"/>
    <w:rsid w:val="009655A9"/>
    <w:rsid w:val="00966990"/>
    <w:rsid w:val="00966DF9"/>
    <w:rsid w:val="0096763E"/>
    <w:rsid w:val="0096785B"/>
    <w:rsid w:val="00967BBA"/>
    <w:rsid w:val="00967D56"/>
    <w:rsid w:val="0097006B"/>
    <w:rsid w:val="00970262"/>
    <w:rsid w:val="009702EF"/>
    <w:rsid w:val="009704B0"/>
    <w:rsid w:val="00971291"/>
    <w:rsid w:val="009712A3"/>
    <w:rsid w:val="00972036"/>
    <w:rsid w:val="00972F88"/>
    <w:rsid w:val="009732CC"/>
    <w:rsid w:val="00973956"/>
    <w:rsid w:val="00974095"/>
    <w:rsid w:val="00974178"/>
    <w:rsid w:val="00974C0C"/>
    <w:rsid w:val="0097610C"/>
    <w:rsid w:val="00976302"/>
    <w:rsid w:val="00976BEB"/>
    <w:rsid w:val="00976C3C"/>
    <w:rsid w:val="00977FB0"/>
    <w:rsid w:val="009802BB"/>
    <w:rsid w:val="009808EE"/>
    <w:rsid w:val="00980966"/>
    <w:rsid w:val="00981952"/>
    <w:rsid w:val="00981969"/>
    <w:rsid w:val="00981BC1"/>
    <w:rsid w:val="00981C5B"/>
    <w:rsid w:val="00981CB9"/>
    <w:rsid w:val="00983811"/>
    <w:rsid w:val="00983C76"/>
    <w:rsid w:val="00983F19"/>
    <w:rsid w:val="00984021"/>
    <w:rsid w:val="009847C8"/>
    <w:rsid w:val="009847CB"/>
    <w:rsid w:val="00984E82"/>
    <w:rsid w:val="009850F7"/>
    <w:rsid w:val="00985E8A"/>
    <w:rsid w:val="0098625A"/>
    <w:rsid w:val="00986985"/>
    <w:rsid w:val="00987853"/>
    <w:rsid w:val="00987C5C"/>
    <w:rsid w:val="00990657"/>
    <w:rsid w:val="00990F2E"/>
    <w:rsid w:val="00991A5A"/>
    <w:rsid w:val="009920D4"/>
    <w:rsid w:val="00992504"/>
    <w:rsid w:val="00992BF0"/>
    <w:rsid w:val="009935F5"/>
    <w:rsid w:val="00993D68"/>
    <w:rsid w:val="0099432F"/>
    <w:rsid w:val="00994AA2"/>
    <w:rsid w:val="00994F33"/>
    <w:rsid w:val="009952EB"/>
    <w:rsid w:val="00995D43"/>
    <w:rsid w:val="00995D4C"/>
    <w:rsid w:val="00995E16"/>
    <w:rsid w:val="009964E7"/>
    <w:rsid w:val="009965C0"/>
    <w:rsid w:val="00996CBE"/>
    <w:rsid w:val="009A1454"/>
    <w:rsid w:val="009A180F"/>
    <w:rsid w:val="009A1B9A"/>
    <w:rsid w:val="009A1D96"/>
    <w:rsid w:val="009A20E5"/>
    <w:rsid w:val="009A27A2"/>
    <w:rsid w:val="009A3A5B"/>
    <w:rsid w:val="009A3F2C"/>
    <w:rsid w:val="009A41BD"/>
    <w:rsid w:val="009A53EB"/>
    <w:rsid w:val="009A5A54"/>
    <w:rsid w:val="009A5C51"/>
    <w:rsid w:val="009A5D15"/>
    <w:rsid w:val="009A5EC1"/>
    <w:rsid w:val="009A623A"/>
    <w:rsid w:val="009A623D"/>
    <w:rsid w:val="009A64AD"/>
    <w:rsid w:val="009A64E1"/>
    <w:rsid w:val="009A670E"/>
    <w:rsid w:val="009A6848"/>
    <w:rsid w:val="009A6AE4"/>
    <w:rsid w:val="009A6D4B"/>
    <w:rsid w:val="009A7555"/>
    <w:rsid w:val="009A781B"/>
    <w:rsid w:val="009B09FE"/>
    <w:rsid w:val="009B25E5"/>
    <w:rsid w:val="009B32EA"/>
    <w:rsid w:val="009B330B"/>
    <w:rsid w:val="009B3319"/>
    <w:rsid w:val="009B4138"/>
    <w:rsid w:val="009B476D"/>
    <w:rsid w:val="009B4B17"/>
    <w:rsid w:val="009B532B"/>
    <w:rsid w:val="009B5A21"/>
    <w:rsid w:val="009B5F0E"/>
    <w:rsid w:val="009B5F8A"/>
    <w:rsid w:val="009B694B"/>
    <w:rsid w:val="009B6B20"/>
    <w:rsid w:val="009B7560"/>
    <w:rsid w:val="009B7738"/>
    <w:rsid w:val="009B77E9"/>
    <w:rsid w:val="009C0054"/>
    <w:rsid w:val="009C0591"/>
    <w:rsid w:val="009C0B59"/>
    <w:rsid w:val="009C139A"/>
    <w:rsid w:val="009C156A"/>
    <w:rsid w:val="009C1881"/>
    <w:rsid w:val="009C2352"/>
    <w:rsid w:val="009C3E19"/>
    <w:rsid w:val="009C426C"/>
    <w:rsid w:val="009C4684"/>
    <w:rsid w:val="009C532F"/>
    <w:rsid w:val="009C5586"/>
    <w:rsid w:val="009C5CA3"/>
    <w:rsid w:val="009C5DC9"/>
    <w:rsid w:val="009C60BD"/>
    <w:rsid w:val="009C6DF7"/>
    <w:rsid w:val="009C79F2"/>
    <w:rsid w:val="009D0A60"/>
    <w:rsid w:val="009D0AE2"/>
    <w:rsid w:val="009D11EF"/>
    <w:rsid w:val="009D11F9"/>
    <w:rsid w:val="009D164B"/>
    <w:rsid w:val="009D208E"/>
    <w:rsid w:val="009D23E5"/>
    <w:rsid w:val="009D244A"/>
    <w:rsid w:val="009D3620"/>
    <w:rsid w:val="009D3CCD"/>
    <w:rsid w:val="009D3DA4"/>
    <w:rsid w:val="009D3EE1"/>
    <w:rsid w:val="009D45E9"/>
    <w:rsid w:val="009D5501"/>
    <w:rsid w:val="009D5609"/>
    <w:rsid w:val="009D6611"/>
    <w:rsid w:val="009D7295"/>
    <w:rsid w:val="009D7522"/>
    <w:rsid w:val="009D7A3E"/>
    <w:rsid w:val="009D7E49"/>
    <w:rsid w:val="009E028B"/>
    <w:rsid w:val="009E073C"/>
    <w:rsid w:val="009E08AC"/>
    <w:rsid w:val="009E08F8"/>
    <w:rsid w:val="009E0A11"/>
    <w:rsid w:val="009E0D57"/>
    <w:rsid w:val="009E0DA7"/>
    <w:rsid w:val="009E0EB7"/>
    <w:rsid w:val="009E0EDB"/>
    <w:rsid w:val="009E28E5"/>
    <w:rsid w:val="009E2BF1"/>
    <w:rsid w:val="009E2DFE"/>
    <w:rsid w:val="009E2FD6"/>
    <w:rsid w:val="009E354F"/>
    <w:rsid w:val="009E37A9"/>
    <w:rsid w:val="009E3806"/>
    <w:rsid w:val="009E3C80"/>
    <w:rsid w:val="009E3E67"/>
    <w:rsid w:val="009E437A"/>
    <w:rsid w:val="009E51CE"/>
    <w:rsid w:val="009E59C6"/>
    <w:rsid w:val="009E5D82"/>
    <w:rsid w:val="009E5ECF"/>
    <w:rsid w:val="009E605B"/>
    <w:rsid w:val="009E6517"/>
    <w:rsid w:val="009E6616"/>
    <w:rsid w:val="009E6F98"/>
    <w:rsid w:val="009E734D"/>
    <w:rsid w:val="009E7681"/>
    <w:rsid w:val="009F03A3"/>
    <w:rsid w:val="009F053E"/>
    <w:rsid w:val="009F0667"/>
    <w:rsid w:val="009F0EAA"/>
    <w:rsid w:val="009F1101"/>
    <w:rsid w:val="009F1503"/>
    <w:rsid w:val="009F1865"/>
    <w:rsid w:val="009F1A1C"/>
    <w:rsid w:val="009F1C24"/>
    <w:rsid w:val="009F2018"/>
    <w:rsid w:val="009F22FD"/>
    <w:rsid w:val="009F2D46"/>
    <w:rsid w:val="009F2F1C"/>
    <w:rsid w:val="009F348C"/>
    <w:rsid w:val="009F36F0"/>
    <w:rsid w:val="009F37ED"/>
    <w:rsid w:val="009F3828"/>
    <w:rsid w:val="009F38A2"/>
    <w:rsid w:val="009F42AB"/>
    <w:rsid w:val="009F484A"/>
    <w:rsid w:val="009F5A9B"/>
    <w:rsid w:val="009F5DD3"/>
    <w:rsid w:val="009F62B3"/>
    <w:rsid w:val="009F7654"/>
    <w:rsid w:val="009F78CB"/>
    <w:rsid w:val="009F79DC"/>
    <w:rsid w:val="00A0024F"/>
    <w:rsid w:val="00A00A06"/>
    <w:rsid w:val="00A00E1E"/>
    <w:rsid w:val="00A01D57"/>
    <w:rsid w:val="00A02B3F"/>
    <w:rsid w:val="00A0309C"/>
    <w:rsid w:val="00A04610"/>
    <w:rsid w:val="00A047D2"/>
    <w:rsid w:val="00A04CB2"/>
    <w:rsid w:val="00A04F7B"/>
    <w:rsid w:val="00A0599B"/>
    <w:rsid w:val="00A064F1"/>
    <w:rsid w:val="00A06AD9"/>
    <w:rsid w:val="00A06F2D"/>
    <w:rsid w:val="00A07675"/>
    <w:rsid w:val="00A114AB"/>
    <w:rsid w:val="00A115A0"/>
    <w:rsid w:val="00A1174D"/>
    <w:rsid w:val="00A11C1C"/>
    <w:rsid w:val="00A13033"/>
    <w:rsid w:val="00A13CFD"/>
    <w:rsid w:val="00A13DDE"/>
    <w:rsid w:val="00A13EA3"/>
    <w:rsid w:val="00A14107"/>
    <w:rsid w:val="00A165F4"/>
    <w:rsid w:val="00A165FF"/>
    <w:rsid w:val="00A1678F"/>
    <w:rsid w:val="00A17A88"/>
    <w:rsid w:val="00A20DBC"/>
    <w:rsid w:val="00A21830"/>
    <w:rsid w:val="00A21916"/>
    <w:rsid w:val="00A21DE6"/>
    <w:rsid w:val="00A21E0A"/>
    <w:rsid w:val="00A22156"/>
    <w:rsid w:val="00A22B67"/>
    <w:rsid w:val="00A23ABA"/>
    <w:rsid w:val="00A23FE4"/>
    <w:rsid w:val="00A240F0"/>
    <w:rsid w:val="00A248EE"/>
    <w:rsid w:val="00A263FF"/>
    <w:rsid w:val="00A26A98"/>
    <w:rsid w:val="00A2742B"/>
    <w:rsid w:val="00A30774"/>
    <w:rsid w:val="00A319F0"/>
    <w:rsid w:val="00A3220D"/>
    <w:rsid w:val="00A32A6E"/>
    <w:rsid w:val="00A32A8E"/>
    <w:rsid w:val="00A32EDC"/>
    <w:rsid w:val="00A3307F"/>
    <w:rsid w:val="00A354BA"/>
    <w:rsid w:val="00A35817"/>
    <w:rsid w:val="00A35E96"/>
    <w:rsid w:val="00A36334"/>
    <w:rsid w:val="00A36C54"/>
    <w:rsid w:val="00A37466"/>
    <w:rsid w:val="00A37660"/>
    <w:rsid w:val="00A40ABB"/>
    <w:rsid w:val="00A40CC4"/>
    <w:rsid w:val="00A40DDB"/>
    <w:rsid w:val="00A40E39"/>
    <w:rsid w:val="00A410CD"/>
    <w:rsid w:val="00A4115F"/>
    <w:rsid w:val="00A413F3"/>
    <w:rsid w:val="00A41431"/>
    <w:rsid w:val="00A42936"/>
    <w:rsid w:val="00A42C70"/>
    <w:rsid w:val="00A42D35"/>
    <w:rsid w:val="00A4301D"/>
    <w:rsid w:val="00A436CE"/>
    <w:rsid w:val="00A44234"/>
    <w:rsid w:val="00A4462D"/>
    <w:rsid w:val="00A44EFB"/>
    <w:rsid w:val="00A4573D"/>
    <w:rsid w:val="00A45A13"/>
    <w:rsid w:val="00A45F7B"/>
    <w:rsid w:val="00A46995"/>
    <w:rsid w:val="00A47B69"/>
    <w:rsid w:val="00A47CA4"/>
    <w:rsid w:val="00A502B4"/>
    <w:rsid w:val="00A5041A"/>
    <w:rsid w:val="00A51997"/>
    <w:rsid w:val="00A51D31"/>
    <w:rsid w:val="00A51FF5"/>
    <w:rsid w:val="00A521D9"/>
    <w:rsid w:val="00A523FB"/>
    <w:rsid w:val="00A52452"/>
    <w:rsid w:val="00A526CB"/>
    <w:rsid w:val="00A527C8"/>
    <w:rsid w:val="00A52809"/>
    <w:rsid w:val="00A52C01"/>
    <w:rsid w:val="00A5484A"/>
    <w:rsid w:val="00A55391"/>
    <w:rsid w:val="00A5575C"/>
    <w:rsid w:val="00A559BD"/>
    <w:rsid w:val="00A55AC8"/>
    <w:rsid w:val="00A5667F"/>
    <w:rsid w:val="00A56A8A"/>
    <w:rsid w:val="00A60292"/>
    <w:rsid w:val="00A6038D"/>
    <w:rsid w:val="00A6099D"/>
    <w:rsid w:val="00A60F87"/>
    <w:rsid w:val="00A611AC"/>
    <w:rsid w:val="00A6128D"/>
    <w:rsid w:val="00A617BD"/>
    <w:rsid w:val="00A61FE2"/>
    <w:rsid w:val="00A6243A"/>
    <w:rsid w:val="00A62794"/>
    <w:rsid w:val="00A63318"/>
    <w:rsid w:val="00A6351C"/>
    <w:rsid w:val="00A653F6"/>
    <w:rsid w:val="00A65678"/>
    <w:rsid w:val="00A65A8F"/>
    <w:rsid w:val="00A6619B"/>
    <w:rsid w:val="00A662E7"/>
    <w:rsid w:val="00A66565"/>
    <w:rsid w:val="00A66A44"/>
    <w:rsid w:val="00A67C30"/>
    <w:rsid w:val="00A709B8"/>
    <w:rsid w:val="00A70DD1"/>
    <w:rsid w:val="00A70DE8"/>
    <w:rsid w:val="00A716CA"/>
    <w:rsid w:val="00A719E9"/>
    <w:rsid w:val="00A72306"/>
    <w:rsid w:val="00A72C20"/>
    <w:rsid w:val="00A73662"/>
    <w:rsid w:val="00A7397B"/>
    <w:rsid w:val="00A73F42"/>
    <w:rsid w:val="00A7452C"/>
    <w:rsid w:val="00A74B53"/>
    <w:rsid w:val="00A74CB3"/>
    <w:rsid w:val="00A74EEC"/>
    <w:rsid w:val="00A75560"/>
    <w:rsid w:val="00A75954"/>
    <w:rsid w:val="00A7599C"/>
    <w:rsid w:val="00A75D1F"/>
    <w:rsid w:val="00A75FEE"/>
    <w:rsid w:val="00A7679C"/>
    <w:rsid w:val="00A767B9"/>
    <w:rsid w:val="00A77109"/>
    <w:rsid w:val="00A77227"/>
    <w:rsid w:val="00A77A83"/>
    <w:rsid w:val="00A80209"/>
    <w:rsid w:val="00A81299"/>
    <w:rsid w:val="00A82227"/>
    <w:rsid w:val="00A822DD"/>
    <w:rsid w:val="00A82B50"/>
    <w:rsid w:val="00A83137"/>
    <w:rsid w:val="00A838E8"/>
    <w:rsid w:val="00A847E1"/>
    <w:rsid w:val="00A85C20"/>
    <w:rsid w:val="00A85ED1"/>
    <w:rsid w:val="00A86058"/>
    <w:rsid w:val="00A86985"/>
    <w:rsid w:val="00A903F6"/>
    <w:rsid w:val="00A906FE"/>
    <w:rsid w:val="00A90BD5"/>
    <w:rsid w:val="00A90CA0"/>
    <w:rsid w:val="00A90F41"/>
    <w:rsid w:val="00A91475"/>
    <w:rsid w:val="00A91FDB"/>
    <w:rsid w:val="00A923A1"/>
    <w:rsid w:val="00A92D54"/>
    <w:rsid w:val="00A9393D"/>
    <w:rsid w:val="00A94284"/>
    <w:rsid w:val="00A943B2"/>
    <w:rsid w:val="00A94B3D"/>
    <w:rsid w:val="00A95645"/>
    <w:rsid w:val="00A95A36"/>
    <w:rsid w:val="00A95AA6"/>
    <w:rsid w:val="00A95D45"/>
    <w:rsid w:val="00A9602E"/>
    <w:rsid w:val="00A965CC"/>
    <w:rsid w:val="00A9732A"/>
    <w:rsid w:val="00A975AC"/>
    <w:rsid w:val="00A97A2A"/>
    <w:rsid w:val="00AA0222"/>
    <w:rsid w:val="00AA02CD"/>
    <w:rsid w:val="00AA0655"/>
    <w:rsid w:val="00AA0B7E"/>
    <w:rsid w:val="00AA1466"/>
    <w:rsid w:val="00AA2254"/>
    <w:rsid w:val="00AA3CD8"/>
    <w:rsid w:val="00AA416B"/>
    <w:rsid w:val="00AA439A"/>
    <w:rsid w:val="00AA43CE"/>
    <w:rsid w:val="00AA4BB9"/>
    <w:rsid w:val="00AA573D"/>
    <w:rsid w:val="00AA5A43"/>
    <w:rsid w:val="00AA5EE6"/>
    <w:rsid w:val="00AA5FB1"/>
    <w:rsid w:val="00AA6A22"/>
    <w:rsid w:val="00AA7434"/>
    <w:rsid w:val="00AA78BA"/>
    <w:rsid w:val="00AB00CF"/>
    <w:rsid w:val="00AB04F5"/>
    <w:rsid w:val="00AB0677"/>
    <w:rsid w:val="00AB0680"/>
    <w:rsid w:val="00AB0743"/>
    <w:rsid w:val="00AB07A4"/>
    <w:rsid w:val="00AB0B92"/>
    <w:rsid w:val="00AB1811"/>
    <w:rsid w:val="00AB181B"/>
    <w:rsid w:val="00AB2E64"/>
    <w:rsid w:val="00AB3AD7"/>
    <w:rsid w:val="00AB4D75"/>
    <w:rsid w:val="00AB4EB3"/>
    <w:rsid w:val="00AB4F04"/>
    <w:rsid w:val="00AB5EF5"/>
    <w:rsid w:val="00AB7EAA"/>
    <w:rsid w:val="00AC1668"/>
    <w:rsid w:val="00AC2028"/>
    <w:rsid w:val="00AC20F6"/>
    <w:rsid w:val="00AC215F"/>
    <w:rsid w:val="00AC2E1D"/>
    <w:rsid w:val="00AC3B69"/>
    <w:rsid w:val="00AC3C00"/>
    <w:rsid w:val="00AC3E58"/>
    <w:rsid w:val="00AC41D0"/>
    <w:rsid w:val="00AC4931"/>
    <w:rsid w:val="00AC4EAD"/>
    <w:rsid w:val="00AC5312"/>
    <w:rsid w:val="00AC591F"/>
    <w:rsid w:val="00AC5998"/>
    <w:rsid w:val="00AC6720"/>
    <w:rsid w:val="00AC7ECD"/>
    <w:rsid w:val="00AD0766"/>
    <w:rsid w:val="00AD083F"/>
    <w:rsid w:val="00AD0AC3"/>
    <w:rsid w:val="00AD0AE1"/>
    <w:rsid w:val="00AD0BF9"/>
    <w:rsid w:val="00AD11E9"/>
    <w:rsid w:val="00AD184A"/>
    <w:rsid w:val="00AD1FCC"/>
    <w:rsid w:val="00AD2170"/>
    <w:rsid w:val="00AD275A"/>
    <w:rsid w:val="00AD38AB"/>
    <w:rsid w:val="00AD3D6D"/>
    <w:rsid w:val="00AD3FF4"/>
    <w:rsid w:val="00AD6230"/>
    <w:rsid w:val="00AD6F00"/>
    <w:rsid w:val="00AD7B12"/>
    <w:rsid w:val="00AD7F00"/>
    <w:rsid w:val="00AE04E7"/>
    <w:rsid w:val="00AE0559"/>
    <w:rsid w:val="00AE072C"/>
    <w:rsid w:val="00AE0D97"/>
    <w:rsid w:val="00AE1387"/>
    <w:rsid w:val="00AE1811"/>
    <w:rsid w:val="00AE218F"/>
    <w:rsid w:val="00AE22BA"/>
    <w:rsid w:val="00AE25DD"/>
    <w:rsid w:val="00AE2ED3"/>
    <w:rsid w:val="00AE34C7"/>
    <w:rsid w:val="00AE3B5F"/>
    <w:rsid w:val="00AE3CFD"/>
    <w:rsid w:val="00AE5328"/>
    <w:rsid w:val="00AE55D2"/>
    <w:rsid w:val="00AE5BDD"/>
    <w:rsid w:val="00AE6F6A"/>
    <w:rsid w:val="00AE7106"/>
    <w:rsid w:val="00AE7E2B"/>
    <w:rsid w:val="00AF067D"/>
    <w:rsid w:val="00AF06BF"/>
    <w:rsid w:val="00AF06CB"/>
    <w:rsid w:val="00AF08A7"/>
    <w:rsid w:val="00AF0ACB"/>
    <w:rsid w:val="00AF0AF1"/>
    <w:rsid w:val="00AF12FC"/>
    <w:rsid w:val="00AF134F"/>
    <w:rsid w:val="00AF1B84"/>
    <w:rsid w:val="00AF2355"/>
    <w:rsid w:val="00AF239E"/>
    <w:rsid w:val="00AF269E"/>
    <w:rsid w:val="00AF295E"/>
    <w:rsid w:val="00AF37BE"/>
    <w:rsid w:val="00AF3B38"/>
    <w:rsid w:val="00AF4585"/>
    <w:rsid w:val="00AF4796"/>
    <w:rsid w:val="00AF4D16"/>
    <w:rsid w:val="00AF4F32"/>
    <w:rsid w:val="00AF526B"/>
    <w:rsid w:val="00AF5B4A"/>
    <w:rsid w:val="00AF6215"/>
    <w:rsid w:val="00AF630F"/>
    <w:rsid w:val="00AF66AC"/>
    <w:rsid w:val="00AF6A65"/>
    <w:rsid w:val="00AF6E1C"/>
    <w:rsid w:val="00AF7046"/>
    <w:rsid w:val="00AF714D"/>
    <w:rsid w:val="00AF7374"/>
    <w:rsid w:val="00AF7A84"/>
    <w:rsid w:val="00AF7EF3"/>
    <w:rsid w:val="00B0045D"/>
    <w:rsid w:val="00B005F5"/>
    <w:rsid w:val="00B015C8"/>
    <w:rsid w:val="00B018A6"/>
    <w:rsid w:val="00B026A9"/>
    <w:rsid w:val="00B03428"/>
    <w:rsid w:val="00B035CC"/>
    <w:rsid w:val="00B03F82"/>
    <w:rsid w:val="00B041DD"/>
    <w:rsid w:val="00B044E6"/>
    <w:rsid w:val="00B04DBA"/>
    <w:rsid w:val="00B055D0"/>
    <w:rsid w:val="00B05B9B"/>
    <w:rsid w:val="00B05D9F"/>
    <w:rsid w:val="00B05EC1"/>
    <w:rsid w:val="00B0640C"/>
    <w:rsid w:val="00B06606"/>
    <w:rsid w:val="00B068D9"/>
    <w:rsid w:val="00B06D6B"/>
    <w:rsid w:val="00B06E83"/>
    <w:rsid w:val="00B07296"/>
    <w:rsid w:val="00B0740B"/>
    <w:rsid w:val="00B07796"/>
    <w:rsid w:val="00B07925"/>
    <w:rsid w:val="00B10047"/>
    <w:rsid w:val="00B10181"/>
    <w:rsid w:val="00B103CA"/>
    <w:rsid w:val="00B11EB8"/>
    <w:rsid w:val="00B1317F"/>
    <w:rsid w:val="00B1360C"/>
    <w:rsid w:val="00B14087"/>
    <w:rsid w:val="00B140E6"/>
    <w:rsid w:val="00B14589"/>
    <w:rsid w:val="00B14AEB"/>
    <w:rsid w:val="00B15AD7"/>
    <w:rsid w:val="00B16526"/>
    <w:rsid w:val="00B17188"/>
    <w:rsid w:val="00B173E7"/>
    <w:rsid w:val="00B176AC"/>
    <w:rsid w:val="00B17944"/>
    <w:rsid w:val="00B2065C"/>
    <w:rsid w:val="00B2139A"/>
    <w:rsid w:val="00B222AD"/>
    <w:rsid w:val="00B22432"/>
    <w:rsid w:val="00B229D9"/>
    <w:rsid w:val="00B22C08"/>
    <w:rsid w:val="00B23430"/>
    <w:rsid w:val="00B2364A"/>
    <w:rsid w:val="00B23CE0"/>
    <w:rsid w:val="00B23DFA"/>
    <w:rsid w:val="00B241F0"/>
    <w:rsid w:val="00B2622E"/>
    <w:rsid w:val="00B2626E"/>
    <w:rsid w:val="00B26878"/>
    <w:rsid w:val="00B268F6"/>
    <w:rsid w:val="00B26E45"/>
    <w:rsid w:val="00B317E7"/>
    <w:rsid w:val="00B31DA7"/>
    <w:rsid w:val="00B32161"/>
    <w:rsid w:val="00B3254F"/>
    <w:rsid w:val="00B3360B"/>
    <w:rsid w:val="00B33F77"/>
    <w:rsid w:val="00B34418"/>
    <w:rsid w:val="00B3452A"/>
    <w:rsid w:val="00B34692"/>
    <w:rsid w:val="00B34F64"/>
    <w:rsid w:val="00B34FF1"/>
    <w:rsid w:val="00B350D7"/>
    <w:rsid w:val="00B35393"/>
    <w:rsid w:val="00B35681"/>
    <w:rsid w:val="00B36B4B"/>
    <w:rsid w:val="00B40133"/>
    <w:rsid w:val="00B40CEF"/>
    <w:rsid w:val="00B41BC4"/>
    <w:rsid w:val="00B41E7E"/>
    <w:rsid w:val="00B420FE"/>
    <w:rsid w:val="00B4257F"/>
    <w:rsid w:val="00B42816"/>
    <w:rsid w:val="00B42E47"/>
    <w:rsid w:val="00B43547"/>
    <w:rsid w:val="00B44886"/>
    <w:rsid w:val="00B44BED"/>
    <w:rsid w:val="00B44D08"/>
    <w:rsid w:val="00B44E61"/>
    <w:rsid w:val="00B45D18"/>
    <w:rsid w:val="00B45E08"/>
    <w:rsid w:val="00B461F7"/>
    <w:rsid w:val="00B46B69"/>
    <w:rsid w:val="00B46D29"/>
    <w:rsid w:val="00B46E70"/>
    <w:rsid w:val="00B47455"/>
    <w:rsid w:val="00B478DA"/>
    <w:rsid w:val="00B50639"/>
    <w:rsid w:val="00B50B2D"/>
    <w:rsid w:val="00B50E32"/>
    <w:rsid w:val="00B517DB"/>
    <w:rsid w:val="00B51B86"/>
    <w:rsid w:val="00B51E8B"/>
    <w:rsid w:val="00B52135"/>
    <w:rsid w:val="00B52241"/>
    <w:rsid w:val="00B522B8"/>
    <w:rsid w:val="00B52FD4"/>
    <w:rsid w:val="00B53061"/>
    <w:rsid w:val="00B5338E"/>
    <w:rsid w:val="00B536C0"/>
    <w:rsid w:val="00B53A62"/>
    <w:rsid w:val="00B5460B"/>
    <w:rsid w:val="00B549F7"/>
    <w:rsid w:val="00B54AF1"/>
    <w:rsid w:val="00B55605"/>
    <w:rsid w:val="00B5561F"/>
    <w:rsid w:val="00B559E1"/>
    <w:rsid w:val="00B55B87"/>
    <w:rsid w:val="00B55D44"/>
    <w:rsid w:val="00B55F0E"/>
    <w:rsid w:val="00B5605F"/>
    <w:rsid w:val="00B572D6"/>
    <w:rsid w:val="00B57722"/>
    <w:rsid w:val="00B57EC8"/>
    <w:rsid w:val="00B60DB8"/>
    <w:rsid w:val="00B614C7"/>
    <w:rsid w:val="00B61538"/>
    <w:rsid w:val="00B621E3"/>
    <w:rsid w:val="00B6252E"/>
    <w:rsid w:val="00B6527B"/>
    <w:rsid w:val="00B659D6"/>
    <w:rsid w:val="00B669E3"/>
    <w:rsid w:val="00B70A7D"/>
    <w:rsid w:val="00B70D68"/>
    <w:rsid w:val="00B70E2C"/>
    <w:rsid w:val="00B7146A"/>
    <w:rsid w:val="00B71AD4"/>
    <w:rsid w:val="00B722F4"/>
    <w:rsid w:val="00B7341C"/>
    <w:rsid w:val="00B738DC"/>
    <w:rsid w:val="00B74425"/>
    <w:rsid w:val="00B74B28"/>
    <w:rsid w:val="00B75735"/>
    <w:rsid w:val="00B75C84"/>
    <w:rsid w:val="00B7607B"/>
    <w:rsid w:val="00B77078"/>
    <w:rsid w:val="00B77712"/>
    <w:rsid w:val="00B80087"/>
    <w:rsid w:val="00B805CF"/>
    <w:rsid w:val="00B816CE"/>
    <w:rsid w:val="00B81A87"/>
    <w:rsid w:val="00B827FF"/>
    <w:rsid w:val="00B83264"/>
    <w:rsid w:val="00B8433B"/>
    <w:rsid w:val="00B8445D"/>
    <w:rsid w:val="00B846E1"/>
    <w:rsid w:val="00B847BA"/>
    <w:rsid w:val="00B84803"/>
    <w:rsid w:val="00B84BE9"/>
    <w:rsid w:val="00B858C6"/>
    <w:rsid w:val="00B85B53"/>
    <w:rsid w:val="00B85F59"/>
    <w:rsid w:val="00B864A9"/>
    <w:rsid w:val="00B8675B"/>
    <w:rsid w:val="00B8693C"/>
    <w:rsid w:val="00B86E62"/>
    <w:rsid w:val="00B87C50"/>
    <w:rsid w:val="00B87EE4"/>
    <w:rsid w:val="00B9000E"/>
    <w:rsid w:val="00B900F6"/>
    <w:rsid w:val="00B9010E"/>
    <w:rsid w:val="00B9061C"/>
    <w:rsid w:val="00B90A67"/>
    <w:rsid w:val="00B90BE2"/>
    <w:rsid w:val="00B90DF2"/>
    <w:rsid w:val="00B910FF"/>
    <w:rsid w:val="00B91FC1"/>
    <w:rsid w:val="00B9220B"/>
    <w:rsid w:val="00B92246"/>
    <w:rsid w:val="00B93340"/>
    <w:rsid w:val="00B93351"/>
    <w:rsid w:val="00B93FAF"/>
    <w:rsid w:val="00B94054"/>
    <w:rsid w:val="00B9414C"/>
    <w:rsid w:val="00B954E9"/>
    <w:rsid w:val="00B956A0"/>
    <w:rsid w:val="00B9614B"/>
    <w:rsid w:val="00B964B2"/>
    <w:rsid w:val="00B966F5"/>
    <w:rsid w:val="00B96AC7"/>
    <w:rsid w:val="00B96DBD"/>
    <w:rsid w:val="00B96F83"/>
    <w:rsid w:val="00B9744A"/>
    <w:rsid w:val="00B97861"/>
    <w:rsid w:val="00B97CBB"/>
    <w:rsid w:val="00BA0125"/>
    <w:rsid w:val="00BA0B98"/>
    <w:rsid w:val="00BA0D89"/>
    <w:rsid w:val="00BA148C"/>
    <w:rsid w:val="00BA3405"/>
    <w:rsid w:val="00BA3FCB"/>
    <w:rsid w:val="00BA46BE"/>
    <w:rsid w:val="00BA493A"/>
    <w:rsid w:val="00BA679D"/>
    <w:rsid w:val="00BA6C89"/>
    <w:rsid w:val="00BA7380"/>
    <w:rsid w:val="00BA74A3"/>
    <w:rsid w:val="00BA7DF9"/>
    <w:rsid w:val="00BB0B39"/>
    <w:rsid w:val="00BB1D5B"/>
    <w:rsid w:val="00BB223E"/>
    <w:rsid w:val="00BB2242"/>
    <w:rsid w:val="00BB2390"/>
    <w:rsid w:val="00BB2577"/>
    <w:rsid w:val="00BB2606"/>
    <w:rsid w:val="00BB5F2B"/>
    <w:rsid w:val="00BB61B7"/>
    <w:rsid w:val="00BB7C1D"/>
    <w:rsid w:val="00BC05F9"/>
    <w:rsid w:val="00BC09E1"/>
    <w:rsid w:val="00BC17A6"/>
    <w:rsid w:val="00BC1CA0"/>
    <w:rsid w:val="00BC2074"/>
    <w:rsid w:val="00BC221A"/>
    <w:rsid w:val="00BC2255"/>
    <w:rsid w:val="00BC2634"/>
    <w:rsid w:val="00BC2A73"/>
    <w:rsid w:val="00BC2D87"/>
    <w:rsid w:val="00BC334B"/>
    <w:rsid w:val="00BC3691"/>
    <w:rsid w:val="00BC41AA"/>
    <w:rsid w:val="00BC4358"/>
    <w:rsid w:val="00BC46FA"/>
    <w:rsid w:val="00BC47DB"/>
    <w:rsid w:val="00BC4B25"/>
    <w:rsid w:val="00BC4BC2"/>
    <w:rsid w:val="00BC5A6D"/>
    <w:rsid w:val="00BC5CFB"/>
    <w:rsid w:val="00BC5FA4"/>
    <w:rsid w:val="00BC622C"/>
    <w:rsid w:val="00BC6A73"/>
    <w:rsid w:val="00BC7478"/>
    <w:rsid w:val="00BC7B0F"/>
    <w:rsid w:val="00BD00A5"/>
    <w:rsid w:val="00BD04E7"/>
    <w:rsid w:val="00BD0813"/>
    <w:rsid w:val="00BD0E57"/>
    <w:rsid w:val="00BD12BC"/>
    <w:rsid w:val="00BD12E4"/>
    <w:rsid w:val="00BD18DB"/>
    <w:rsid w:val="00BD241F"/>
    <w:rsid w:val="00BD34EB"/>
    <w:rsid w:val="00BD3BC3"/>
    <w:rsid w:val="00BD3CD7"/>
    <w:rsid w:val="00BD403D"/>
    <w:rsid w:val="00BD5C05"/>
    <w:rsid w:val="00BD5F31"/>
    <w:rsid w:val="00BD7002"/>
    <w:rsid w:val="00BD72E8"/>
    <w:rsid w:val="00BE114A"/>
    <w:rsid w:val="00BE13C5"/>
    <w:rsid w:val="00BE1FFF"/>
    <w:rsid w:val="00BE2B2A"/>
    <w:rsid w:val="00BE3081"/>
    <w:rsid w:val="00BE3859"/>
    <w:rsid w:val="00BE3C7B"/>
    <w:rsid w:val="00BE3D4B"/>
    <w:rsid w:val="00BE414C"/>
    <w:rsid w:val="00BE4B46"/>
    <w:rsid w:val="00BE5928"/>
    <w:rsid w:val="00BE5C7A"/>
    <w:rsid w:val="00BE61E1"/>
    <w:rsid w:val="00BE6D43"/>
    <w:rsid w:val="00BE7264"/>
    <w:rsid w:val="00BE754A"/>
    <w:rsid w:val="00BF0091"/>
    <w:rsid w:val="00BF06B7"/>
    <w:rsid w:val="00BF1018"/>
    <w:rsid w:val="00BF2919"/>
    <w:rsid w:val="00BF2E42"/>
    <w:rsid w:val="00BF30FC"/>
    <w:rsid w:val="00BF42A8"/>
    <w:rsid w:val="00BF437F"/>
    <w:rsid w:val="00BF59DA"/>
    <w:rsid w:val="00BF62D7"/>
    <w:rsid w:val="00BF6512"/>
    <w:rsid w:val="00BF6C28"/>
    <w:rsid w:val="00BF6E43"/>
    <w:rsid w:val="00C007EC"/>
    <w:rsid w:val="00C008D4"/>
    <w:rsid w:val="00C00ACD"/>
    <w:rsid w:val="00C0146F"/>
    <w:rsid w:val="00C024DA"/>
    <w:rsid w:val="00C0381F"/>
    <w:rsid w:val="00C04215"/>
    <w:rsid w:val="00C0427F"/>
    <w:rsid w:val="00C044EC"/>
    <w:rsid w:val="00C04615"/>
    <w:rsid w:val="00C0462F"/>
    <w:rsid w:val="00C048A1"/>
    <w:rsid w:val="00C04F18"/>
    <w:rsid w:val="00C05449"/>
    <w:rsid w:val="00C058BB"/>
    <w:rsid w:val="00C063B1"/>
    <w:rsid w:val="00C06DF1"/>
    <w:rsid w:val="00C07CB8"/>
    <w:rsid w:val="00C102B5"/>
    <w:rsid w:val="00C10909"/>
    <w:rsid w:val="00C10CAD"/>
    <w:rsid w:val="00C10E22"/>
    <w:rsid w:val="00C10E6C"/>
    <w:rsid w:val="00C1105C"/>
    <w:rsid w:val="00C12192"/>
    <w:rsid w:val="00C128EF"/>
    <w:rsid w:val="00C12E2C"/>
    <w:rsid w:val="00C14296"/>
    <w:rsid w:val="00C148C1"/>
    <w:rsid w:val="00C14A30"/>
    <w:rsid w:val="00C14A6F"/>
    <w:rsid w:val="00C14B76"/>
    <w:rsid w:val="00C15189"/>
    <w:rsid w:val="00C15486"/>
    <w:rsid w:val="00C15669"/>
    <w:rsid w:val="00C16800"/>
    <w:rsid w:val="00C16FCC"/>
    <w:rsid w:val="00C201AB"/>
    <w:rsid w:val="00C20D13"/>
    <w:rsid w:val="00C20E58"/>
    <w:rsid w:val="00C20F4E"/>
    <w:rsid w:val="00C210D9"/>
    <w:rsid w:val="00C21AD2"/>
    <w:rsid w:val="00C21EEE"/>
    <w:rsid w:val="00C21F36"/>
    <w:rsid w:val="00C22CB6"/>
    <w:rsid w:val="00C23138"/>
    <w:rsid w:val="00C23282"/>
    <w:rsid w:val="00C23538"/>
    <w:rsid w:val="00C235CA"/>
    <w:rsid w:val="00C23960"/>
    <w:rsid w:val="00C24254"/>
    <w:rsid w:val="00C245E7"/>
    <w:rsid w:val="00C25CB9"/>
    <w:rsid w:val="00C25CD2"/>
    <w:rsid w:val="00C26595"/>
    <w:rsid w:val="00C2699A"/>
    <w:rsid w:val="00C269D3"/>
    <w:rsid w:val="00C27641"/>
    <w:rsid w:val="00C30D06"/>
    <w:rsid w:val="00C30D2C"/>
    <w:rsid w:val="00C31080"/>
    <w:rsid w:val="00C311A8"/>
    <w:rsid w:val="00C314E9"/>
    <w:rsid w:val="00C3157C"/>
    <w:rsid w:val="00C32081"/>
    <w:rsid w:val="00C320CC"/>
    <w:rsid w:val="00C32414"/>
    <w:rsid w:val="00C32899"/>
    <w:rsid w:val="00C32E7A"/>
    <w:rsid w:val="00C330E3"/>
    <w:rsid w:val="00C333D5"/>
    <w:rsid w:val="00C336EE"/>
    <w:rsid w:val="00C34606"/>
    <w:rsid w:val="00C35577"/>
    <w:rsid w:val="00C35A51"/>
    <w:rsid w:val="00C35C1B"/>
    <w:rsid w:val="00C3605A"/>
    <w:rsid w:val="00C36700"/>
    <w:rsid w:val="00C3680C"/>
    <w:rsid w:val="00C36DBB"/>
    <w:rsid w:val="00C37278"/>
    <w:rsid w:val="00C376BC"/>
    <w:rsid w:val="00C40873"/>
    <w:rsid w:val="00C422BC"/>
    <w:rsid w:val="00C4252A"/>
    <w:rsid w:val="00C42B47"/>
    <w:rsid w:val="00C43D5B"/>
    <w:rsid w:val="00C44BBE"/>
    <w:rsid w:val="00C44E09"/>
    <w:rsid w:val="00C45454"/>
    <w:rsid w:val="00C455D6"/>
    <w:rsid w:val="00C4595C"/>
    <w:rsid w:val="00C45A23"/>
    <w:rsid w:val="00C45DD8"/>
    <w:rsid w:val="00C45E21"/>
    <w:rsid w:val="00C4605C"/>
    <w:rsid w:val="00C469A4"/>
    <w:rsid w:val="00C46B34"/>
    <w:rsid w:val="00C475EB"/>
    <w:rsid w:val="00C47BA5"/>
    <w:rsid w:val="00C47E02"/>
    <w:rsid w:val="00C47E83"/>
    <w:rsid w:val="00C507C3"/>
    <w:rsid w:val="00C513F4"/>
    <w:rsid w:val="00C515B9"/>
    <w:rsid w:val="00C52188"/>
    <w:rsid w:val="00C5279A"/>
    <w:rsid w:val="00C528A6"/>
    <w:rsid w:val="00C52BB0"/>
    <w:rsid w:val="00C53361"/>
    <w:rsid w:val="00C5358D"/>
    <w:rsid w:val="00C53FF1"/>
    <w:rsid w:val="00C54C9A"/>
    <w:rsid w:val="00C55905"/>
    <w:rsid w:val="00C56870"/>
    <w:rsid w:val="00C56AB8"/>
    <w:rsid w:val="00C56D03"/>
    <w:rsid w:val="00C57207"/>
    <w:rsid w:val="00C57BCD"/>
    <w:rsid w:val="00C607F8"/>
    <w:rsid w:val="00C61603"/>
    <w:rsid w:val="00C61FBC"/>
    <w:rsid w:val="00C62468"/>
    <w:rsid w:val="00C62BBB"/>
    <w:rsid w:val="00C6302E"/>
    <w:rsid w:val="00C63056"/>
    <w:rsid w:val="00C6316C"/>
    <w:rsid w:val="00C632ED"/>
    <w:rsid w:val="00C63417"/>
    <w:rsid w:val="00C63684"/>
    <w:rsid w:val="00C63B17"/>
    <w:rsid w:val="00C63B3B"/>
    <w:rsid w:val="00C63D23"/>
    <w:rsid w:val="00C63D67"/>
    <w:rsid w:val="00C63D7C"/>
    <w:rsid w:val="00C6410A"/>
    <w:rsid w:val="00C6452B"/>
    <w:rsid w:val="00C64AD3"/>
    <w:rsid w:val="00C65117"/>
    <w:rsid w:val="00C65460"/>
    <w:rsid w:val="00C65EAF"/>
    <w:rsid w:val="00C66A8B"/>
    <w:rsid w:val="00C66B6F"/>
    <w:rsid w:val="00C7080C"/>
    <w:rsid w:val="00C7094B"/>
    <w:rsid w:val="00C70DA8"/>
    <w:rsid w:val="00C71F34"/>
    <w:rsid w:val="00C72085"/>
    <w:rsid w:val="00C725F8"/>
    <w:rsid w:val="00C72748"/>
    <w:rsid w:val="00C72B82"/>
    <w:rsid w:val="00C72E2A"/>
    <w:rsid w:val="00C731E8"/>
    <w:rsid w:val="00C73A6D"/>
    <w:rsid w:val="00C743D1"/>
    <w:rsid w:val="00C76346"/>
    <w:rsid w:val="00C76392"/>
    <w:rsid w:val="00C76B86"/>
    <w:rsid w:val="00C770B0"/>
    <w:rsid w:val="00C773AF"/>
    <w:rsid w:val="00C77D92"/>
    <w:rsid w:val="00C80108"/>
    <w:rsid w:val="00C802DA"/>
    <w:rsid w:val="00C8038D"/>
    <w:rsid w:val="00C80822"/>
    <w:rsid w:val="00C81E1B"/>
    <w:rsid w:val="00C82760"/>
    <w:rsid w:val="00C829CB"/>
    <w:rsid w:val="00C82C08"/>
    <w:rsid w:val="00C832E2"/>
    <w:rsid w:val="00C83B2F"/>
    <w:rsid w:val="00C83DF8"/>
    <w:rsid w:val="00C84D2F"/>
    <w:rsid w:val="00C84D4D"/>
    <w:rsid w:val="00C85193"/>
    <w:rsid w:val="00C85689"/>
    <w:rsid w:val="00C858CB"/>
    <w:rsid w:val="00C858FA"/>
    <w:rsid w:val="00C85CF3"/>
    <w:rsid w:val="00C8648B"/>
    <w:rsid w:val="00C8699C"/>
    <w:rsid w:val="00C86A37"/>
    <w:rsid w:val="00C87E71"/>
    <w:rsid w:val="00C91131"/>
    <w:rsid w:val="00C91915"/>
    <w:rsid w:val="00C91A81"/>
    <w:rsid w:val="00C91B26"/>
    <w:rsid w:val="00C91C87"/>
    <w:rsid w:val="00C920D4"/>
    <w:rsid w:val="00C921CD"/>
    <w:rsid w:val="00C92EEC"/>
    <w:rsid w:val="00C93A11"/>
    <w:rsid w:val="00C93E57"/>
    <w:rsid w:val="00C9414C"/>
    <w:rsid w:val="00C945DD"/>
    <w:rsid w:val="00C94620"/>
    <w:rsid w:val="00C95885"/>
    <w:rsid w:val="00C96744"/>
    <w:rsid w:val="00C969E1"/>
    <w:rsid w:val="00C971B6"/>
    <w:rsid w:val="00C97704"/>
    <w:rsid w:val="00CA00AB"/>
    <w:rsid w:val="00CA09F4"/>
    <w:rsid w:val="00CA0B97"/>
    <w:rsid w:val="00CA0C13"/>
    <w:rsid w:val="00CA0DC9"/>
    <w:rsid w:val="00CA11BD"/>
    <w:rsid w:val="00CA1D98"/>
    <w:rsid w:val="00CA2B33"/>
    <w:rsid w:val="00CA391F"/>
    <w:rsid w:val="00CA3C9A"/>
    <w:rsid w:val="00CA3DEF"/>
    <w:rsid w:val="00CA43A1"/>
    <w:rsid w:val="00CA4491"/>
    <w:rsid w:val="00CA4E97"/>
    <w:rsid w:val="00CA51E9"/>
    <w:rsid w:val="00CA5249"/>
    <w:rsid w:val="00CA5D70"/>
    <w:rsid w:val="00CA6750"/>
    <w:rsid w:val="00CA756A"/>
    <w:rsid w:val="00CA790B"/>
    <w:rsid w:val="00CA7E92"/>
    <w:rsid w:val="00CB0D48"/>
    <w:rsid w:val="00CB16A1"/>
    <w:rsid w:val="00CB1C1F"/>
    <w:rsid w:val="00CB1DA1"/>
    <w:rsid w:val="00CB22B6"/>
    <w:rsid w:val="00CB2431"/>
    <w:rsid w:val="00CB2DEC"/>
    <w:rsid w:val="00CB39B5"/>
    <w:rsid w:val="00CB41C7"/>
    <w:rsid w:val="00CB4536"/>
    <w:rsid w:val="00CB4A03"/>
    <w:rsid w:val="00CB50AE"/>
    <w:rsid w:val="00CB5164"/>
    <w:rsid w:val="00CB5259"/>
    <w:rsid w:val="00CB59D1"/>
    <w:rsid w:val="00CB6106"/>
    <w:rsid w:val="00CC0853"/>
    <w:rsid w:val="00CC0F54"/>
    <w:rsid w:val="00CC1A4D"/>
    <w:rsid w:val="00CC2010"/>
    <w:rsid w:val="00CC2272"/>
    <w:rsid w:val="00CC2489"/>
    <w:rsid w:val="00CC2561"/>
    <w:rsid w:val="00CC2AD9"/>
    <w:rsid w:val="00CC2ADB"/>
    <w:rsid w:val="00CC3D0D"/>
    <w:rsid w:val="00CC435F"/>
    <w:rsid w:val="00CC53B5"/>
    <w:rsid w:val="00CC6FA2"/>
    <w:rsid w:val="00CC7412"/>
    <w:rsid w:val="00CD05C5"/>
    <w:rsid w:val="00CD0722"/>
    <w:rsid w:val="00CD0C11"/>
    <w:rsid w:val="00CD0FA9"/>
    <w:rsid w:val="00CD10BA"/>
    <w:rsid w:val="00CD1294"/>
    <w:rsid w:val="00CD1AF4"/>
    <w:rsid w:val="00CD1E1C"/>
    <w:rsid w:val="00CD23DC"/>
    <w:rsid w:val="00CD250E"/>
    <w:rsid w:val="00CD2621"/>
    <w:rsid w:val="00CD27C9"/>
    <w:rsid w:val="00CD2A70"/>
    <w:rsid w:val="00CD316F"/>
    <w:rsid w:val="00CD33C4"/>
    <w:rsid w:val="00CD375A"/>
    <w:rsid w:val="00CD37B9"/>
    <w:rsid w:val="00CD40C6"/>
    <w:rsid w:val="00CD4424"/>
    <w:rsid w:val="00CD5730"/>
    <w:rsid w:val="00CD5B9E"/>
    <w:rsid w:val="00CD71F6"/>
    <w:rsid w:val="00CD75A1"/>
    <w:rsid w:val="00CD7745"/>
    <w:rsid w:val="00CD7844"/>
    <w:rsid w:val="00CE000F"/>
    <w:rsid w:val="00CE0646"/>
    <w:rsid w:val="00CE0A59"/>
    <w:rsid w:val="00CE17A5"/>
    <w:rsid w:val="00CE2D99"/>
    <w:rsid w:val="00CE3DAD"/>
    <w:rsid w:val="00CE3ED0"/>
    <w:rsid w:val="00CE44C5"/>
    <w:rsid w:val="00CE4D1E"/>
    <w:rsid w:val="00CE4F13"/>
    <w:rsid w:val="00CE6664"/>
    <w:rsid w:val="00CE6D6D"/>
    <w:rsid w:val="00CE7ADA"/>
    <w:rsid w:val="00CF0053"/>
    <w:rsid w:val="00CF0850"/>
    <w:rsid w:val="00CF0BE6"/>
    <w:rsid w:val="00CF11BF"/>
    <w:rsid w:val="00CF14CE"/>
    <w:rsid w:val="00CF1653"/>
    <w:rsid w:val="00CF1A74"/>
    <w:rsid w:val="00CF1C3C"/>
    <w:rsid w:val="00CF1F0A"/>
    <w:rsid w:val="00CF1F84"/>
    <w:rsid w:val="00CF1FCB"/>
    <w:rsid w:val="00CF27FD"/>
    <w:rsid w:val="00CF4872"/>
    <w:rsid w:val="00CF51C5"/>
    <w:rsid w:val="00CF5336"/>
    <w:rsid w:val="00CF5501"/>
    <w:rsid w:val="00CF561E"/>
    <w:rsid w:val="00CF6520"/>
    <w:rsid w:val="00CF65CD"/>
    <w:rsid w:val="00CF6DBF"/>
    <w:rsid w:val="00CF6F17"/>
    <w:rsid w:val="00CF7499"/>
    <w:rsid w:val="00CF7599"/>
    <w:rsid w:val="00CF78A6"/>
    <w:rsid w:val="00CF7B71"/>
    <w:rsid w:val="00D0007A"/>
    <w:rsid w:val="00D00707"/>
    <w:rsid w:val="00D00929"/>
    <w:rsid w:val="00D01516"/>
    <w:rsid w:val="00D01693"/>
    <w:rsid w:val="00D0239B"/>
    <w:rsid w:val="00D0288E"/>
    <w:rsid w:val="00D0292C"/>
    <w:rsid w:val="00D0319F"/>
    <w:rsid w:val="00D031BC"/>
    <w:rsid w:val="00D0366F"/>
    <w:rsid w:val="00D03BD7"/>
    <w:rsid w:val="00D03DCA"/>
    <w:rsid w:val="00D044DD"/>
    <w:rsid w:val="00D0474E"/>
    <w:rsid w:val="00D04BE7"/>
    <w:rsid w:val="00D051DE"/>
    <w:rsid w:val="00D057F8"/>
    <w:rsid w:val="00D06721"/>
    <w:rsid w:val="00D06C3E"/>
    <w:rsid w:val="00D072AF"/>
    <w:rsid w:val="00D07AC0"/>
    <w:rsid w:val="00D1044D"/>
    <w:rsid w:val="00D10484"/>
    <w:rsid w:val="00D105D7"/>
    <w:rsid w:val="00D1090C"/>
    <w:rsid w:val="00D110AD"/>
    <w:rsid w:val="00D11503"/>
    <w:rsid w:val="00D11F3A"/>
    <w:rsid w:val="00D133B2"/>
    <w:rsid w:val="00D13D0E"/>
    <w:rsid w:val="00D14796"/>
    <w:rsid w:val="00D14801"/>
    <w:rsid w:val="00D14849"/>
    <w:rsid w:val="00D14B27"/>
    <w:rsid w:val="00D15189"/>
    <w:rsid w:val="00D152ED"/>
    <w:rsid w:val="00D15527"/>
    <w:rsid w:val="00D15ADD"/>
    <w:rsid w:val="00D15BD6"/>
    <w:rsid w:val="00D1613E"/>
    <w:rsid w:val="00D161D5"/>
    <w:rsid w:val="00D168C7"/>
    <w:rsid w:val="00D16D7D"/>
    <w:rsid w:val="00D17591"/>
    <w:rsid w:val="00D17ACB"/>
    <w:rsid w:val="00D17BB9"/>
    <w:rsid w:val="00D17F8C"/>
    <w:rsid w:val="00D20077"/>
    <w:rsid w:val="00D2045B"/>
    <w:rsid w:val="00D205AC"/>
    <w:rsid w:val="00D206B4"/>
    <w:rsid w:val="00D2101A"/>
    <w:rsid w:val="00D21126"/>
    <w:rsid w:val="00D21419"/>
    <w:rsid w:val="00D21CBE"/>
    <w:rsid w:val="00D228C4"/>
    <w:rsid w:val="00D23445"/>
    <w:rsid w:val="00D23642"/>
    <w:rsid w:val="00D23991"/>
    <w:rsid w:val="00D23ABB"/>
    <w:rsid w:val="00D23EEA"/>
    <w:rsid w:val="00D23FE2"/>
    <w:rsid w:val="00D24566"/>
    <w:rsid w:val="00D2470A"/>
    <w:rsid w:val="00D24D7D"/>
    <w:rsid w:val="00D251EE"/>
    <w:rsid w:val="00D265F0"/>
    <w:rsid w:val="00D26EB7"/>
    <w:rsid w:val="00D27969"/>
    <w:rsid w:val="00D308D9"/>
    <w:rsid w:val="00D30DD9"/>
    <w:rsid w:val="00D313B4"/>
    <w:rsid w:val="00D31981"/>
    <w:rsid w:val="00D31BA4"/>
    <w:rsid w:val="00D31F57"/>
    <w:rsid w:val="00D31F6D"/>
    <w:rsid w:val="00D32D7A"/>
    <w:rsid w:val="00D349D1"/>
    <w:rsid w:val="00D34ABF"/>
    <w:rsid w:val="00D34ADE"/>
    <w:rsid w:val="00D354C6"/>
    <w:rsid w:val="00D35BAC"/>
    <w:rsid w:val="00D36E4C"/>
    <w:rsid w:val="00D37174"/>
    <w:rsid w:val="00D37635"/>
    <w:rsid w:val="00D37A62"/>
    <w:rsid w:val="00D37AED"/>
    <w:rsid w:val="00D405CA"/>
    <w:rsid w:val="00D408D4"/>
    <w:rsid w:val="00D41438"/>
    <w:rsid w:val="00D4229E"/>
    <w:rsid w:val="00D42A7B"/>
    <w:rsid w:val="00D44369"/>
    <w:rsid w:val="00D44E70"/>
    <w:rsid w:val="00D44ED3"/>
    <w:rsid w:val="00D4518A"/>
    <w:rsid w:val="00D4671D"/>
    <w:rsid w:val="00D46B85"/>
    <w:rsid w:val="00D474BF"/>
    <w:rsid w:val="00D47B53"/>
    <w:rsid w:val="00D50D19"/>
    <w:rsid w:val="00D51267"/>
    <w:rsid w:val="00D51D36"/>
    <w:rsid w:val="00D521F9"/>
    <w:rsid w:val="00D5513A"/>
    <w:rsid w:val="00D569B9"/>
    <w:rsid w:val="00D56CC7"/>
    <w:rsid w:val="00D572EB"/>
    <w:rsid w:val="00D605EC"/>
    <w:rsid w:val="00D611BC"/>
    <w:rsid w:val="00D611F0"/>
    <w:rsid w:val="00D611FF"/>
    <w:rsid w:val="00D61F41"/>
    <w:rsid w:val="00D61FD7"/>
    <w:rsid w:val="00D62C77"/>
    <w:rsid w:val="00D62DA7"/>
    <w:rsid w:val="00D63018"/>
    <w:rsid w:val="00D631AD"/>
    <w:rsid w:val="00D63C58"/>
    <w:rsid w:val="00D649C0"/>
    <w:rsid w:val="00D6520C"/>
    <w:rsid w:val="00D652E6"/>
    <w:rsid w:val="00D6594C"/>
    <w:rsid w:val="00D659F4"/>
    <w:rsid w:val="00D65F46"/>
    <w:rsid w:val="00D66AEC"/>
    <w:rsid w:val="00D66C0A"/>
    <w:rsid w:val="00D672DC"/>
    <w:rsid w:val="00D679DE"/>
    <w:rsid w:val="00D67A6A"/>
    <w:rsid w:val="00D67B46"/>
    <w:rsid w:val="00D67E6A"/>
    <w:rsid w:val="00D7058D"/>
    <w:rsid w:val="00D7081E"/>
    <w:rsid w:val="00D709DE"/>
    <w:rsid w:val="00D71CD7"/>
    <w:rsid w:val="00D71F91"/>
    <w:rsid w:val="00D726E8"/>
    <w:rsid w:val="00D72B16"/>
    <w:rsid w:val="00D72E98"/>
    <w:rsid w:val="00D7343C"/>
    <w:rsid w:val="00D743B6"/>
    <w:rsid w:val="00D745DD"/>
    <w:rsid w:val="00D74957"/>
    <w:rsid w:val="00D755BB"/>
    <w:rsid w:val="00D75AAE"/>
    <w:rsid w:val="00D76DBE"/>
    <w:rsid w:val="00D77459"/>
    <w:rsid w:val="00D77F94"/>
    <w:rsid w:val="00D80059"/>
    <w:rsid w:val="00D80707"/>
    <w:rsid w:val="00D80A5E"/>
    <w:rsid w:val="00D8147D"/>
    <w:rsid w:val="00D818C3"/>
    <w:rsid w:val="00D81B3B"/>
    <w:rsid w:val="00D82609"/>
    <w:rsid w:val="00D82B68"/>
    <w:rsid w:val="00D8353C"/>
    <w:rsid w:val="00D84113"/>
    <w:rsid w:val="00D84690"/>
    <w:rsid w:val="00D84AAC"/>
    <w:rsid w:val="00D8561C"/>
    <w:rsid w:val="00D8565B"/>
    <w:rsid w:val="00D8585F"/>
    <w:rsid w:val="00D85AD4"/>
    <w:rsid w:val="00D85CB0"/>
    <w:rsid w:val="00D86132"/>
    <w:rsid w:val="00D863B1"/>
    <w:rsid w:val="00D86431"/>
    <w:rsid w:val="00D864B7"/>
    <w:rsid w:val="00D86514"/>
    <w:rsid w:val="00D86B1A"/>
    <w:rsid w:val="00D86E43"/>
    <w:rsid w:val="00D87D6D"/>
    <w:rsid w:val="00D87E8E"/>
    <w:rsid w:val="00D911DB"/>
    <w:rsid w:val="00D91FA3"/>
    <w:rsid w:val="00D9224E"/>
    <w:rsid w:val="00D92C15"/>
    <w:rsid w:val="00D92D4F"/>
    <w:rsid w:val="00D92DC5"/>
    <w:rsid w:val="00D92E2E"/>
    <w:rsid w:val="00D94F12"/>
    <w:rsid w:val="00D956C0"/>
    <w:rsid w:val="00D96169"/>
    <w:rsid w:val="00D96426"/>
    <w:rsid w:val="00D9671E"/>
    <w:rsid w:val="00D974CA"/>
    <w:rsid w:val="00D974FD"/>
    <w:rsid w:val="00DA0455"/>
    <w:rsid w:val="00DA0AE4"/>
    <w:rsid w:val="00DA0F9B"/>
    <w:rsid w:val="00DA1846"/>
    <w:rsid w:val="00DA1A87"/>
    <w:rsid w:val="00DA1F40"/>
    <w:rsid w:val="00DA26AF"/>
    <w:rsid w:val="00DA2E1A"/>
    <w:rsid w:val="00DA33DA"/>
    <w:rsid w:val="00DA38CB"/>
    <w:rsid w:val="00DA3D6B"/>
    <w:rsid w:val="00DA4666"/>
    <w:rsid w:val="00DA4DCC"/>
    <w:rsid w:val="00DA4ED0"/>
    <w:rsid w:val="00DA50D7"/>
    <w:rsid w:val="00DA5227"/>
    <w:rsid w:val="00DA55BE"/>
    <w:rsid w:val="00DA5F3A"/>
    <w:rsid w:val="00DA6157"/>
    <w:rsid w:val="00DA631D"/>
    <w:rsid w:val="00DA7291"/>
    <w:rsid w:val="00DA7E64"/>
    <w:rsid w:val="00DB0025"/>
    <w:rsid w:val="00DB079F"/>
    <w:rsid w:val="00DB185F"/>
    <w:rsid w:val="00DB1873"/>
    <w:rsid w:val="00DB1E02"/>
    <w:rsid w:val="00DB2075"/>
    <w:rsid w:val="00DB230A"/>
    <w:rsid w:val="00DB2DB5"/>
    <w:rsid w:val="00DB3271"/>
    <w:rsid w:val="00DB32E3"/>
    <w:rsid w:val="00DB3325"/>
    <w:rsid w:val="00DB356A"/>
    <w:rsid w:val="00DB3B83"/>
    <w:rsid w:val="00DB405A"/>
    <w:rsid w:val="00DB525D"/>
    <w:rsid w:val="00DB55B9"/>
    <w:rsid w:val="00DB59C5"/>
    <w:rsid w:val="00DB5D30"/>
    <w:rsid w:val="00DB68E1"/>
    <w:rsid w:val="00DB6971"/>
    <w:rsid w:val="00DB6D7C"/>
    <w:rsid w:val="00DB6DD7"/>
    <w:rsid w:val="00DB6EE5"/>
    <w:rsid w:val="00DC1918"/>
    <w:rsid w:val="00DC20D5"/>
    <w:rsid w:val="00DC2413"/>
    <w:rsid w:val="00DC3B91"/>
    <w:rsid w:val="00DC3B95"/>
    <w:rsid w:val="00DC3CE7"/>
    <w:rsid w:val="00DC431C"/>
    <w:rsid w:val="00DC459F"/>
    <w:rsid w:val="00DC4729"/>
    <w:rsid w:val="00DC4A88"/>
    <w:rsid w:val="00DC4BE0"/>
    <w:rsid w:val="00DC5248"/>
    <w:rsid w:val="00DC55C0"/>
    <w:rsid w:val="00DC5857"/>
    <w:rsid w:val="00DC5B6E"/>
    <w:rsid w:val="00DC61C6"/>
    <w:rsid w:val="00DC6B15"/>
    <w:rsid w:val="00DC7268"/>
    <w:rsid w:val="00DC732E"/>
    <w:rsid w:val="00DC739A"/>
    <w:rsid w:val="00DC74AC"/>
    <w:rsid w:val="00DC775D"/>
    <w:rsid w:val="00DD1760"/>
    <w:rsid w:val="00DD1D7D"/>
    <w:rsid w:val="00DD1F06"/>
    <w:rsid w:val="00DD21A7"/>
    <w:rsid w:val="00DD224C"/>
    <w:rsid w:val="00DD29CF"/>
    <w:rsid w:val="00DD29DC"/>
    <w:rsid w:val="00DD30C0"/>
    <w:rsid w:val="00DD347B"/>
    <w:rsid w:val="00DD45C0"/>
    <w:rsid w:val="00DD4877"/>
    <w:rsid w:val="00DD4BAF"/>
    <w:rsid w:val="00DD4E93"/>
    <w:rsid w:val="00DD4F5E"/>
    <w:rsid w:val="00DD518B"/>
    <w:rsid w:val="00DD5BA5"/>
    <w:rsid w:val="00DD5BBB"/>
    <w:rsid w:val="00DD6798"/>
    <w:rsid w:val="00DD6CCB"/>
    <w:rsid w:val="00DD7C5D"/>
    <w:rsid w:val="00DD7DE9"/>
    <w:rsid w:val="00DD7E08"/>
    <w:rsid w:val="00DE007A"/>
    <w:rsid w:val="00DE09D9"/>
    <w:rsid w:val="00DE14A9"/>
    <w:rsid w:val="00DE15BD"/>
    <w:rsid w:val="00DE1C54"/>
    <w:rsid w:val="00DE1FE6"/>
    <w:rsid w:val="00DE2633"/>
    <w:rsid w:val="00DE265F"/>
    <w:rsid w:val="00DE2D79"/>
    <w:rsid w:val="00DE30A8"/>
    <w:rsid w:val="00DE3A1A"/>
    <w:rsid w:val="00DE3A61"/>
    <w:rsid w:val="00DE4063"/>
    <w:rsid w:val="00DE4591"/>
    <w:rsid w:val="00DE4B6F"/>
    <w:rsid w:val="00DE58F6"/>
    <w:rsid w:val="00DE63F9"/>
    <w:rsid w:val="00DF0894"/>
    <w:rsid w:val="00DF107E"/>
    <w:rsid w:val="00DF11AC"/>
    <w:rsid w:val="00DF173A"/>
    <w:rsid w:val="00DF1A83"/>
    <w:rsid w:val="00DF238C"/>
    <w:rsid w:val="00DF23B4"/>
    <w:rsid w:val="00DF254E"/>
    <w:rsid w:val="00DF2B64"/>
    <w:rsid w:val="00DF2E7A"/>
    <w:rsid w:val="00DF3399"/>
    <w:rsid w:val="00DF3A6B"/>
    <w:rsid w:val="00DF4393"/>
    <w:rsid w:val="00DF43AA"/>
    <w:rsid w:val="00DF4969"/>
    <w:rsid w:val="00DF584D"/>
    <w:rsid w:val="00DF58D5"/>
    <w:rsid w:val="00DF5F2D"/>
    <w:rsid w:val="00DF61FD"/>
    <w:rsid w:val="00DF63C6"/>
    <w:rsid w:val="00DF6C2E"/>
    <w:rsid w:val="00DF772C"/>
    <w:rsid w:val="00DF79FA"/>
    <w:rsid w:val="00E00C92"/>
    <w:rsid w:val="00E01178"/>
    <w:rsid w:val="00E021E3"/>
    <w:rsid w:val="00E04447"/>
    <w:rsid w:val="00E04787"/>
    <w:rsid w:val="00E04F79"/>
    <w:rsid w:val="00E050AF"/>
    <w:rsid w:val="00E067D7"/>
    <w:rsid w:val="00E06970"/>
    <w:rsid w:val="00E072A1"/>
    <w:rsid w:val="00E075C7"/>
    <w:rsid w:val="00E076D2"/>
    <w:rsid w:val="00E079CA"/>
    <w:rsid w:val="00E103C3"/>
    <w:rsid w:val="00E10B67"/>
    <w:rsid w:val="00E11091"/>
    <w:rsid w:val="00E1128A"/>
    <w:rsid w:val="00E1167F"/>
    <w:rsid w:val="00E1170A"/>
    <w:rsid w:val="00E11CC9"/>
    <w:rsid w:val="00E11E5C"/>
    <w:rsid w:val="00E11F2E"/>
    <w:rsid w:val="00E125F7"/>
    <w:rsid w:val="00E12A2F"/>
    <w:rsid w:val="00E12C0C"/>
    <w:rsid w:val="00E12F62"/>
    <w:rsid w:val="00E1301E"/>
    <w:rsid w:val="00E13874"/>
    <w:rsid w:val="00E13D87"/>
    <w:rsid w:val="00E144E2"/>
    <w:rsid w:val="00E14929"/>
    <w:rsid w:val="00E14B62"/>
    <w:rsid w:val="00E14C9E"/>
    <w:rsid w:val="00E1582A"/>
    <w:rsid w:val="00E15C66"/>
    <w:rsid w:val="00E15CA5"/>
    <w:rsid w:val="00E15E74"/>
    <w:rsid w:val="00E17312"/>
    <w:rsid w:val="00E200A6"/>
    <w:rsid w:val="00E20A2C"/>
    <w:rsid w:val="00E20AD7"/>
    <w:rsid w:val="00E2123A"/>
    <w:rsid w:val="00E21687"/>
    <w:rsid w:val="00E21B2E"/>
    <w:rsid w:val="00E22258"/>
    <w:rsid w:val="00E2260B"/>
    <w:rsid w:val="00E22720"/>
    <w:rsid w:val="00E22B47"/>
    <w:rsid w:val="00E24AA1"/>
    <w:rsid w:val="00E24EA9"/>
    <w:rsid w:val="00E251B6"/>
    <w:rsid w:val="00E2537F"/>
    <w:rsid w:val="00E26EAF"/>
    <w:rsid w:val="00E27325"/>
    <w:rsid w:val="00E306AA"/>
    <w:rsid w:val="00E313DA"/>
    <w:rsid w:val="00E314AA"/>
    <w:rsid w:val="00E32A95"/>
    <w:rsid w:val="00E32C28"/>
    <w:rsid w:val="00E335A5"/>
    <w:rsid w:val="00E33AFC"/>
    <w:rsid w:val="00E33BE9"/>
    <w:rsid w:val="00E33DC5"/>
    <w:rsid w:val="00E3443E"/>
    <w:rsid w:val="00E34632"/>
    <w:rsid w:val="00E34750"/>
    <w:rsid w:val="00E34923"/>
    <w:rsid w:val="00E34CA5"/>
    <w:rsid w:val="00E3553F"/>
    <w:rsid w:val="00E3581E"/>
    <w:rsid w:val="00E35E89"/>
    <w:rsid w:val="00E361D5"/>
    <w:rsid w:val="00E36862"/>
    <w:rsid w:val="00E37226"/>
    <w:rsid w:val="00E37BD0"/>
    <w:rsid w:val="00E37FF5"/>
    <w:rsid w:val="00E402E0"/>
    <w:rsid w:val="00E40315"/>
    <w:rsid w:val="00E404B4"/>
    <w:rsid w:val="00E404F9"/>
    <w:rsid w:val="00E405AF"/>
    <w:rsid w:val="00E40CE1"/>
    <w:rsid w:val="00E414CC"/>
    <w:rsid w:val="00E42289"/>
    <w:rsid w:val="00E42496"/>
    <w:rsid w:val="00E42700"/>
    <w:rsid w:val="00E42748"/>
    <w:rsid w:val="00E42B5B"/>
    <w:rsid w:val="00E431CC"/>
    <w:rsid w:val="00E4332C"/>
    <w:rsid w:val="00E433E3"/>
    <w:rsid w:val="00E43BBA"/>
    <w:rsid w:val="00E43FDE"/>
    <w:rsid w:val="00E44626"/>
    <w:rsid w:val="00E4491D"/>
    <w:rsid w:val="00E4497B"/>
    <w:rsid w:val="00E45549"/>
    <w:rsid w:val="00E465C7"/>
    <w:rsid w:val="00E467E7"/>
    <w:rsid w:val="00E46AE2"/>
    <w:rsid w:val="00E4718E"/>
    <w:rsid w:val="00E47559"/>
    <w:rsid w:val="00E509B2"/>
    <w:rsid w:val="00E50F60"/>
    <w:rsid w:val="00E514F0"/>
    <w:rsid w:val="00E519DA"/>
    <w:rsid w:val="00E51D06"/>
    <w:rsid w:val="00E51D8A"/>
    <w:rsid w:val="00E521D1"/>
    <w:rsid w:val="00E52E13"/>
    <w:rsid w:val="00E539E7"/>
    <w:rsid w:val="00E540BF"/>
    <w:rsid w:val="00E553D1"/>
    <w:rsid w:val="00E5573F"/>
    <w:rsid w:val="00E559C7"/>
    <w:rsid w:val="00E55BA8"/>
    <w:rsid w:val="00E55CDC"/>
    <w:rsid w:val="00E56B38"/>
    <w:rsid w:val="00E56D2D"/>
    <w:rsid w:val="00E56EE6"/>
    <w:rsid w:val="00E57497"/>
    <w:rsid w:val="00E577B8"/>
    <w:rsid w:val="00E57CAB"/>
    <w:rsid w:val="00E604FF"/>
    <w:rsid w:val="00E606AA"/>
    <w:rsid w:val="00E60C1E"/>
    <w:rsid w:val="00E6141A"/>
    <w:rsid w:val="00E61A01"/>
    <w:rsid w:val="00E6233A"/>
    <w:rsid w:val="00E624B2"/>
    <w:rsid w:val="00E62570"/>
    <w:rsid w:val="00E62E55"/>
    <w:rsid w:val="00E63451"/>
    <w:rsid w:val="00E642B6"/>
    <w:rsid w:val="00E667B2"/>
    <w:rsid w:val="00E66BA4"/>
    <w:rsid w:val="00E66C75"/>
    <w:rsid w:val="00E66F0F"/>
    <w:rsid w:val="00E674FE"/>
    <w:rsid w:val="00E67EE7"/>
    <w:rsid w:val="00E7095D"/>
    <w:rsid w:val="00E70C5E"/>
    <w:rsid w:val="00E7132C"/>
    <w:rsid w:val="00E71F2C"/>
    <w:rsid w:val="00E72FFF"/>
    <w:rsid w:val="00E73F6D"/>
    <w:rsid w:val="00E74B74"/>
    <w:rsid w:val="00E753DA"/>
    <w:rsid w:val="00E75749"/>
    <w:rsid w:val="00E75B45"/>
    <w:rsid w:val="00E75EAB"/>
    <w:rsid w:val="00E7614D"/>
    <w:rsid w:val="00E76731"/>
    <w:rsid w:val="00E76EF2"/>
    <w:rsid w:val="00E77533"/>
    <w:rsid w:val="00E77AA0"/>
    <w:rsid w:val="00E77EDD"/>
    <w:rsid w:val="00E8043A"/>
    <w:rsid w:val="00E80BB1"/>
    <w:rsid w:val="00E80CC5"/>
    <w:rsid w:val="00E811FC"/>
    <w:rsid w:val="00E816EA"/>
    <w:rsid w:val="00E817FB"/>
    <w:rsid w:val="00E81B09"/>
    <w:rsid w:val="00E81CC9"/>
    <w:rsid w:val="00E81E4A"/>
    <w:rsid w:val="00E82249"/>
    <w:rsid w:val="00E825CA"/>
    <w:rsid w:val="00E82ED1"/>
    <w:rsid w:val="00E834E9"/>
    <w:rsid w:val="00E836A5"/>
    <w:rsid w:val="00E84118"/>
    <w:rsid w:val="00E84B8C"/>
    <w:rsid w:val="00E8533A"/>
    <w:rsid w:val="00E85379"/>
    <w:rsid w:val="00E855A1"/>
    <w:rsid w:val="00E8575C"/>
    <w:rsid w:val="00E857E0"/>
    <w:rsid w:val="00E86979"/>
    <w:rsid w:val="00E87128"/>
    <w:rsid w:val="00E87CDA"/>
    <w:rsid w:val="00E90446"/>
    <w:rsid w:val="00E907D5"/>
    <w:rsid w:val="00E909DE"/>
    <w:rsid w:val="00E92EF9"/>
    <w:rsid w:val="00E9306D"/>
    <w:rsid w:val="00E9322A"/>
    <w:rsid w:val="00E95208"/>
    <w:rsid w:val="00E95260"/>
    <w:rsid w:val="00E95700"/>
    <w:rsid w:val="00E9589F"/>
    <w:rsid w:val="00E95956"/>
    <w:rsid w:val="00E9611E"/>
    <w:rsid w:val="00E96A27"/>
    <w:rsid w:val="00E971BC"/>
    <w:rsid w:val="00E97CD8"/>
    <w:rsid w:val="00E97DBE"/>
    <w:rsid w:val="00EA0656"/>
    <w:rsid w:val="00EA0D25"/>
    <w:rsid w:val="00EA1161"/>
    <w:rsid w:val="00EA1411"/>
    <w:rsid w:val="00EA1519"/>
    <w:rsid w:val="00EA1D11"/>
    <w:rsid w:val="00EA1D57"/>
    <w:rsid w:val="00EA2951"/>
    <w:rsid w:val="00EA3214"/>
    <w:rsid w:val="00EA5065"/>
    <w:rsid w:val="00EA58FE"/>
    <w:rsid w:val="00EA7617"/>
    <w:rsid w:val="00EA76B7"/>
    <w:rsid w:val="00EA7749"/>
    <w:rsid w:val="00EA7F5A"/>
    <w:rsid w:val="00EB0407"/>
    <w:rsid w:val="00EB0536"/>
    <w:rsid w:val="00EB0636"/>
    <w:rsid w:val="00EB0A62"/>
    <w:rsid w:val="00EB0F41"/>
    <w:rsid w:val="00EB16E6"/>
    <w:rsid w:val="00EB1BA0"/>
    <w:rsid w:val="00EB215D"/>
    <w:rsid w:val="00EB2587"/>
    <w:rsid w:val="00EB2A92"/>
    <w:rsid w:val="00EB2E15"/>
    <w:rsid w:val="00EB3D09"/>
    <w:rsid w:val="00EB3DF0"/>
    <w:rsid w:val="00EB42A8"/>
    <w:rsid w:val="00EB4708"/>
    <w:rsid w:val="00EB50CC"/>
    <w:rsid w:val="00EB54FD"/>
    <w:rsid w:val="00EB5601"/>
    <w:rsid w:val="00EB6B9C"/>
    <w:rsid w:val="00EB6C5B"/>
    <w:rsid w:val="00EB720F"/>
    <w:rsid w:val="00EB7880"/>
    <w:rsid w:val="00EB79D3"/>
    <w:rsid w:val="00EB7CAE"/>
    <w:rsid w:val="00EC0403"/>
    <w:rsid w:val="00EC0A45"/>
    <w:rsid w:val="00EC0B67"/>
    <w:rsid w:val="00EC1EFD"/>
    <w:rsid w:val="00EC1F7D"/>
    <w:rsid w:val="00EC2B4A"/>
    <w:rsid w:val="00EC3247"/>
    <w:rsid w:val="00EC3873"/>
    <w:rsid w:val="00EC3A60"/>
    <w:rsid w:val="00EC4C41"/>
    <w:rsid w:val="00EC501A"/>
    <w:rsid w:val="00EC5165"/>
    <w:rsid w:val="00EC526F"/>
    <w:rsid w:val="00EC5C01"/>
    <w:rsid w:val="00EC5E63"/>
    <w:rsid w:val="00EC5F12"/>
    <w:rsid w:val="00EC5F47"/>
    <w:rsid w:val="00EC6024"/>
    <w:rsid w:val="00EC63CB"/>
    <w:rsid w:val="00EC7118"/>
    <w:rsid w:val="00EC79AD"/>
    <w:rsid w:val="00ED02E9"/>
    <w:rsid w:val="00ED08A2"/>
    <w:rsid w:val="00ED0909"/>
    <w:rsid w:val="00ED0A75"/>
    <w:rsid w:val="00ED0A91"/>
    <w:rsid w:val="00ED1E22"/>
    <w:rsid w:val="00ED376B"/>
    <w:rsid w:val="00ED3B0D"/>
    <w:rsid w:val="00ED3D1D"/>
    <w:rsid w:val="00ED45E4"/>
    <w:rsid w:val="00ED4ABE"/>
    <w:rsid w:val="00ED65D6"/>
    <w:rsid w:val="00ED6BDA"/>
    <w:rsid w:val="00ED6C5E"/>
    <w:rsid w:val="00EE0841"/>
    <w:rsid w:val="00EE0B79"/>
    <w:rsid w:val="00EE1C2D"/>
    <w:rsid w:val="00EE1D94"/>
    <w:rsid w:val="00EE202F"/>
    <w:rsid w:val="00EE374F"/>
    <w:rsid w:val="00EE3A15"/>
    <w:rsid w:val="00EE40F4"/>
    <w:rsid w:val="00EE4358"/>
    <w:rsid w:val="00EE4AD7"/>
    <w:rsid w:val="00EE4B29"/>
    <w:rsid w:val="00EE4E2D"/>
    <w:rsid w:val="00EE6C49"/>
    <w:rsid w:val="00EE6D03"/>
    <w:rsid w:val="00EE7BB0"/>
    <w:rsid w:val="00EE7EB4"/>
    <w:rsid w:val="00EF0003"/>
    <w:rsid w:val="00EF08E3"/>
    <w:rsid w:val="00EF16E1"/>
    <w:rsid w:val="00EF193A"/>
    <w:rsid w:val="00EF1CB8"/>
    <w:rsid w:val="00EF1F18"/>
    <w:rsid w:val="00EF20B3"/>
    <w:rsid w:val="00EF2516"/>
    <w:rsid w:val="00EF2643"/>
    <w:rsid w:val="00EF2E4D"/>
    <w:rsid w:val="00EF2FD8"/>
    <w:rsid w:val="00EF3427"/>
    <w:rsid w:val="00EF3EFF"/>
    <w:rsid w:val="00EF5074"/>
    <w:rsid w:val="00EF5557"/>
    <w:rsid w:val="00EF5A32"/>
    <w:rsid w:val="00EF5D2C"/>
    <w:rsid w:val="00EF6317"/>
    <w:rsid w:val="00EF670C"/>
    <w:rsid w:val="00EF67FE"/>
    <w:rsid w:val="00EF6E9A"/>
    <w:rsid w:val="00EF6F85"/>
    <w:rsid w:val="00F000EB"/>
    <w:rsid w:val="00F00A93"/>
    <w:rsid w:val="00F011D1"/>
    <w:rsid w:val="00F013CC"/>
    <w:rsid w:val="00F017CC"/>
    <w:rsid w:val="00F01A39"/>
    <w:rsid w:val="00F01C12"/>
    <w:rsid w:val="00F020F8"/>
    <w:rsid w:val="00F02196"/>
    <w:rsid w:val="00F0235D"/>
    <w:rsid w:val="00F0278D"/>
    <w:rsid w:val="00F0360B"/>
    <w:rsid w:val="00F039BF"/>
    <w:rsid w:val="00F04089"/>
    <w:rsid w:val="00F040EE"/>
    <w:rsid w:val="00F0506C"/>
    <w:rsid w:val="00F05209"/>
    <w:rsid w:val="00F05E4D"/>
    <w:rsid w:val="00F05ED5"/>
    <w:rsid w:val="00F06209"/>
    <w:rsid w:val="00F0677D"/>
    <w:rsid w:val="00F07390"/>
    <w:rsid w:val="00F07685"/>
    <w:rsid w:val="00F076A4"/>
    <w:rsid w:val="00F10410"/>
    <w:rsid w:val="00F10924"/>
    <w:rsid w:val="00F10CD2"/>
    <w:rsid w:val="00F11380"/>
    <w:rsid w:val="00F12770"/>
    <w:rsid w:val="00F12A70"/>
    <w:rsid w:val="00F13313"/>
    <w:rsid w:val="00F1337F"/>
    <w:rsid w:val="00F139EF"/>
    <w:rsid w:val="00F14A22"/>
    <w:rsid w:val="00F1548E"/>
    <w:rsid w:val="00F15925"/>
    <w:rsid w:val="00F15CEC"/>
    <w:rsid w:val="00F1613C"/>
    <w:rsid w:val="00F16569"/>
    <w:rsid w:val="00F16B5F"/>
    <w:rsid w:val="00F178DE"/>
    <w:rsid w:val="00F17ACB"/>
    <w:rsid w:val="00F17EF3"/>
    <w:rsid w:val="00F20C0C"/>
    <w:rsid w:val="00F2111A"/>
    <w:rsid w:val="00F2217B"/>
    <w:rsid w:val="00F22802"/>
    <w:rsid w:val="00F23185"/>
    <w:rsid w:val="00F23C6E"/>
    <w:rsid w:val="00F2424E"/>
    <w:rsid w:val="00F2518B"/>
    <w:rsid w:val="00F257A2"/>
    <w:rsid w:val="00F257DB"/>
    <w:rsid w:val="00F25A59"/>
    <w:rsid w:val="00F26C46"/>
    <w:rsid w:val="00F270C2"/>
    <w:rsid w:val="00F2723D"/>
    <w:rsid w:val="00F3013A"/>
    <w:rsid w:val="00F31ECF"/>
    <w:rsid w:val="00F3251E"/>
    <w:rsid w:val="00F32A1E"/>
    <w:rsid w:val="00F32DD9"/>
    <w:rsid w:val="00F32FF4"/>
    <w:rsid w:val="00F3391F"/>
    <w:rsid w:val="00F33A29"/>
    <w:rsid w:val="00F33DBC"/>
    <w:rsid w:val="00F3400A"/>
    <w:rsid w:val="00F34445"/>
    <w:rsid w:val="00F34AF8"/>
    <w:rsid w:val="00F34BA8"/>
    <w:rsid w:val="00F34C53"/>
    <w:rsid w:val="00F3538E"/>
    <w:rsid w:val="00F35E47"/>
    <w:rsid w:val="00F360AD"/>
    <w:rsid w:val="00F36E49"/>
    <w:rsid w:val="00F37642"/>
    <w:rsid w:val="00F402E6"/>
    <w:rsid w:val="00F40749"/>
    <w:rsid w:val="00F40B38"/>
    <w:rsid w:val="00F411D2"/>
    <w:rsid w:val="00F415A6"/>
    <w:rsid w:val="00F420FF"/>
    <w:rsid w:val="00F424A1"/>
    <w:rsid w:val="00F42561"/>
    <w:rsid w:val="00F42918"/>
    <w:rsid w:val="00F42AD0"/>
    <w:rsid w:val="00F42CDE"/>
    <w:rsid w:val="00F42FFE"/>
    <w:rsid w:val="00F43209"/>
    <w:rsid w:val="00F444B7"/>
    <w:rsid w:val="00F44B3E"/>
    <w:rsid w:val="00F45207"/>
    <w:rsid w:val="00F45304"/>
    <w:rsid w:val="00F45D0A"/>
    <w:rsid w:val="00F46635"/>
    <w:rsid w:val="00F46A1F"/>
    <w:rsid w:val="00F46AB9"/>
    <w:rsid w:val="00F46B5A"/>
    <w:rsid w:val="00F46CC7"/>
    <w:rsid w:val="00F47511"/>
    <w:rsid w:val="00F50CFC"/>
    <w:rsid w:val="00F50E71"/>
    <w:rsid w:val="00F512D2"/>
    <w:rsid w:val="00F519E6"/>
    <w:rsid w:val="00F52633"/>
    <w:rsid w:val="00F52743"/>
    <w:rsid w:val="00F52D42"/>
    <w:rsid w:val="00F52FCC"/>
    <w:rsid w:val="00F53632"/>
    <w:rsid w:val="00F53DC4"/>
    <w:rsid w:val="00F53DD8"/>
    <w:rsid w:val="00F55484"/>
    <w:rsid w:val="00F559BC"/>
    <w:rsid w:val="00F55A81"/>
    <w:rsid w:val="00F565E7"/>
    <w:rsid w:val="00F57032"/>
    <w:rsid w:val="00F5714F"/>
    <w:rsid w:val="00F602E1"/>
    <w:rsid w:val="00F60508"/>
    <w:rsid w:val="00F60839"/>
    <w:rsid w:val="00F6104A"/>
    <w:rsid w:val="00F610D0"/>
    <w:rsid w:val="00F61398"/>
    <w:rsid w:val="00F626B7"/>
    <w:rsid w:val="00F63AA5"/>
    <w:rsid w:val="00F640E5"/>
    <w:rsid w:val="00F643B2"/>
    <w:rsid w:val="00F643DB"/>
    <w:rsid w:val="00F64B98"/>
    <w:rsid w:val="00F64DE4"/>
    <w:rsid w:val="00F65292"/>
    <w:rsid w:val="00F65BFF"/>
    <w:rsid w:val="00F65F1C"/>
    <w:rsid w:val="00F66234"/>
    <w:rsid w:val="00F67BE6"/>
    <w:rsid w:val="00F67C2E"/>
    <w:rsid w:val="00F7033A"/>
    <w:rsid w:val="00F73114"/>
    <w:rsid w:val="00F732A6"/>
    <w:rsid w:val="00F7345E"/>
    <w:rsid w:val="00F7361B"/>
    <w:rsid w:val="00F7387B"/>
    <w:rsid w:val="00F749F5"/>
    <w:rsid w:val="00F75CA3"/>
    <w:rsid w:val="00F76488"/>
    <w:rsid w:val="00F766E4"/>
    <w:rsid w:val="00F7681E"/>
    <w:rsid w:val="00F76B77"/>
    <w:rsid w:val="00F77902"/>
    <w:rsid w:val="00F77EB6"/>
    <w:rsid w:val="00F8018E"/>
    <w:rsid w:val="00F80238"/>
    <w:rsid w:val="00F8079F"/>
    <w:rsid w:val="00F8178B"/>
    <w:rsid w:val="00F82C61"/>
    <w:rsid w:val="00F83572"/>
    <w:rsid w:val="00F8357C"/>
    <w:rsid w:val="00F83B7E"/>
    <w:rsid w:val="00F84234"/>
    <w:rsid w:val="00F85AB2"/>
    <w:rsid w:val="00F85E4C"/>
    <w:rsid w:val="00F86215"/>
    <w:rsid w:val="00F86272"/>
    <w:rsid w:val="00F86688"/>
    <w:rsid w:val="00F86808"/>
    <w:rsid w:val="00F8713D"/>
    <w:rsid w:val="00F8751B"/>
    <w:rsid w:val="00F87D64"/>
    <w:rsid w:val="00F87ECD"/>
    <w:rsid w:val="00F90329"/>
    <w:rsid w:val="00F90B68"/>
    <w:rsid w:val="00F910F3"/>
    <w:rsid w:val="00F9165C"/>
    <w:rsid w:val="00F91888"/>
    <w:rsid w:val="00F91A7A"/>
    <w:rsid w:val="00F9304B"/>
    <w:rsid w:val="00F93163"/>
    <w:rsid w:val="00F93551"/>
    <w:rsid w:val="00F947AE"/>
    <w:rsid w:val="00F947B1"/>
    <w:rsid w:val="00F94938"/>
    <w:rsid w:val="00F94EF4"/>
    <w:rsid w:val="00F955E4"/>
    <w:rsid w:val="00F95EAF"/>
    <w:rsid w:val="00F9620A"/>
    <w:rsid w:val="00F96744"/>
    <w:rsid w:val="00F96914"/>
    <w:rsid w:val="00FA05F4"/>
    <w:rsid w:val="00FA0A5E"/>
    <w:rsid w:val="00FA13AD"/>
    <w:rsid w:val="00FA1C4A"/>
    <w:rsid w:val="00FA1C8F"/>
    <w:rsid w:val="00FA1EE6"/>
    <w:rsid w:val="00FA2989"/>
    <w:rsid w:val="00FA2FD8"/>
    <w:rsid w:val="00FA35B4"/>
    <w:rsid w:val="00FA3625"/>
    <w:rsid w:val="00FA3E6A"/>
    <w:rsid w:val="00FA4CD3"/>
    <w:rsid w:val="00FA61F0"/>
    <w:rsid w:val="00FA64DA"/>
    <w:rsid w:val="00FA652A"/>
    <w:rsid w:val="00FA686C"/>
    <w:rsid w:val="00FA7D7E"/>
    <w:rsid w:val="00FB01D8"/>
    <w:rsid w:val="00FB1263"/>
    <w:rsid w:val="00FB1405"/>
    <w:rsid w:val="00FB1CE9"/>
    <w:rsid w:val="00FB2047"/>
    <w:rsid w:val="00FB3877"/>
    <w:rsid w:val="00FB3AFD"/>
    <w:rsid w:val="00FB3FBB"/>
    <w:rsid w:val="00FB405C"/>
    <w:rsid w:val="00FB4239"/>
    <w:rsid w:val="00FB4257"/>
    <w:rsid w:val="00FB4433"/>
    <w:rsid w:val="00FB4518"/>
    <w:rsid w:val="00FB4C0B"/>
    <w:rsid w:val="00FB56DF"/>
    <w:rsid w:val="00FB5AA3"/>
    <w:rsid w:val="00FB5BF5"/>
    <w:rsid w:val="00FB5EDF"/>
    <w:rsid w:val="00FB6C47"/>
    <w:rsid w:val="00FB702E"/>
    <w:rsid w:val="00FB78DA"/>
    <w:rsid w:val="00FB797E"/>
    <w:rsid w:val="00FB7BB6"/>
    <w:rsid w:val="00FB7E2B"/>
    <w:rsid w:val="00FC1563"/>
    <w:rsid w:val="00FC1729"/>
    <w:rsid w:val="00FC1E99"/>
    <w:rsid w:val="00FC21E0"/>
    <w:rsid w:val="00FC21E2"/>
    <w:rsid w:val="00FC24DD"/>
    <w:rsid w:val="00FC2660"/>
    <w:rsid w:val="00FC2995"/>
    <w:rsid w:val="00FC32B7"/>
    <w:rsid w:val="00FC345F"/>
    <w:rsid w:val="00FC3AB7"/>
    <w:rsid w:val="00FC4B72"/>
    <w:rsid w:val="00FC4D89"/>
    <w:rsid w:val="00FC5206"/>
    <w:rsid w:val="00FC52C0"/>
    <w:rsid w:val="00FC5BD2"/>
    <w:rsid w:val="00FC688F"/>
    <w:rsid w:val="00FC694F"/>
    <w:rsid w:val="00FC78BF"/>
    <w:rsid w:val="00FD028C"/>
    <w:rsid w:val="00FD067B"/>
    <w:rsid w:val="00FD0C3A"/>
    <w:rsid w:val="00FD2217"/>
    <w:rsid w:val="00FD2386"/>
    <w:rsid w:val="00FD3181"/>
    <w:rsid w:val="00FD373A"/>
    <w:rsid w:val="00FD4477"/>
    <w:rsid w:val="00FD4FF9"/>
    <w:rsid w:val="00FD5AA1"/>
    <w:rsid w:val="00FD6E54"/>
    <w:rsid w:val="00FD700E"/>
    <w:rsid w:val="00FD71A5"/>
    <w:rsid w:val="00FD71EA"/>
    <w:rsid w:val="00FD7681"/>
    <w:rsid w:val="00FD76CC"/>
    <w:rsid w:val="00FE097C"/>
    <w:rsid w:val="00FE0CF9"/>
    <w:rsid w:val="00FE3188"/>
    <w:rsid w:val="00FE3F4D"/>
    <w:rsid w:val="00FE4261"/>
    <w:rsid w:val="00FE45A9"/>
    <w:rsid w:val="00FE4CBF"/>
    <w:rsid w:val="00FE4FCE"/>
    <w:rsid w:val="00FE5074"/>
    <w:rsid w:val="00FE51EE"/>
    <w:rsid w:val="00FE53CB"/>
    <w:rsid w:val="00FE5649"/>
    <w:rsid w:val="00FE5DBC"/>
    <w:rsid w:val="00FE5E96"/>
    <w:rsid w:val="00FE614F"/>
    <w:rsid w:val="00FE62A6"/>
    <w:rsid w:val="00FE62CD"/>
    <w:rsid w:val="00FE66A5"/>
    <w:rsid w:val="00FE6B08"/>
    <w:rsid w:val="00FE6F31"/>
    <w:rsid w:val="00FE6FDC"/>
    <w:rsid w:val="00FE71D7"/>
    <w:rsid w:val="00FE750D"/>
    <w:rsid w:val="00FE7880"/>
    <w:rsid w:val="00FF014F"/>
    <w:rsid w:val="00FF02F1"/>
    <w:rsid w:val="00FF03D7"/>
    <w:rsid w:val="00FF085E"/>
    <w:rsid w:val="00FF0D52"/>
    <w:rsid w:val="00FF1842"/>
    <w:rsid w:val="00FF1C52"/>
    <w:rsid w:val="00FF2D37"/>
    <w:rsid w:val="00FF2F57"/>
    <w:rsid w:val="00FF3211"/>
    <w:rsid w:val="00FF3E6F"/>
    <w:rsid w:val="00FF414F"/>
    <w:rsid w:val="00FF4987"/>
    <w:rsid w:val="00FF5A02"/>
    <w:rsid w:val="00FF5C68"/>
    <w:rsid w:val="00FF61CD"/>
    <w:rsid w:val="00FF631A"/>
    <w:rsid w:val="00FF6451"/>
    <w:rsid w:val="00FF6943"/>
    <w:rsid w:val="00FF7599"/>
    <w:rsid w:val="00FF793B"/>
    <w:rsid w:val="00FF7D07"/>
    <w:rsid w:val="00FF7E99"/>
    <w:rsid w:val="013BB813"/>
    <w:rsid w:val="07B4403B"/>
    <w:rsid w:val="101DD23B"/>
    <w:rsid w:val="10E22886"/>
    <w:rsid w:val="1AA62E3D"/>
    <w:rsid w:val="35572A11"/>
    <w:rsid w:val="3B4BF884"/>
    <w:rsid w:val="53EDC862"/>
    <w:rsid w:val="5BB93BA1"/>
    <w:rsid w:val="645282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2337A1D1"/>
  <w15:docId w15:val="{894F2ABB-2041-4C30-B0F5-AE77DDA4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933"/>
    <w:pPr>
      <w:spacing w:before="120" w:after="120" w:line="264" w:lineRule="auto"/>
    </w:pPr>
    <w:rPr>
      <w:rFonts w:eastAsia="Calibri"/>
      <w:color w:val="000000"/>
      <w:sz w:val="24"/>
    </w:rPr>
  </w:style>
  <w:style w:type="paragraph" w:styleId="Heading1">
    <w:name w:val="heading 1"/>
    <w:next w:val="BodyText"/>
    <w:link w:val="Heading1Char"/>
    <w:uiPriority w:val="1"/>
    <w:qFormat/>
    <w:rsid w:val="00620FA5"/>
    <w:pPr>
      <w:keepNext/>
      <w:keepLines/>
      <w:numPr>
        <w:numId w:val="13"/>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F749F5"/>
    <w:pPr>
      <w:numPr>
        <w:numId w:val="33"/>
      </w:numPr>
      <w:tabs>
        <w:tab w:val="left" w:pos="397"/>
      </w:tabs>
      <w:spacing w:before="60" w:after="60"/>
      <w:ind w:left="357" w:hanging="357"/>
      <w:jc w:val="left"/>
    </w:pPr>
    <w:rPr>
      <w:szCs w:val="20"/>
    </w:rPr>
  </w:style>
  <w:style w:type="paragraph" w:styleId="ListNumber">
    <w:name w:val="List Number"/>
    <w:basedOn w:val="BodyText"/>
    <w:uiPriority w:val="2"/>
    <w:qFormat/>
    <w:rsid w:val="00D8565B"/>
    <w:pPr>
      <w:numPr>
        <w:numId w:val="1"/>
      </w:numPr>
      <w:tabs>
        <w:tab w:val="left" w:pos="397"/>
      </w:tabs>
    </w:pPr>
  </w:style>
  <w:style w:type="paragraph" w:styleId="ListBullet2">
    <w:name w:val="List Bullet 2"/>
    <w:basedOn w:val="BodyText"/>
    <w:uiPriority w:val="2"/>
    <w:qFormat/>
    <w:rsid w:val="003E6BC7"/>
    <w:pPr>
      <w:numPr>
        <w:numId w:val="35"/>
      </w:numPr>
      <w:ind w:left="714" w:hanging="357"/>
    </w:pPr>
    <w:rPr>
      <w:szCs w:val="20"/>
    </w:r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numId w:val="15"/>
      </w:numPr>
      <w:tabs>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054830"/>
    <w:pPr>
      <w:spacing w:before="60" w:after="60"/>
      <w:jc w:val="both"/>
    </w:pPr>
    <w:rPr>
      <w:rFonts w:asciiTheme="minorHAnsi" w:hAnsiTheme="minorHAnsi" w:cstheme="minorHAnsi"/>
      <w:color w:val="auto"/>
      <w:sz w:val="20"/>
      <w:szCs w:val="20"/>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054830"/>
    <w:pPr>
      <w:jc w:val="left"/>
    </w:pPr>
    <w:rPr>
      <w:b/>
    </w:rPr>
  </w:style>
  <w:style w:type="paragraph" w:customStyle="1" w:styleId="ColumnHeading">
    <w:name w:val="ColumnHeading"/>
    <w:basedOn w:val="TableText"/>
    <w:uiPriority w:val="5"/>
    <w:qFormat/>
    <w:rsid w:val="00C7094B"/>
    <w:pPr>
      <w:spacing w:after="0" w:line="180" w:lineRule="atLeast"/>
      <w:jc w:val="lef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A47B69"/>
    <w:pPr>
      <w:spacing w:before="120" w:after="120" w:line="264" w:lineRule="auto"/>
      <w:jc w:val="both"/>
    </w:pPr>
    <w:rPr>
      <w:rFonts w:eastAsia="Calibri"/>
      <w:color w:val="000000"/>
      <w:sz w:val="24"/>
    </w:rPr>
  </w:style>
  <w:style w:type="character" w:customStyle="1" w:styleId="BodyTextChar">
    <w:name w:val="Body Text Char"/>
    <w:basedOn w:val="DefaultParagraphFont"/>
    <w:link w:val="BodyText"/>
    <w:locked/>
    <w:rsid w:val="00A47B69"/>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tabs>
        <w:tab w:val="num" w:pos="1209"/>
      </w:tabs>
      <w:ind w:left="1209" w:hanging="360"/>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rPr>
      <w:rFonts w:ascii="Arial" w:hAnsi="Arial" w:cs="Arial"/>
      <w:b/>
      <w:bCs/>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List Paragraph1,Recommendation,List Paragraph11,L,bullet point list,0Bullet,Bullet point,Content descriptions,DDM Gen Text,Dot point 1.5 line spacing,List Paragraph - bullets,List Paragraph Number,List Paragraph111,List Paragraph2"/>
    <w:basedOn w:val="Normal"/>
    <w:link w:val="ListParagraphChar"/>
    <w:uiPriority w:val="34"/>
    <w:qFormat/>
    <w:rsid w:val="009C5CA3"/>
    <w:pPr>
      <w:spacing w:before="180"/>
      <w:ind w:left="720"/>
      <w:contextualSpacing/>
    </w:pPr>
    <w:rPr>
      <w:szCs w:val="24"/>
    </w:rPr>
  </w:style>
  <w:style w:type="character" w:styleId="IntenseEmphasis">
    <w:name w:val="Intense Emphasis"/>
    <w:basedOn w:val="DefaultParagraphFont"/>
    <w:uiPriority w:val="21"/>
    <w:qFormat/>
    <w:rsid w:val="00A65678"/>
    <w:rPr>
      <w:b/>
      <w:bCs/>
      <w:i/>
      <w:iCs/>
      <w:color w:val="001D34"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styleId="UnresolvedMention">
    <w:name w:val="Unresolved Mention"/>
    <w:basedOn w:val="DefaultParagraphFont"/>
    <w:uiPriority w:val="99"/>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 w:type="paragraph" w:customStyle="1" w:styleId="Default">
    <w:name w:val="Default"/>
    <w:rsid w:val="005E6933"/>
    <w:pPr>
      <w:autoSpaceDE w:val="0"/>
      <w:autoSpaceDN w:val="0"/>
      <w:adjustRightInd w:val="0"/>
    </w:pPr>
    <w:rPr>
      <w:rFonts w:ascii="Wingdings" w:hAnsi="Wingdings" w:cs="Cambria Math"/>
      <w:color w:val="000000"/>
      <w:sz w:val="24"/>
      <w:szCs w:val="24"/>
    </w:rPr>
  </w:style>
  <w:style w:type="paragraph" w:customStyle="1" w:styleId="inline">
    <w:name w:val="inline"/>
    <w:basedOn w:val="Normal"/>
    <w:rsid w:val="005E6933"/>
    <w:pPr>
      <w:spacing w:before="100" w:beforeAutospacing="1" w:after="100" w:afterAutospacing="1"/>
    </w:pPr>
    <w:rPr>
      <w:rFonts w:ascii="minorBidi" w:eastAsia="minorBidi" w:hAnsi="minorBidi"/>
      <w:color w:val="auto"/>
      <w:szCs w:val="24"/>
    </w:rPr>
  </w:style>
  <w:style w:type="paragraph" w:styleId="Revision">
    <w:name w:val="Revision"/>
    <w:hidden/>
    <w:uiPriority w:val="99"/>
    <w:semiHidden/>
    <w:rsid w:val="005E6933"/>
    <w:rPr>
      <w:rFonts w:ascii="Wingdings" w:eastAsia="Cambria Math" w:hAnsi="Wingdings" w:cs="minorBidi"/>
      <w:color w:val="000000"/>
    </w:rPr>
  </w:style>
  <w:style w:type="character" w:customStyle="1" w:styleId="g-color-gray-dark-v1">
    <w:name w:val="g-color-gray-dark-v1"/>
    <w:basedOn w:val="DefaultParagraphFont"/>
    <w:rsid w:val="005E6933"/>
  </w:style>
  <w:style w:type="character" w:customStyle="1" w:styleId="lexicon-term">
    <w:name w:val="lexicon-term"/>
    <w:basedOn w:val="DefaultParagraphFont"/>
    <w:rsid w:val="005E6933"/>
  </w:style>
  <w:style w:type="table" w:styleId="ListTable2-Accent4">
    <w:name w:val="List Table 2 Accent 4"/>
    <w:basedOn w:val="TableNormal"/>
    <w:uiPriority w:val="47"/>
    <w:rsid w:val="005E6933"/>
    <w:rPr>
      <w:rFonts w:asciiTheme="minorHAnsi" w:hAnsiTheme="minorHAnsi" w:cstheme="minorBidi"/>
      <w:lang w:eastAsia="en-US"/>
    </w:rPr>
    <w:tblPr>
      <w:tblStyleRowBandSize w:val="1"/>
      <w:tblStyleColBandSize w:val="1"/>
      <w:tblBorders>
        <w:top w:val="single" w:sz="4" w:space="0" w:color="6064E3" w:themeColor="accent4" w:themeTint="99"/>
        <w:bottom w:val="single" w:sz="4" w:space="0" w:color="6064E3" w:themeColor="accent4" w:themeTint="99"/>
        <w:insideH w:val="single" w:sz="4" w:space="0" w:color="6064E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CBF5" w:themeFill="accent4" w:themeFillTint="33"/>
      </w:tcPr>
    </w:tblStylePr>
    <w:tblStylePr w:type="band1Horz">
      <w:tblPr/>
      <w:tcPr>
        <w:shd w:val="clear" w:color="auto" w:fill="CACBF5" w:themeFill="accent4" w:themeFillTint="33"/>
      </w:tcPr>
    </w:tblStylePr>
  </w:style>
  <w:style w:type="character" w:customStyle="1" w:styleId="ListParagraphChar">
    <w:name w:val="List Paragraph Char"/>
    <w:aliases w:val="List Paragraph1 Char,Recommendation Char,List Paragraph11 Char,L Char,bullet point list Char,0Bullet Char,Bullet point Char,Content descriptions Char,DDM Gen Text Char,Dot point 1.5 line spacing Char,List Paragraph - bullets Char"/>
    <w:basedOn w:val="DefaultParagraphFont"/>
    <w:link w:val="ListParagraph"/>
    <w:uiPriority w:val="34"/>
    <w:qFormat/>
    <w:locked/>
    <w:rsid w:val="005E6933"/>
    <w:rPr>
      <w:rFonts w:eastAsia="Calibri"/>
      <w:color w:val="000000"/>
      <w:sz w:val="24"/>
      <w:szCs w:val="24"/>
    </w:rPr>
  </w:style>
  <w:style w:type="character" w:styleId="Mention">
    <w:name w:val="Mention"/>
    <w:basedOn w:val="DefaultParagraphFont"/>
    <w:uiPriority w:val="99"/>
    <w:unhideWhenUsed/>
    <w:rsid w:val="005E6933"/>
    <w:rPr>
      <w:color w:val="2B579A"/>
      <w:shd w:val="clear" w:color="auto" w:fill="E1DFDD"/>
    </w:rPr>
  </w:style>
  <w:style w:type="table" w:styleId="GridTable5Dark-Accent1">
    <w:name w:val="Grid Table 5 Dark Accent 1"/>
    <w:basedOn w:val="TableNormal"/>
    <w:uiPriority w:val="50"/>
    <w:rsid w:val="005E6933"/>
    <w:rPr>
      <w:rFonts w:ascii="Wingdings" w:hAnsi="Wingdings" w:cs="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styleId="GridTable4-Accent1">
    <w:name w:val="Grid Table 4 Accent 1"/>
    <w:basedOn w:val="TableNormal"/>
    <w:uiPriority w:val="49"/>
    <w:rsid w:val="005E6933"/>
    <w:rPr>
      <w:rFonts w:ascii="Wingdings" w:hAnsi="Wingdings" w:cs="minorBidi"/>
    </w:rPr>
    <w:tblPr>
      <w:tblStyleRowBandSize w:val="1"/>
      <w:tblStyleColBandSize w:val="1"/>
      <w:tblBorders>
        <w:top w:val="single" w:sz="4" w:space="0" w:color="48DEFF" w:themeColor="accent1" w:themeTint="99"/>
        <w:left w:val="single" w:sz="4" w:space="0" w:color="48DEFF" w:themeColor="accent1" w:themeTint="99"/>
        <w:bottom w:val="single" w:sz="4" w:space="0" w:color="48DEFF" w:themeColor="accent1" w:themeTint="99"/>
        <w:right w:val="single" w:sz="4" w:space="0" w:color="48DEFF" w:themeColor="accent1" w:themeTint="99"/>
        <w:insideH w:val="single" w:sz="4" w:space="0" w:color="48DEFF" w:themeColor="accent1" w:themeTint="99"/>
        <w:insideV w:val="single" w:sz="4" w:space="0" w:color="48DEFF" w:themeColor="accent1" w:themeTint="99"/>
      </w:tblBorders>
    </w:tblPr>
    <w:tblStylePr w:type="firstRow">
      <w:rPr>
        <w:b/>
        <w:bCs/>
        <w:color w:val="FFFFFF" w:themeColor="background1"/>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nil"/>
          <w:insideV w:val="nil"/>
        </w:tcBorders>
        <w:shd w:val="clear" w:color="auto" w:fill="00A9CE" w:themeFill="accent1"/>
      </w:tcPr>
    </w:tblStylePr>
    <w:tblStylePr w:type="lastRow">
      <w:rPr>
        <w:b/>
        <w:bCs/>
      </w:rPr>
      <w:tblPr/>
      <w:tcPr>
        <w:tcBorders>
          <w:top w:val="double" w:sz="4" w:space="0" w:color="00A9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GridTable4">
    <w:name w:val="Grid Table 4"/>
    <w:basedOn w:val="TableNormal"/>
    <w:uiPriority w:val="49"/>
    <w:rsid w:val="005E6933"/>
    <w:rPr>
      <w:rFonts w:ascii="Wingdings" w:hAnsi="Wingdings" w:cs="minorBid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5E6933"/>
  </w:style>
  <w:style w:type="character" w:customStyle="1" w:styleId="eop">
    <w:name w:val="eop"/>
    <w:basedOn w:val="DefaultParagraphFont"/>
    <w:rsid w:val="005E6933"/>
  </w:style>
  <w:style w:type="table" w:styleId="ListTable3-Accent5">
    <w:name w:val="List Table 3 Accent 5"/>
    <w:basedOn w:val="TableNormal"/>
    <w:uiPriority w:val="48"/>
    <w:rsid w:val="005E6933"/>
    <w:rPr>
      <w:rFonts w:asciiTheme="minorHAnsi" w:hAnsiTheme="minorHAnsi" w:cstheme="minorBidi"/>
      <w:lang w:eastAsia="en-US"/>
    </w:rPr>
    <w:tblPr>
      <w:tblStyleRowBandSize w:val="1"/>
      <w:tblStyleColBandSize w:val="1"/>
      <w:tblBorders>
        <w:top w:val="single" w:sz="4" w:space="0" w:color="007377" w:themeColor="accent5"/>
        <w:left w:val="single" w:sz="4" w:space="0" w:color="007377" w:themeColor="accent5"/>
        <w:bottom w:val="single" w:sz="4" w:space="0" w:color="007377" w:themeColor="accent5"/>
        <w:right w:val="single" w:sz="4" w:space="0" w:color="007377" w:themeColor="accent5"/>
      </w:tblBorders>
    </w:tblPr>
    <w:tblStylePr w:type="firstRow">
      <w:rPr>
        <w:b/>
        <w:bCs/>
        <w:color w:val="FFFFFF" w:themeColor="background1"/>
      </w:rPr>
      <w:tblPr/>
      <w:tcPr>
        <w:shd w:val="clear" w:color="auto" w:fill="007377" w:themeFill="accent5"/>
      </w:tcPr>
    </w:tblStylePr>
    <w:tblStylePr w:type="lastRow">
      <w:rPr>
        <w:b/>
        <w:bCs/>
      </w:rPr>
      <w:tblPr/>
      <w:tcPr>
        <w:tcBorders>
          <w:top w:val="double" w:sz="4" w:space="0" w:color="0073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377" w:themeColor="accent5"/>
          <w:right w:val="single" w:sz="4" w:space="0" w:color="007377" w:themeColor="accent5"/>
        </w:tcBorders>
      </w:tcPr>
    </w:tblStylePr>
    <w:tblStylePr w:type="band1Horz">
      <w:tblPr/>
      <w:tcPr>
        <w:tcBorders>
          <w:top w:val="single" w:sz="4" w:space="0" w:color="007377" w:themeColor="accent5"/>
          <w:bottom w:val="single" w:sz="4" w:space="0" w:color="0073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377" w:themeColor="accent5"/>
          <w:left w:val="nil"/>
        </w:tcBorders>
      </w:tcPr>
    </w:tblStylePr>
    <w:tblStylePr w:type="swCell">
      <w:tblPr/>
      <w:tcPr>
        <w:tcBorders>
          <w:top w:val="double" w:sz="4" w:space="0" w:color="007377" w:themeColor="accent5"/>
          <w:right w:val="nil"/>
        </w:tcBorders>
      </w:tcPr>
    </w:tblStylePr>
  </w:style>
  <w:style w:type="table" w:styleId="ListTable3-Accent1">
    <w:name w:val="List Table 3 Accent 1"/>
    <w:basedOn w:val="TableNormal"/>
    <w:uiPriority w:val="48"/>
    <w:rsid w:val="005E6933"/>
    <w:rPr>
      <w:rFonts w:ascii="Wingdings" w:hAnsi="Wingdings" w:cs="minorBidi"/>
    </w:rPr>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character" w:customStyle="1" w:styleId="UnresolvedMention1">
    <w:name w:val="Unresolved Mention1"/>
    <w:basedOn w:val="DefaultParagraphFont"/>
    <w:uiPriority w:val="99"/>
    <w:unhideWhenUsed/>
    <w:rsid w:val="005E6933"/>
    <w:rPr>
      <w:color w:val="605E5C"/>
      <w:shd w:val="clear" w:color="auto" w:fill="E1DFDD"/>
    </w:rPr>
  </w:style>
  <w:style w:type="character" w:customStyle="1" w:styleId="Mention1">
    <w:name w:val="Mention1"/>
    <w:basedOn w:val="DefaultParagraphFont"/>
    <w:uiPriority w:val="99"/>
    <w:unhideWhenUsed/>
    <w:rsid w:val="005E6933"/>
    <w:rPr>
      <w:color w:val="2B579A"/>
      <w:shd w:val="clear" w:color="auto" w:fill="E1DFDD"/>
    </w:rPr>
  </w:style>
  <w:style w:type="paragraph" w:customStyle="1" w:styleId="note">
    <w:name w:val="note"/>
    <w:basedOn w:val="Normal"/>
    <w:rsid w:val="005E6933"/>
    <w:pPr>
      <w:spacing w:before="100" w:beforeAutospacing="1" w:after="100" w:afterAutospacing="1" w:line="240" w:lineRule="auto"/>
    </w:pPr>
    <w:rPr>
      <w:rFonts w:ascii="Symbol" w:eastAsia="Symbol" w:hAnsi="Symbol"/>
      <w:color w:val="auto"/>
      <w:szCs w:val="24"/>
    </w:rPr>
  </w:style>
  <w:style w:type="character" w:customStyle="1" w:styleId="websearch-marked">
    <w:name w:val="web_search-marked"/>
    <w:basedOn w:val="DefaultParagraphFont"/>
    <w:rsid w:val="005E6933"/>
  </w:style>
  <w:style w:type="table" w:styleId="ListTable4-Accent1">
    <w:name w:val="List Table 4 Accent 1"/>
    <w:basedOn w:val="TableNormal"/>
    <w:uiPriority w:val="49"/>
    <w:rsid w:val="005E6933"/>
    <w:rPr>
      <w:rFonts w:ascii="Feijoa Medium" w:hAnsi="Feijoa Medium" w:cs="Symbol"/>
    </w:rPr>
    <w:tblPr>
      <w:tblStyleRowBandSize w:val="1"/>
      <w:tblStyleColBandSize w:val="1"/>
      <w:tblBorders>
        <w:top w:val="single" w:sz="4" w:space="0" w:color="48DEFF" w:themeColor="accent1" w:themeTint="99"/>
        <w:left w:val="single" w:sz="4" w:space="0" w:color="48DEFF" w:themeColor="accent1" w:themeTint="99"/>
        <w:bottom w:val="single" w:sz="4" w:space="0" w:color="48DEFF" w:themeColor="accent1" w:themeTint="99"/>
        <w:right w:val="single" w:sz="4" w:space="0" w:color="48DEFF" w:themeColor="accent1" w:themeTint="99"/>
        <w:insideH w:val="single" w:sz="4" w:space="0" w:color="48DEFF" w:themeColor="accent1" w:themeTint="99"/>
      </w:tblBorders>
    </w:tblPr>
    <w:tblStylePr w:type="firstRow">
      <w:rPr>
        <w:b/>
        <w:bCs/>
        <w:color w:val="FFFFFF" w:themeColor="background1"/>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nil"/>
        </w:tcBorders>
        <w:shd w:val="clear" w:color="auto" w:fill="00A9CE" w:themeFill="accent1"/>
      </w:tcPr>
    </w:tblStylePr>
    <w:tblStylePr w:type="lastRow">
      <w:rPr>
        <w:b/>
        <w:bCs/>
      </w:rPr>
      <w:tblPr/>
      <w:tcPr>
        <w:tcBorders>
          <w:top w:val="double" w:sz="4" w:space="0" w:color="48DEFF" w:themeColor="accent1" w:themeTint="99"/>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600979">
      <w:bodyDiv w:val="1"/>
      <w:marLeft w:val="0"/>
      <w:marRight w:val="0"/>
      <w:marTop w:val="0"/>
      <w:marBottom w:val="0"/>
      <w:divBdr>
        <w:top w:val="none" w:sz="0" w:space="0" w:color="auto"/>
        <w:left w:val="none" w:sz="0" w:space="0" w:color="auto"/>
        <w:bottom w:val="none" w:sz="0" w:space="0" w:color="auto"/>
        <w:right w:val="none" w:sz="0" w:space="0" w:color="auto"/>
      </w:divBdr>
    </w:div>
    <w:div w:id="593442341">
      <w:bodyDiv w:val="1"/>
      <w:marLeft w:val="0"/>
      <w:marRight w:val="0"/>
      <w:marTop w:val="0"/>
      <w:marBottom w:val="0"/>
      <w:divBdr>
        <w:top w:val="none" w:sz="0" w:space="0" w:color="auto"/>
        <w:left w:val="none" w:sz="0" w:space="0" w:color="auto"/>
        <w:bottom w:val="none" w:sz="0" w:space="0" w:color="auto"/>
        <w:right w:val="none" w:sz="0" w:space="0" w:color="auto"/>
      </w:divBdr>
    </w:div>
    <w:div w:id="596645538">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09690336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5094322">
      <w:bodyDiv w:val="1"/>
      <w:marLeft w:val="0"/>
      <w:marRight w:val="0"/>
      <w:marTop w:val="0"/>
      <w:marBottom w:val="0"/>
      <w:divBdr>
        <w:top w:val="none" w:sz="0" w:space="0" w:color="auto"/>
        <w:left w:val="none" w:sz="0" w:space="0" w:color="auto"/>
        <w:bottom w:val="none" w:sz="0" w:space="0" w:color="auto"/>
        <w:right w:val="none" w:sz="0" w:space="0" w:color="auto"/>
      </w:divBdr>
      <w:divsChild>
        <w:div w:id="549726971">
          <w:marLeft w:val="0"/>
          <w:marRight w:val="0"/>
          <w:marTop w:val="0"/>
          <w:marBottom w:val="0"/>
          <w:divBdr>
            <w:top w:val="none" w:sz="0" w:space="0" w:color="auto"/>
            <w:left w:val="none" w:sz="0" w:space="0" w:color="auto"/>
            <w:bottom w:val="none" w:sz="0" w:space="0" w:color="auto"/>
            <w:right w:val="none" w:sz="0" w:space="0" w:color="auto"/>
          </w:divBdr>
        </w:div>
      </w:divsChild>
    </w:div>
    <w:div w:id="1539005961">
      <w:bodyDiv w:val="1"/>
      <w:marLeft w:val="0"/>
      <w:marRight w:val="0"/>
      <w:marTop w:val="0"/>
      <w:marBottom w:val="0"/>
      <w:divBdr>
        <w:top w:val="none" w:sz="0" w:space="0" w:color="auto"/>
        <w:left w:val="none" w:sz="0" w:space="0" w:color="auto"/>
        <w:bottom w:val="none" w:sz="0" w:space="0" w:color="auto"/>
        <w:right w:val="none" w:sz="0" w:space="0" w:color="auto"/>
      </w:divBdr>
      <w:divsChild>
        <w:div w:id="1391884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svg"/><Relationship Id="rId63" Type="http://schemas.openxmlformats.org/officeDocument/2006/relationships/diagramLayout" Target="diagrams/layout1.xml"/><Relationship Id="rId68"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svg"/><Relationship Id="rId53" Type="http://schemas.openxmlformats.org/officeDocument/2006/relationships/image" Target="media/image43.svg"/><Relationship Id="rId58" Type="http://schemas.openxmlformats.org/officeDocument/2006/relationships/image" Target="media/image48.png"/><Relationship Id="rId74" Type="http://schemas.openxmlformats.org/officeDocument/2006/relationships/image" Target="media/image59.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image" Target="media/image33.sv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diagramQuickStyle" Target="diagrams/quickStyle1.xml"/><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41.svg"/><Relationship Id="rId72" Type="http://schemas.openxmlformats.org/officeDocument/2006/relationships/image" Target="media/image57.jp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1.svg"/><Relationship Id="rId54" Type="http://schemas.openxmlformats.org/officeDocument/2006/relationships/image" Target="media/image44.png"/><Relationship Id="rId62" Type="http://schemas.openxmlformats.org/officeDocument/2006/relationships/diagramData" Target="diagrams/data1.xml"/><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sv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diagramColors" Target="diagrams/colors1.xml"/><Relationship Id="rId73" Type="http://schemas.openxmlformats.org/officeDocument/2006/relationships/image" Target="media/image58.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sv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sv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svg"/><Relationship Id="rId66" Type="http://schemas.microsoft.com/office/2007/relationships/diagramDrawing" Target="diagrams/drawing1.xml"/></Relationships>
</file>

<file path=word/_rels/footnotes.xml.rels><?xml version="1.0" encoding="UTF-8" standalone="yes"?>
<Relationships xmlns="http://schemas.openxmlformats.org/package/2006/relationships"><Relationship Id="rId3" Type="http://schemas.openxmlformats.org/officeDocument/2006/relationships/hyperlink" Target="https://www.webofscience.com/wos/woscc/summary/8cb32269-dfbe-4e21-b01a-b8e9c9f470e3-0ed289f1/relevance/1" TargetMode="External"/><Relationship Id="rId2" Type="http://schemas.openxmlformats.org/officeDocument/2006/relationships/hyperlink" Target="https://www.webofscience.com/wos/woscc/summary/9ed172b7-6171-4679-ad51-8d7d5484ed0a-030f2c86/relevance/1" TargetMode="External"/><Relationship Id="rId1" Type="http://schemas.openxmlformats.org/officeDocument/2006/relationships/hyperlink" Target="https://www.webofscience.com/wos/woscc/summary/9ed172b7-6171-4679-ad51-8d7d5484ed0a-030f2c86/relevance/1" TargetMode="External"/><Relationship Id="rId4" Type="http://schemas.openxmlformats.org/officeDocument/2006/relationships/hyperlink" Target="https://www.webofscience.com/wos/woscc/summary/31de4b1e-aef1-49bd-8659-2ef9c1b1ee67-0b9a2ee2/relevanc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131\AppData\Roaming\Microsoft\Templates\Simple%20Report%20-%20standar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A844D9-9612-4970-A469-D8242CA0FA2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527F537A-337A-4096-AC57-F668ABBBB748}">
      <dgm:prSet phldrT="[Text]"/>
      <dgm:spPr/>
      <dgm:t>
        <a:bodyPr/>
        <a:lstStyle/>
        <a:p>
          <a:r>
            <a:rPr lang="en-AU" b="1" dirty="0">
              <a:solidFill>
                <a:sysClr val="windowText" lastClr="000000"/>
              </a:solidFill>
            </a:rPr>
            <a:t>4.1 Market dynamics and competition</a:t>
          </a:r>
        </a:p>
      </dgm:t>
    </dgm:pt>
    <dgm:pt modelId="{87358032-8532-438E-B610-7CB0AA365C0F}" type="parTrans" cxnId="{245B21E2-2873-4BA5-85D1-05DE0F2C9DE5}">
      <dgm:prSet/>
      <dgm:spPr/>
      <dgm:t>
        <a:bodyPr/>
        <a:lstStyle/>
        <a:p>
          <a:endParaRPr lang="en-AU"/>
        </a:p>
      </dgm:t>
    </dgm:pt>
    <dgm:pt modelId="{173A35BF-AB7A-4574-9BEE-C27144953014}" type="sibTrans" cxnId="{245B21E2-2873-4BA5-85D1-05DE0F2C9DE5}">
      <dgm:prSet/>
      <dgm:spPr/>
      <dgm:t>
        <a:bodyPr/>
        <a:lstStyle/>
        <a:p>
          <a:endParaRPr lang="en-AU"/>
        </a:p>
      </dgm:t>
    </dgm:pt>
    <dgm:pt modelId="{010B5927-E3F2-4D0D-9A8F-009BA12AA784}">
      <dgm:prSet phldrT="[Text]"/>
      <dgm:spPr/>
      <dgm:t>
        <a:bodyPr/>
        <a:lstStyle/>
        <a:p>
          <a:pPr>
            <a:buNone/>
          </a:pPr>
          <a:r>
            <a:rPr lang="en-AU" dirty="0"/>
            <a:t>4.1.1 Would the proposed model have unintended consequences on market dynamics?</a:t>
          </a:r>
        </a:p>
      </dgm:t>
    </dgm:pt>
    <dgm:pt modelId="{19B95942-226B-44CE-BA89-C39A66A8C541}" type="parTrans" cxnId="{33F360FD-722C-4942-ACF3-AC40689F78B7}">
      <dgm:prSet/>
      <dgm:spPr/>
      <dgm:t>
        <a:bodyPr/>
        <a:lstStyle/>
        <a:p>
          <a:endParaRPr lang="en-AU"/>
        </a:p>
      </dgm:t>
    </dgm:pt>
    <dgm:pt modelId="{29597C7A-E7C3-4D2D-94E1-79415EB83C2F}" type="sibTrans" cxnId="{33F360FD-722C-4942-ACF3-AC40689F78B7}">
      <dgm:prSet/>
      <dgm:spPr/>
      <dgm:t>
        <a:bodyPr/>
        <a:lstStyle/>
        <a:p>
          <a:endParaRPr lang="en-AU"/>
        </a:p>
      </dgm:t>
    </dgm:pt>
    <dgm:pt modelId="{3F77CA8F-B76D-4B3F-A305-050F21652EEF}">
      <dgm:prSet phldrT="[Text]"/>
      <dgm:spPr/>
      <dgm:t>
        <a:bodyPr/>
        <a:lstStyle/>
        <a:p>
          <a:r>
            <a:rPr lang="en-AU" b="1" dirty="0">
              <a:solidFill>
                <a:sysClr val="windowText" lastClr="000000"/>
              </a:solidFill>
            </a:rPr>
            <a:t>4.2 Funding and affordability</a:t>
          </a:r>
        </a:p>
      </dgm:t>
    </dgm:pt>
    <dgm:pt modelId="{0C1FC686-C114-4C95-B216-0B9EDD40579A}" type="parTrans" cxnId="{0D17575F-1564-402B-BBCD-6A5728C69903}">
      <dgm:prSet/>
      <dgm:spPr/>
      <dgm:t>
        <a:bodyPr/>
        <a:lstStyle/>
        <a:p>
          <a:endParaRPr lang="en-AU"/>
        </a:p>
      </dgm:t>
    </dgm:pt>
    <dgm:pt modelId="{A39D451B-AC0F-4837-BCD3-8B247920B261}" type="sibTrans" cxnId="{0D17575F-1564-402B-BBCD-6A5728C69903}">
      <dgm:prSet/>
      <dgm:spPr/>
      <dgm:t>
        <a:bodyPr/>
        <a:lstStyle/>
        <a:p>
          <a:endParaRPr lang="en-AU"/>
        </a:p>
      </dgm:t>
    </dgm:pt>
    <dgm:pt modelId="{C593F1DF-F6A4-4726-88B3-1350D9EDA6E3}">
      <dgm:prSet phldrT="[Text]"/>
      <dgm:spPr/>
      <dgm:t>
        <a:bodyPr/>
        <a:lstStyle/>
        <a:p>
          <a:pPr>
            <a:buNone/>
          </a:pPr>
          <a:r>
            <a:rPr lang="en-AU" dirty="0"/>
            <a:t>4.2.1 How much would the proposed model cost?</a:t>
          </a:r>
        </a:p>
      </dgm:t>
    </dgm:pt>
    <dgm:pt modelId="{3E05204F-3416-427C-BB90-7CD7A6D0FA60}" type="parTrans" cxnId="{DAE5546B-D696-45AD-96D3-A52AE51F1854}">
      <dgm:prSet/>
      <dgm:spPr/>
      <dgm:t>
        <a:bodyPr/>
        <a:lstStyle/>
        <a:p>
          <a:endParaRPr lang="en-AU"/>
        </a:p>
      </dgm:t>
    </dgm:pt>
    <dgm:pt modelId="{05A7B7CE-F82B-4F4B-9DA4-9DBD9D5DAB29}" type="sibTrans" cxnId="{DAE5546B-D696-45AD-96D3-A52AE51F1854}">
      <dgm:prSet/>
      <dgm:spPr/>
      <dgm:t>
        <a:bodyPr/>
        <a:lstStyle/>
        <a:p>
          <a:endParaRPr lang="en-AU"/>
        </a:p>
      </dgm:t>
    </dgm:pt>
    <dgm:pt modelId="{D21B5CE8-2918-4825-B023-6B8B63A0F8B7}">
      <dgm:prSet phldrT="[Text]"/>
      <dgm:spPr/>
      <dgm:t>
        <a:bodyPr/>
        <a:lstStyle/>
        <a:p>
          <a:pPr>
            <a:buNone/>
          </a:pPr>
          <a:r>
            <a:rPr lang="en-AU" dirty="0"/>
            <a:t>4.2.2 Could Australia successfully negotiate satisfactory agreements with publishers?</a:t>
          </a:r>
        </a:p>
      </dgm:t>
    </dgm:pt>
    <dgm:pt modelId="{832F182E-850F-4D92-879E-96FCA7F81FBA}" type="parTrans" cxnId="{5CCAA6EB-1685-412D-89F5-89E129BDE04C}">
      <dgm:prSet/>
      <dgm:spPr/>
      <dgm:t>
        <a:bodyPr/>
        <a:lstStyle/>
        <a:p>
          <a:endParaRPr lang="en-AU"/>
        </a:p>
      </dgm:t>
    </dgm:pt>
    <dgm:pt modelId="{CFF63148-068F-4D10-825A-EBBA9C8218C6}" type="sibTrans" cxnId="{5CCAA6EB-1685-412D-89F5-89E129BDE04C}">
      <dgm:prSet/>
      <dgm:spPr/>
      <dgm:t>
        <a:bodyPr/>
        <a:lstStyle/>
        <a:p>
          <a:endParaRPr lang="en-AU"/>
        </a:p>
      </dgm:t>
    </dgm:pt>
    <dgm:pt modelId="{CFE22A3B-F086-4829-AB10-08CE8767B790}">
      <dgm:prSet phldrT="[Text]"/>
      <dgm:spPr/>
      <dgm:t>
        <a:bodyPr/>
        <a:lstStyle/>
        <a:p>
          <a:r>
            <a:rPr lang="en-AU" b="1" dirty="0">
              <a:solidFill>
                <a:sysClr val="windowText" lastClr="000000"/>
              </a:solidFill>
            </a:rPr>
            <a:t>4.3 Access and impact</a:t>
          </a:r>
        </a:p>
      </dgm:t>
    </dgm:pt>
    <dgm:pt modelId="{ED87306D-24DC-42BC-AF10-485D2549D61E}" type="parTrans" cxnId="{7DA23F89-5CED-44E9-B6B2-B08983384707}">
      <dgm:prSet/>
      <dgm:spPr/>
      <dgm:t>
        <a:bodyPr/>
        <a:lstStyle/>
        <a:p>
          <a:endParaRPr lang="en-AU"/>
        </a:p>
      </dgm:t>
    </dgm:pt>
    <dgm:pt modelId="{A65EC28B-BC31-441B-BA07-08AA30416495}" type="sibTrans" cxnId="{7DA23F89-5CED-44E9-B6B2-B08983384707}">
      <dgm:prSet/>
      <dgm:spPr/>
      <dgm:t>
        <a:bodyPr/>
        <a:lstStyle/>
        <a:p>
          <a:endParaRPr lang="en-AU"/>
        </a:p>
      </dgm:t>
    </dgm:pt>
    <dgm:pt modelId="{46651A17-A3FB-41CF-A5A3-D8C6F70FE0D4}">
      <dgm:prSet phldrT="[Text]"/>
      <dgm:spPr/>
      <dgm:t>
        <a:bodyPr/>
        <a:lstStyle/>
        <a:p>
          <a:pPr>
            <a:buNone/>
          </a:pPr>
          <a:r>
            <a:rPr lang="en-AU" dirty="0"/>
            <a:t>4.3.1 What role and value would repositories have under the proposed model?</a:t>
          </a:r>
        </a:p>
      </dgm:t>
    </dgm:pt>
    <dgm:pt modelId="{AAA7CA1F-9CD9-42C8-80D6-2FBA7E3DAC7D}" type="parTrans" cxnId="{E1E48D21-B5DC-4F5A-86DA-3C4EABC82CF7}">
      <dgm:prSet/>
      <dgm:spPr/>
      <dgm:t>
        <a:bodyPr/>
        <a:lstStyle/>
        <a:p>
          <a:endParaRPr lang="en-AU"/>
        </a:p>
      </dgm:t>
    </dgm:pt>
    <dgm:pt modelId="{54AB8746-FFB3-4BF9-B69C-F9BCA605E922}" type="sibTrans" cxnId="{E1E48D21-B5DC-4F5A-86DA-3C4EABC82CF7}">
      <dgm:prSet/>
      <dgm:spPr/>
      <dgm:t>
        <a:bodyPr/>
        <a:lstStyle/>
        <a:p>
          <a:endParaRPr lang="en-AU"/>
        </a:p>
      </dgm:t>
    </dgm:pt>
    <dgm:pt modelId="{9E90C078-7D8A-442F-961C-4F25B7023E76}">
      <dgm:prSet phldrT="[Text]"/>
      <dgm:spPr/>
      <dgm:t>
        <a:bodyPr/>
        <a:lstStyle/>
        <a:p>
          <a:pPr>
            <a:buNone/>
          </a:pPr>
          <a:r>
            <a:rPr lang="en-AU" dirty="0"/>
            <a:t>4.2.3 How could the proposed model be equitably funded?</a:t>
          </a:r>
        </a:p>
      </dgm:t>
    </dgm:pt>
    <dgm:pt modelId="{191786C4-6EE8-49E3-B4A5-835631F79814}" type="parTrans" cxnId="{383A324F-1D69-4060-B909-066514308441}">
      <dgm:prSet/>
      <dgm:spPr/>
      <dgm:t>
        <a:bodyPr/>
        <a:lstStyle/>
        <a:p>
          <a:endParaRPr lang="en-AU"/>
        </a:p>
      </dgm:t>
    </dgm:pt>
    <dgm:pt modelId="{748E6342-0880-4BCA-8ED7-10278E5C6CBF}" type="sibTrans" cxnId="{383A324F-1D69-4060-B909-066514308441}">
      <dgm:prSet/>
      <dgm:spPr/>
      <dgm:t>
        <a:bodyPr/>
        <a:lstStyle/>
        <a:p>
          <a:endParaRPr lang="en-AU"/>
        </a:p>
      </dgm:t>
    </dgm:pt>
    <dgm:pt modelId="{A917AFD8-92A4-4F74-ABF1-70B6BA5DF064}">
      <dgm:prSet phldrT="[Text]"/>
      <dgm:spPr/>
      <dgm:t>
        <a:bodyPr/>
        <a:lstStyle/>
        <a:p>
          <a:pPr>
            <a:buNone/>
          </a:pPr>
          <a:r>
            <a:rPr lang="en-AU" dirty="0"/>
            <a:t>4.3.2 How would the implementation body provide end-user access for all Australians?</a:t>
          </a:r>
        </a:p>
      </dgm:t>
    </dgm:pt>
    <dgm:pt modelId="{1365DDD3-D277-4F64-B406-0E3D0B834668}" type="parTrans" cxnId="{02406617-442C-454A-B373-F01F73E7CFD2}">
      <dgm:prSet/>
      <dgm:spPr/>
      <dgm:t>
        <a:bodyPr/>
        <a:lstStyle/>
        <a:p>
          <a:endParaRPr lang="en-AU"/>
        </a:p>
      </dgm:t>
    </dgm:pt>
    <dgm:pt modelId="{A11A69CA-3015-47E5-9E27-CD75829FF8F7}" type="sibTrans" cxnId="{02406617-442C-454A-B373-F01F73E7CFD2}">
      <dgm:prSet/>
      <dgm:spPr/>
      <dgm:t>
        <a:bodyPr/>
        <a:lstStyle/>
        <a:p>
          <a:endParaRPr lang="en-AU"/>
        </a:p>
      </dgm:t>
    </dgm:pt>
    <dgm:pt modelId="{3D0CF290-A046-4E2A-B141-37BD7D09C9E4}">
      <dgm:prSet phldrT="[Text]"/>
      <dgm:spPr/>
      <dgm:t>
        <a:bodyPr/>
        <a:lstStyle/>
        <a:p>
          <a:pPr>
            <a:buNone/>
          </a:pPr>
          <a:r>
            <a:rPr lang="en-AU" dirty="0"/>
            <a:t>4.3.3 Should specific licensing arrangements be mandated for the model?</a:t>
          </a:r>
        </a:p>
      </dgm:t>
    </dgm:pt>
    <dgm:pt modelId="{9D8CD80E-381D-4B05-A47D-B8F4DD0E5AD8}" type="parTrans" cxnId="{0EA13619-CC8E-4E9A-8B2D-DD391FFC7653}">
      <dgm:prSet/>
      <dgm:spPr/>
      <dgm:t>
        <a:bodyPr/>
        <a:lstStyle/>
        <a:p>
          <a:endParaRPr lang="en-AU"/>
        </a:p>
      </dgm:t>
    </dgm:pt>
    <dgm:pt modelId="{E88808BD-2F33-458C-9D8B-0CFD46D4A282}" type="sibTrans" cxnId="{0EA13619-CC8E-4E9A-8B2D-DD391FFC7653}">
      <dgm:prSet/>
      <dgm:spPr/>
      <dgm:t>
        <a:bodyPr/>
        <a:lstStyle/>
        <a:p>
          <a:endParaRPr lang="en-AU"/>
        </a:p>
      </dgm:t>
    </dgm:pt>
    <dgm:pt modelId="{2C7375C9-46DD-4A9A-A458-18266FA6DBA6}">
      <dgm:prSet phldrT="[Text]"/>
      <dgm:spPr/>
      <dgm:t>
        <a:bodyPr/>
        <a:lstStyle/>
        <a:p>
          <a:pPr>
            <a:buNone/>
          </a:pPr>
          <a:r>
            <a:rPr lang="en-AU" dirty="0"/>
            <a:t>4.3.4 How could the model support industry uptake?</a:t>
          </a:r>
        </a:p>
      </dgm:t>
    </dgm:pt>
    <dgm:pt modelId="{F3032A98-CB92-4441-A677-9E54446EA121}" type="parTrans" cxnId="{372A8FC6-6CCB-41AA-BDC3-484F7759E9A0}">
      <dgm:prSet/>
      <dgm:spPr/>
      <dgm:t>
        <a:bodyPr/>
        <a:lstStyle/>
        <a:p>
          <a:endParaRPr lang="en-AU"/>
        </a:p>
      </dgm:t>
    </dgm:pt>
    <dgm:pt modelId="{A787EEC4-6AAE-4AB2-BF50-4BEEA9D4F9CE}" type="sibTrans" cxnId="{372A8FC6-6CCB-41AA-BDC3-484F7759E9A0}">
      <dgm:prSet/>
      <dgm:spPr/>
      <dgm:t>
        <a:bodyPr/>
        <a:lstStyle/>
        <a:p>
          <a:endParaRPr lang="en-AU"/>
        </a:p>
      </dgm:t>
    </dgm:pt>
    <dgm:pt modelId="{3DDE75DE-0A24-490E-BB03-34B935A5DB6E}" type="pres">
      <dgm:prSet presAssocID="{31A844D9-9612-4970-A469-D8242CA0FA21}" presName="linear" presStyleCnt="0">
        <dgm:presLayoutVars>
          <dgm:dir/>
          <dgm:animLvl val="lvl"/>
          <dgm:resizeHandles val="exact"/>
        </dgm:presLayoutVars>
      </dgm:prSet>
      <dgm:spPr/>
    </dgm:pt>
    <dgm:pt modelId="{371BB50A-A0C5-4458-AADC-020E401BDB92}" type="pres">
      <dgm:prSet presAssocID="{527F537A-337A-4096-AC57-F668ABBBB748}" presName="parentLin" presStyleCnt="0"/>
      <dgm:spPr/>
    </dgm:pt>
    <dgm:pt modelId="{4CC380FD-BB34-4735-8376-8FBF7F75B7AE}" type="pres">
      <dgm:prSet presAssocID="{527F537A-337A-4096-AC57-F668ABBBB748}" presName="parentLeftMargin" presStyleLbl="node1" presStyleIdx="0" presStyleCnt="3"/>
      <dgm:spPr/>
    </dgm:pt>
    <dgm:pt modelId="{F5951A46-D625-4C71-A953-2BB4D26567BB}" type="pres">
      <dgm:prSet presAssocID="{527F537A-337A-4096-AC57-F668ABBBB748}" presName="parentText" presStyleLbl="node1" presStyleIdx="0" presStyleCnt="3">
        <dgm:presLayoutVars>
          <dgm:chMax val="0"/>
          <dgm:bulletEnabled val="1"/>
        </dgm:presLayoutVars>
      </dgm:prSet>
      <dgm:spPr/>
    </dgm:pt>
    <dgm:pt modelId="{C265210D-2867-467B-98E0-5E73DE07DAA6}" type="pres">
      <dgm:prSet presAssocID="{527F537A-337A-4096-AC57-F668ABBBB748}" presName="negativeSpace" presStyleCnt="0"/>
      <dgm:spPr/>
    </dgm:pt>
    <dgm:pt modelId="{603DE01D-4FE6-4C34-BFF8-E1F5637D3934}" type="pres">
      <dgm:prSet presAssocID="{527F537A-337A-4096-AC57-F668ABBBB748}" presName="childText" presStyleLbl="conFgAcc1" presStyleIdx="0" presStyleCnt="3">
        <dgm:presLayoutVars>
          <dgm:bulletEnabled val="1"/>
        </dgm:presLayoutVars>
      </dgm:prSet>
      <dgm:spPr/>
    </dgm:pt>
    <dgm:pt modelId="{4B9085A9-5869-41EA-91C7-92FAD4F95FA8}" type="pres">
      <dgm:prSet presAssocID="{173A35BF-AB7A-4574-9BEE-C27144953014}" presName="spaceBetweenRectangles" presStyleCnt="0"/>
      <dgm:spPr/>
    </dgm:pt>
    <dgm:pt modelId="{184B1A6D-010F-46CE-8E78-377E28B1AF5C}" type="pres">
      <dgm:prSet presAssocID="{3F77CA8F-B76D-4B3F-A305-050F21652EEF}" presName="parentLin" presStyleCnt="0"/>
      <dgm:spPr/>
    </dgm:pt>
    <dgm:pt modelId="{E65A254D-4CDE-4B3E-BD9C-ACEA9A10B00C}" type="pres">
      <dgm:prSet presAssocID="{3F77CA8F-B76D-4B3F-A305-050F21652EEF}" presName="parentLeftMargin" presStyleLbl="node1" presStyleIdx="0" presStyleCnt="3"/>
      <dgm:spPr/>
    </dgm:pt>
    <dgm:pt modelId="{FBF70389-8383-4A4A-8F54-0157AA85AD6E}" type="pres">
      <dgm:prSet presAssocID="{3F77CA8F-B76D-4B3F-A305-050F21652EEF}" presName="parentText" presStyleLbl="node1" presStyleIdx="1" presStyleCnt="3">
        <dgm:presLayoutVars>
          <dgm:chMax val="0"/>
          <dgm:bulletEnabled val="1"/>
        </dgm:presLayoutVars>
      </dgm:prSet>
      <dgm:spPr/>
    </dgm:pt>
    <dgm:pt modelId="{9DAB0576-77A9-4E1A-BE8F-36BA091932A4}" type="pres">
      <dgm:prSet presAssocID="{3F77CA8F-B76D-4B3F-A305-050F21652EEF}" presName="negativeSpace" presStyleCnt="0"/>
      <dgm:spPr/>
    </dgm:pt>
    <dgm:pt modelId="{D8704A0F-25F3-4F1C-A4B8-608241BC8D12}" type="pres">
      <dgm:prSet presAssocID="{3F77CA8F-B76D-4B3F-A305-050F21652EEF}" presName="childText" presStyleLbl="conFgAcc1" presStyleIdx="1" presStyleCnt="3">
        <dgm:presLayoutVars>
          <dgm:bulletEnabled val="1"/>
        </dgm:presLayoutVars>
      </dgm:prSet>
      <dgm:spPr/>
    </dgm:pt>
    <dgm:pt modelId="{DFBAE1ED-B83A-4EB3-96B0-D0042440C69B}" type="pres">
      <dgm:prSet presAssocID="{A39D451B-AC0F-4837-BCD3-8B247920B261}" presName="spaceBetweenRectangles" presStyleCnt="0"/>
      <dgm:spPr/>
    </dgm:pt>
    <dgm:pt modelId="{AFB292B8-C622-40F3-8426-2BDC42735257}" type="pres">
      <dgm:prSet presAssocID="{CFE22A3B-F086-4829-AB10-08CE8767B790}" presName="parentLin" presStyleCnt="0"/>
      <dgm:spPr/>
    </dgm:pt>
    <dgm:pt modelId="{C278BE5C-0DCD-4315-8C16-928D8659DA8B}" type="pres">
      <dgm:prSet presAssocID="{CFE22A3B-F086-4829-AB10-08CE8767B790}" presName="parentLeftMargin" presStyleLbl="node1" presStyleIdx="1" presStyleCnt="3"/>
      <dgm:spPr/>
    </dgm:pt>
    <dgm:pt modelId="{95034BE3-413C-4CAC-B4E5-2F18EE1524C5}" type="pres">
      <dgm:prSet presAssocID="{CFE22A3B-F086-4829-AB10-08CE8767B790}" presName="parentText" presStyleLbl="node1" presStyleIdx="2" presStyleCnt="3">
        <dgm:presLayoutVars>
          <dgm:chMax val="0"/>
          <dgm:bulletEnabled val="1"/>
        </dgm:presLayoutVars>
      </dgm:prSet>
      <dgm:spPr/>
    </dgm:pt>
    <dgm:pt modelId="{7E0EAFCF-EE7C-4A7F-A9B4-C627E4F4437B}" type="pres">
      <dgm:prSet presAssocID="{CFE22A3B-F086-4829-AB10-08CE8767B790}" presName="negativeSpace" presStyleCnt="0"/>
      <dgm:spPr/>
    </dgm:pt>
    <dgm:pt modelId="{FDA158A7-EB94-439C-9CE3-B7192D05167C}" type="pres">
      <dgm:prSet presAssocID="{CFE22A3B-F086-4829-AB10-08CE8767B790}" presName="childText" presStyleLbl="conFgAcc1" presStyleIdx="2" presStyleCnt="3">
        <dgm:presLayoutVars>
          <dgm:bulletEnabled val="1"/>
        </dgm:presLayoutVars>
      </dgm:prSet>
      <dgm:spPr/>
    </dgm:pt>
  </dgm:ptLst>
  <dgm:cxnLst>
    <dgm:cxn modelId="{02406617-442C-454A-B373-F01F73E7CFD2}" srcId="{CFE22A3B-F086-4829-AB10-08CE8767B790}" destId="{A917AFD8-92A4-4F74-ABF1-70B6BA5DF064}" srcOrd="1" destOrd="0" parTransId="{1365DDD3-D277-4F64-B406-0E3D0B834668}" sibTransId="{A11A69CA-3015-47E5-9E27-CD75829FF8F7}"/>
    <dgm:cxn modelId="{0EA13619-CC8E-4E9A-8B2D-DD391FFC7653}" srcId="{CFE22A3B-F086-4829-AB10-08CE8767B790}" destId="{3D0CF290-A046-4E2A-B141-37BD7D09C9E4}" srcOrd="2" destOrd="0" parTransId="{9D8CD80E-381D-4B05-A47D-B8F4DD0E5AD8}" sibTransId="{E88808BD-2F33-458C-9D8B-0CFD46D4A282}"/>
    <dgm:cxn modelId="{325B091D-9589-4808-9827-2117449E797D}" type="presOf" srcId="{C593F1DF-F6A4-4726-88B3-1350D9EDA6E3}" destId="{D8704A0F-25F3-4F1C-A4B8-608241BC8D12}" srcOrd="0" destOrd="0" presId="urn:microsoft.com/office/officeart/2005/8/layout/list1"/>
    <dgm:cxn modelId="{E1E48D21-B5DC-4F5A-86DA-3C4EABC82CF7}" srcId="{CFE22A3B-F086-4829-AB10-08CE8767B790}" destId="{46651A17-A3FB-41CF-A5A3-D8C6F70FE0D4}" srcOrd="0" destOrd="0" parTransId="{AAA7CA1F-9CD9-42C8-80D6-2FBA7E3DAC7D}" sibTransId="{54AB8746-FFB3-4BF9-B69C-F9BCA605E922}"/>
    <dgm:cxn modelId="{0D17575F-1564-402B-BBCD-6A5728C69903}" srcId="{31A844D9-9612-4970-A469-D8242CA0FA21}" destId="{3F77CA8F-B76D-4B3F-A305-050F21652EEF}" srcOrd="1" destOrd="0" parTransId="{0C1FC686-C114-4C95-B216-0B9EDD40579A}" sibTransId="{A39D451B-AC0F-4837-BCD3-8B247920B261}"/>
    <dgm:cxn modelId="{657C7964-A253-470E-9B77-B8BDB32CF02C}" type="presOf" srcId="{3F77CA8F-B76D-4B3F-A305-050F21652EEF}" destId="{FBF70389-8383-4A4A-8F54-0157AA85AD6E}" srcOrd="1" destOrd="0" presId="urn:microsoft.com/office/officeart/2005/8/layout/list1"/>
    <dgm:cxn modelId="{62314245-A424-4C17-9823-BDCFDCD57550}" type="presOf" srcId="{9E90C078-7D8A-442F-961C-4F25B7023E76}" destId="{D8704A0F-25F3-4F1C-A4B8-608241BC8D12}" srcOrd="0" destOrd="2" presId="urn:microsoft.com/office/officeart/2005/8/layout/list1"/>
    <dgm:cxn modelId="{3598584A-1EB2-4059-86B6-D02687D1E918}" type="presOf" srcId="{527F537A-337A-4096-AC57-F668ABBBB748}" destId="{4CC380FD-BB34-4735-8376-8FBF7F75B7AE}" srcOrd="0" destOrd="0" presId="urn:microsoft.com/office/officeart/2005/8/layout/list1"/>
    <dgm:cxn modelId="{DAE5546B-D696-45AD-96D3-A52AE51F1854}" srcId="{3F77CA8F-B76D-4B3F-A305-050F21652EEF}" destId="{C593F1DF-F6A4-4726-88B3-1350D9EDA6E3}" srcOrd="0" destOrd="0" parTransId="{3E05204F-3416-427C-BB90-7CD7A6D0FA60}" sibTransId="{05A7B7CE-F82B-4F4B-9DA4-9DBD9D5DAB29}"/>
    <dgm:cxn modelId="{383A324F-1D69-4060-B909-066514308441}" srcId="{3F77CA8F-B76D-4B3F-A305-050F21652EEF}" destId="{9E90C078-7D8A-442F-961C-4F25B7023E76}" srcOrd="2" destOrd="0" parTransId="{191786C4-6EE8-49E3-B4A5-835631F79814}" sibTransId="{748E6342-0880-4BCA-8ED7-10278E5C6CBF}"/>
    <dgm:cxn modelId="{16AABA73-7A3E-48BE-AE87-156DC67658C7}" type="presOf" srcId="{A917AFD8-92A4-4F74-ABF1-70B6BA5DF064}" destId="{FDA158A7-EB94-439C-9CE3-B7192D05167C}" srcOrd="0" destOrd="1" presId="urn:microsoft.com/office/officeart/2005/8/layout/list1"/>
    <dgm:cxn modelId="{7DA23F89-5CED-44E9-B6B2-B08983384707}" srcId="{31A844D9-9612-4970-A469-D8242CA0FA21}" destId="{CFE22A3B-F086-4829-AB10-08CE8767B790}" srcOrd="2" destOrd="0" parTransId="{ED87306D-24DC-42BC-AF10-485D2549D61E}" sibTransId="{A65EC28B-BC31-441B-BA07-08AA30416495}"/>
    <dgm:cxn modelId="{05651B8C-48E3-45DB-907F-589DA228C152}" type="presOf" srcId="{CFE22A3B-F086-4829-AB10-08CE8767B790}" destId="{95034BE3-413C-4CAC-B4E5-2F18EE1524C5}" srcOrd="1" destOrd="0" presId="urn:microsoft.com/office/officeart/2005/8/layout/list1"/>
    <dgm:cxn modelId="{D596DC8D-D01F-4286-9A1B-950457F04C9E}" type="presOf" srcId="{2C7375C9-46DD-4A9A-A458-18266FA6DBA6}" destId="{FDA158A7-EB94-439C-9CE3-B7192D05167C}" srcOrd="0" destOrd="3" presId="urn:microsoft.com/office/officeart/2005/8/layout/list1"/>
    <dgm:cxn modelId="{FAB97191-A7A5-4716-BA22-9B119E520C84}" type="presOf" srcId="{D21B5CE8-2918-4825-B023-6B8B63A0F8B7}" destId="{D8704A0F-25F3-4F1C-A4B8-608241BC8D12}" srcOrd="0" destOrd="1" presId="urn:microsoft.com/office/officeart/2005/8/layout/list1"/>
    <dgm:cxn modelId="{0933219C-72F5-4477-AB65-C21CFA8D49CD}" type="presOf" srcId="{3F77CA8F-B76D-4B3F-A305-050F21652EEF}" destId="{E65A254D-4CDE-4B3E-BD9C-ACEA9A10B00C}" srcOrd="0" destOrd="0" presId="urn:microsoft.com/office/officeart/2005/8/layout/list1"/>
    <dgm:cxn modelId="{763DA6A2-9874-465F-B406-97C6A4926D91}" type="presOf" srcId="{527F537A-337A-4096-AC57-F668ABBBB748}" destId="{F5951A46-D625-4C71-A953-2BB4D26567BB}" srcOrd="1" destOrd="0" presId="urn:microsoft.com/office/officeart/2005/8/layout/list1"/>
    <dgm:cxn modelId="{372A8FC6-6CCB-41AA-BDC3-484F7759E9A0}" srcId="{CFE22A3B-F086-4829-AB10-08CE8767B790}" destId="{2C7375C9-46DD-4A9A-A458-18266FA6DBA6}" srcOrd="3" destOrd="0" parTransId="{F3032A98-CB92-4441-A677-9E54446EA121}" sibTransId="{A787EEC4-6AAE-4AB2-BF50-4BEEA9D4F9CE}"/>
    <dgm:cxn modelId="{BB4ECEC6-D2FB-435C-A534-2378BF64EE21}" type="presOf" srcId="{3D0CF290-A046-4E2A-B141-37BD7D09C9E4}" destId="{FDA158A7-EB94-439C-9CE3-B7192D05167C}" srcOrd="0" destOrd="2" presId="urn:microsoft.com/office/officeart/2005/8/layout/list1"/>
    <dgm:cxn modelId="{014FE4E1-082D-4EB9-89AC-5731D7A24D43}" type="presOf" srcId="{CFE22A3B-F086-4829-AB10-08CE8767B790}" destId="{C278BE5C-0DCD-4315-8C16-928D8659DA8B}" srcOrd="0" destOrd="0" presId="urn:microsoft.com/office/officeart/2005/8/layout/list1"/>
    <dgm:cxn modelId="{245B21E2-2873-4BA5-85D1-05DE0F2C9DE5}" srcId="{31A844D9-9612-4970-A469-D8242CA0FA21}" destId="{527F537A-337A-4096-AC57-F668ABBBB748}" srcOrd="0" destOrd="0" parTransId="{87358032-8532-438E-B610-7CB0AA365C0F}" sibTransId="{173A35BF-AB7A-4574-9BEE-C27144953014}"/>
    <dgm:cxn modelId="{D949E7E3-2B47-4BFF-B5DF-55F392EDD35E}" type="presOf" srcId="{31A844D9-9612-4970-A469-D8242CA0FA21}" destId="{3DDE75DE-0A24-490E-BB03-34B935A5DB6E}" srcOrd="0" destOrd="0" presId="urn:microsoft.com/office/officeart/2005/8/layout/list1"/>
    <dgm:cxn modelId="{5CCAA6EB-1685-412D-89F5-89E129BDE04C}" srcId="{3F77CA8F-B76D-4B3F-A305-050F21652EEF}" destId="{D21B5CE8-2918-4825-B023-6B8B63A0F8B7}" srcOrd="1" destOrd="0" parTransId="{832F182E-850F-4D92-879E-96FCA7F81FBA}" sibTransId="{CFF63148-068F-4D10-825A-EBBA9C8218C6}"/>
    <dgm:cxn modelId="{AD1899ED-5A16-48EE-9BF9-B962F67C2EEE}" type="presOf" srcId="{46651A17-A3FB-41CF-A5A3-D8C6F70FE0D4}" destId="{FDA158A7-EB94-439C-9CE3-B7192D05167C}" srcOrd="0" destOrd="0" presId="urn:microsoft.com/office/officeart/2005/8/layout/list1"/>
    <dgm:cxn modelId="{A13E8AF9-32C6-4E4A-A9FA-884594291C38}" type="presOf" srcId="{010B5927-E3F2-4D0D-9A8F-009BA12AA784}" destId="{603DE01D-4FE6-4C34-BFF8-E1F5637D3934}" srcOrd="0" destOrd="0" presId="urn:microsoft.com/office/officeart/2005/8/layout/list1"/>
    <dgm:cxn modelId="{33F360FD-722C-4942-ACF3-AC40689F78B7}" srcId="{527F537A-337A-4096-AC57-F668ABBBB748}" destId="{010B5927-E3F2-4D0D-9A8F-009BA12AA784}" srcOrd="0" destOrd="0" parTransId="{19B95942-226B-44CE-BA89-C39A66A8C541}" sibTransId="{29597C7A-E7C3-4D2D-94E1-79415EB83C2F}"/>
    <dgm:cxn modelId="{171DBAFD-8368-415B-A32C-3F4F298A9100}" type="presParOf" srcId="{3DDE75DE-0A24-490E-BB03-34B935A5DB6E}" destId="{371BB50A-A0C5-4458-AADC-020E401BDB92}" srcOrd="0" destOrd="0" presId="urn:microsoft.com/office/officeart/2005/8/layout/list1"/>
    <dgm:cxn modelId="{861E5415-20AC-406E-9BA6-C075003FA789}" type="presParOf" srcId="{371BB50A-A0C5-4458-AADC-020E401BDB92}" destId="{4CC380FD-BB34-4735-8376-8FBF7F75B7AE}" srcOrd="0" destOrd="0" presId="urn:microsoft.com/office/officeart/2005/8/layout/list1"/>
    <dgm:cxn modelId="{2E9AAB7E-77A9-4E44-92C2-D7297A413E65}" type="presParOf" srcId="{371BB50A-A0C5-4458-AADC-020E401BDB92}" destId="{F5951A46-D625-4C71-A953-2BB4D26567BB}" srcOrd="1" destOrd="0" presId="urn:microsoft.com/office/officeart/2005/8/layout/list1"/>
    <dgm:cxn modelId="{4C9806EE-9656-4955-9B76-975E51011744}" type="presParOf" srcId="{3DDE75DE-0A24-490E-BB03-34B935A5DB6E}" destId="{C265210D-2867-467B-98E0-5E73DE07DAA6}" srcOrd="1" destOrd="0" presId="urn:microsoft.com/office/officeart/2005/8/layout/list1"/>
    <dgm:cxn modelId="{BD8CF2B9-2F8A-4A23-81A2-33BB5A4D39C1}" type="presParOf" srcId="{3DDE75DE-0A24-490E-BB03-34B935A5DB6E}" destId="{603DE01D-4FE6-4C34-BFF8-E1F5637D3934}" srcOrd="2" destOrd="0" presId="urn:microsoft.com/office/officeart/2005/8/layout/list1"/>
    <dgm:cxn modelId="{98BF3911-D7C0-492D-A9BA-77AE78B15489}" type="presParOf" srcId="{3DDE75DE-0A24-490E-BB03-34B935A5DB6E}" destId="{4B9085A9-5869-41EA-91C7-92FAD4F95FA8}" srcOrd="3" destOrd="0" presId="urn:microsoft.com/office/officeart/2005/8/layout/list1"/>
    <dgm:cxn modelId="{F5D42BAE-629E-4E28-BDF2-B0F4BCDEA722}" type="presParOf" srcId="{3DDE75DE-0A24-490E-BB03-34B935A5DB6E}" destId="{184B1A6D-010F-46CE-8E78-377E28B1AF5C}" srcOrd="4" destOrd="0" presId="urn:microsoft.com/office/officeart/2005/8/layout/list1"/>
    <dgm:cxn modelId="{60016604-675E-4696-AF35-37A797F47EEC}" type="presParOf" srcId="{184B1A6D-010F-46CE-8E78-377E28B1AF5C}" destId="{E65A254D-4CDE-4B3E-BD9C-ACEA9A10B00C}" srcOrd="0" destOrd="0" presId="urn:microsoft.com/office/officeart/2005/8/layout/list1"/>
    <dgm:cxn modelId="{572124C5-5C0D-4CDF-B3F1-18FD0A305966}" type="presParOf" srcId="{184B1A6D-010F-46CE-8E78-377E28B1AF5C}" destId="{FBF70389-8383-4A4A-8F54-0157AA85AD6E}" srcOrd="1" destOrd="0" presId="urn:microsoft.com/office/officeart/2005/8/layout/list1"/>
    <dgm:cxn modelId="{9EA49FBF-9E2B-4BCA-94DA-9CB377A55AA1}" type="presParOf" srcId="{3DDE75DE-0A24-490E-BB03-34B935A5DB6E}" destId="{9DAB0576-77A9-4E1A-BE8F-36BA091932A4}" srcOrd="5" destOrd="0" presId="urn:microsoft.com/office/officeart/2005/8/layout/list1"/>
    <dgm:cxn modelId="{F91BA504-4F56-4616-B629-9D9B7A7CED3F}" type="presParOf" srcId="{3DDE75DE-0A24-490E-BB03-34B935A5DB6E}" destId="{D8704A0F-25F3-4F1C-A4B8-608241BC8D12}" srcOrd="6" destOrd="0" presId="urn:microsoft.com/office/officeart/2005/8/layout/list1"/>
    <dgm:cxn modelId="{B6BB7E70-3D15-4CC6-852F-C6358422176B}" type="presParOf" srcId="{3DDE75DE-0A24-490E-BB03-34B935A5DB6E}" destId="{DFBAE1ED-B83A-4EB3-96B0-D0042440C69B}" srcOrd="7" destOrd="0" presId="urn:microsoft.com/office/officeart/2005/8/layout/list1"/>
    <dgm:cxn modelId="{D0807BE8-D295-4633-85FE-204F89AACF26}" type="presParOf" srcId="{3DDE75DE-0A24-490E-BB03-34B935A5DB6E}" destId="{AFB292B8-C622-40F3-8426-2BDC42735257}" srcOrd="8" destOrd="0" presId="urn:microsoft.com/office/officeart/2005/8/layout/list1"/>
    <dgm:cxn modelId="{ABE50BD8-D70C-4F20-9784-40CBA55ADB55}" type="presParOf" srcId="{AFB292B8-C622-40F3-8426-2BDC42735257}" destId="{C278BE5C-0DCD-4315-8C16-928D8659DA8B}" srcOrd="0" destOrd="0" presId="urn:microsoft.com/office/officeart/2005/8/layout/list1"/>
    <dgm:cxn modelId="{46EC07DA-ACAE-42CF-9FA9-78867AB76218}" type="presParOf" srcId="{AFB292B8-C622-40F3-8426-2BDC42735257}" destId="{95034BE3-413C-4CAC-B4E5-2F18EE1524C5}" srcOrd="1" destOrd="0" presId="urn:microsoft.com/office/officeart/2005/8/layout/list1"/>
    <dgm:cxn modelId="{077A98FC-B494-4CD4-9E4A-5B98D1F40476}" type="presParOf" srcId="{3DDE75DE-0A24-490E-BB03-34B935A5DB6E}" destId="{7E0EAFCF-EE7C-4A7F-A9B4-C627E4F4437B}" srcOrd="9" destOrd="0" presId="urn:microsoft.com/office/officeart/2005/8/layout/list1"/>
    <dgm:cxn modelId="{D9EBCC6D-77A5-4024-8237-9B9A23BAD5E6}" type="presParOf" srcId="{3DDE75DE-0A24-490E-BB03-34B935A5DB6E}" destId="{FDA158A7-EB94-439C-9CE3-B7192D05167C}" srcOrd="10" destOrd="0" presId="urn:microsoft.com/office/officeart/2005/8/layout/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DE01D-4FE6-4C34-BFF8-E1F5637D3934}">
      <dsp:nvSpPr>
        <dsp:cNvPr id="0" name=""/>
        <dsp:cNvSpPr/>
      </dsp:nvSpPr>
      <dsp:spPr>
        <a:xfrm>
          <a:off x="0" y="341479"/>
          <a:ext cx="6120129" cy="4677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229108" rIns="474990"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4.1.1 Would the proposed model have unintended consequences on market dynamics?</a:t>
          </a:r>
        </a:p>
      </dsp:txBody>
      <dsp:txXfrm>
        <a:off x="0" y="341479"/>
        <a:ext cx="6120129" cy="467775"/>
      </dsp:txXfrm>
    </dsp:sp>
    <dsp:sp modelId="{F5951A46-D625-4C71-A953-2BB4D26567BB}">
      <dsp:nvSpPr>
        <dsp:cNvPr id="0" name=""/>
        <dsp:cNvSpPr/>
      </dsp:nvSpPr>
      <dsp:spPr>
        <a:xfrm>
          <a:off x="306006" y="179119"/>
          <a:ext cx="428409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marL="0" lvl="0" indent="0" algn="l" defTabSz="488950">
            <a:lnSpc>
              <a:spcPct val="90000"/>
            </a:lnSpc>
            <a:spcBef>
              <a:spcPct val="0"/>
            </a:spcBef>
            <a:spcAft>
              <a:spcPct val="35000"/>
            </a:spcAft>
            <a:buNone/>
          </a:pPr>
          <a:r>
            <a:rPr lang="en-AU" sz="1100" b="1" kern="1200" dirty="0">
              <a:solidFill>
                <a:sysClr val="windowText" lastClr="000000"/>
              </a:solidFill>
            </a:rPr>
            <a:t>4.1 Market dynamics and competition</a:t>
          </a:r>
        </a:p>
      </dsp:txBody>
      <dsp:txXfrm>
        <a:off x="321858" y="194971"/>
        <a:ext cx="4252387" cy="293016"/>
      </dsp:txXfrm>
    </dsp:sp>
    <dsp:sp modelId="{D8704A0F-25F3-4F1C-A4B8-608241BC8D12}">
      <dsp:nvSpPr>
        <dsp:cNvPr id="0" name=""/>
        <dsp:cNvSpPr/>
      </dsp:nvSpPr>
      <dsp:spPr>
        <a:xfrm>
          <a:off x="0" y="1031015"/>
          <a:ext cx="6120129"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229108" rIns="474990"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4.2.1 How much would the proposed model cost?</a:t>
          </a:r>
        </a:p>
        <a:p>
          <a:pPr marL="57150" lvl="1" indent="-57150" algn="l" defTabSz="488950">
            <a:lnSpc>
              <a:spcPct val="90000"/>
            </a:lnSpc>
            <a:spcBef>
              <a:spcPct val="0"/>
            </a:spcBef>
            <a:spcAft>
              <a:spcPct val="15000"/>
            </a:spcAft>
            <a:buNone/>
          </a:pPr>
          <a:r>
            <a:rPr lang="en-AU" sz="1100" kern="1200" dirty="0"/>
            <a:t>4.2.2 Could Australia successfully negotiate satisfactory agreements with publishers?</a:t>
          </a:r>
        </a:p>
        <a:p>
          <a:pPr marL="57150" lvl="1" indent="-57150" algn="l" defTabSz="488950">
            <a:lnSpc>
              <a:spcPct val="90000"/>
            </a:lnSpc>
            <a:spcBef>
              <a:spcPct val="0"/>
            </a:spcBef>
            <a:spcAft>
              <a:spcPct val="15000"/>
            </a:spcAft>
            <a:buNone/>
          </a:pPr>
          <a:r>
            <a:rPr lang="en-AU" sz="1100" kern="1200" dirty="0"/>
            <a:t>4.2.3 How could the proposed model be equitably funded?</a:t>
          </a:r>
        </a:p>
      </dsp:txBody>
      <dsp:txXfrm>
        <a:off x="0" y="1031015"/>
        <a:ext cx="6120129" cy="831600"/>
      </dsp:txXfrm>
    </dsp:sp>
    <dsp:sp modelId="{FBF70389-8383-4A4A-8F54-0157AA85AD6E}">
      <dsp:nvSpPr>
        <dsp:cNvPr id="0" name=""/>
        <dsp:cNvSpPr/>
      </dsp:nvSpPr>
      <dsp:spPr>
        <a:xfrm>
          <a:off x="306006" y="868655"/>
          <a:ext cx="428409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marL="0" lvl="0" indent="0" algn="l" defTabSz="488950">
            <a:lnSpc>
              <a:spcPct val="90000"/>
            </a:lnSpc>
            <a:spcBef>
              <a:spcPct val="0"/>
            </a:spcBef>
            <a:spcAft>
              <a:spcPct val="35000"/>
            </a:spcAft>
            <a:buNone/>
          </a:pPr>
          <a:r>
            <a:rPr lang="en-AU" sz="1100" b="1" kern="1200" dirty="0">
              <a:solidFill>
                <a:sysClr val="windowText" lastClr="000000"/>
              </a:solidFill>
            </a:rPr>
            <a:t>4.2 Funding and affordability</a:t>
          </a:r>
        </a:p>
      </dsp:txBody>
      <dsp:txXfrm>
        <a:off x="321858" y="884507"/>
        <a:ext cx="4252387" cy="293016"/>
      </dsp:txXfrm>
    </dsp:sp>
    <dsp:sp modelId="{FDA158A7-EB94-439C-9CE3-B7192D05167C}">
      <dsp:nvSpPr>
        <dsp:cNvPr id="0" name=""/>
        <dsp:cNvSpPr/>
      </dsp:nvSpPr>
      <dsp:spPr>
        <a:xfrm>
          <a:off x="0" y="2084375"/>
          <a:ext cx="6120129" cy="10048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229108" rIns="474990"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4.3.1 What role and value would repositories have under the proposed model?</a:t>
          </a:r>
        </a:p>
        <a:p>
          <a:pPr marL="57150" lvl="1" indent="-57150" algn="l" defTabSz="488950">
            <a:lnSpc>
              <a:spcPct val="90000"/>
            </a:lnSpc>
            <a:spcBef>
              <a:spcPct val="0"/>
            </a:spcBef>
            <a:spcAft>
              <a:spcPct val="15000"/>
            </a:spcAft>
            <a:buNone/>
          </a:pPr>
          <a:r>
            <a:rPr lang="en-AU" sz="1100" kern="1200" dirty="0"/>
            <a:t>4.3.2 How would the implementation body provide end-user access for all Australians?</a:t>
          </a:r>
        </a:p>
        <a:p>
          <a:pPr marL="57150" lvl="1" indent="-57150" algn="l" defTabSz="488950">
            <a:lnSpc>
              <a:spcPct val="90000"/>
            </a:lnSpc>
            <a:spcBef>
              <a:spcPct val="0"/>
            </a:spcBef>
            <a:spcAft>
              <a:spcPct val="15000"/>
            </a:spcAft>
            <a:buNone/>
          </a:pPr>
          <a:r>
            <a:rPr lang="en-AU" sz="1100" kern="1200" dirty="0"/>
            <a:t>4.3.3 Should specific licensing arrangements be mandated for the model?</a:t>
          </a:r>
        </a:p>
        <a:p>
          <a:pPr marL="57150" lvl="1" indent="-57150" algn="l" defTabSz="488950">
            <a:lnSpc>
              <a:spcPct val="90000"/>
            </a:lnSpc>
            <a:spcBef>
              <a:spcPct val="0"/>
            </a:spcBef>
            <a:spcAft>
              <a:spcPct val="15000"/>
            </a:spcAft>
            <a:buNone/>
          </a:pPr>
          <a:r>
            <a:rPr lang="en-AU" sz="1100" kern="1200" dirty="0"/>
            <a:t>4.3.4 How could the model support industry uptake?</a:t>
          </a:r>
        </a:p>
      </dsp:txBody>
      <dsp:txXfrm>
        <a:off x="0" y="2084375"/>
        <a:ext cx="6120129" cy="1004850"/>
      </dsp:txXfrm>
    </dsp:sp>
    <dsp:sp modelId="{95034BE3-413C-4CAC-B4E5-2F18EE1524C5}">
      <dsp:nvSpPr>
        <dsp:cNvPr id="0" name=""/>
        <dsp:cNvSpPr/>
      </dsp:nvSpPr>
      <dsp:spPr>
        <a:xfrm>
          <a:off x="306006" y="1922015"/>
          <a:ext cx="428409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marL="0" lvl="0" indent="0" algn="l" defTabSz="488950">
            <a:lnSpc>
              <a:spcPct val="90000"/>
            </a:lnSpc>
            <a:spcBef>
              <a:spcPct val="0"/>
            </a:spcBef>
            <a:spcAft>
              <a:spcPct val="35000"/>
            </a:spcAft>
            <a:buNone/>
          </a:pPr>
          <a:r>
            <a:rPr lang="en-AU" sz="1100" b="1" kern="1200" dirty="0">
              <a:solidFill>
                <a:sysClr val="windowText" lastClr="000000"/>
              </a:solidFill>
            </a:rPr>
            <a:t>4.3 Access and impact</a:t>
          </a:r>
        </a:p>
      </dsp:txBody>
      <dsp:txXfrm>
        <a:off x="321858" y="1937867"/>
        <a:ext cx="4252387"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69BCF0EAF80040BE1AD7F3298FF28E" ma:contentTypeVersion="24" ma:contentTypeDescription="Create a new document." ma:contentTypeScope="" ma:versionID="d53912af0942fbdf675fbba51a09e1a8">
  <xsd:schema xmlns:xsd="http://www.w3.org/2001/XMLSchema" xmlns:xs="http://www.w3.org/2001/XMLSchema" xmlns:p="http://schemas.microsoft.com/office/2006/metadata/properties" xmlns:ns1="http://schemas.microsoft.com/sharepoint/v3" xmlns:ns2="86c96d13-3f4b-48aa-a619-a126d8504f5d" xmlns:ns3="5794fa97-a54a-4f8a-81fb-ebdc27eb9654" targetNamespace="http://schemas.microsoft.com/office/2006/metadata/properties" ma:root="true" ma:fieldsID="1f3dce0c131dc9b8bd62fbfa4a55edeb" ns1:_="" ns2:_="" ns3:_="">
    <xsd:import namespace="http://schemas.microsoft.com/sharepoint/v3"/>
    <xsd:import namespace="86c96d13-3f4b-48aa-a619-a126d8504f5d"/>
    <xsd:import namespace="5794fa97-a54a-4f8a-81fb-ebdc27eb9654"/>
    <xsd:element name="properties">
      <xsd:complexType>
        <xsd:sequence>
          <xsd:element name="documentManagement">
            <xsd:complexType>
              <xsd:all>
                <xsd:element ref="ns2:d13a9e52c11b42fca553006b5a46d2d8" minOccurs="0"/>
                <xsd:element ref="ns2:TaxCatchAll" minOccurs="0"/>
                <xsd:element ref="ns2:o748408ad332425290ce52b1cb91225b" minOccurs="0"/>
                <xsd:element ref="ns2:k5729fa35dfe4717a44f4f0b00cbb435" minOccurs="0"/>
                <xsd:element ref="ns2:kffe45ab1d90451dbff5c7dfdb92d750"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k6f7b262824142cfa3ce93a992d0a990"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c96d13-3f4b-48aa-a619-a126d8504f5d" elementFormDefault="qualified">
    <xsd:import namespace="http://schemas.microsoft.com/office/2006/documentManagement/types"/>
    <xsd:import namespace="http://schemas.microsoft.com/office/infopath/2007/PartnerControls"/>
    <xsd:element name="d13a9e52c11b42fca553006b5a46d2d8" ma:index="9" ma:taxonomy="true" ma:internalName="d13a9e52c11b42fca553006b5a46d2d8" ma:taxonomyFieldName="Stratus_DocumentType" ma:displayName="Document Type" ma:fieldId="{d13a9e52-c11b-42fc-a553-006b5a46d2d8}"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b058176-8b0d-44f1-be5e-59991f08ec50}" ma:internalName="TaxCatchAll" ma:showField="CatchAllData" ma:web="86c96d13-3f4b-48aa-a619-a126d8504f5d">
      <xsd:complexType>
        <xsd:complexContent>
          <xsd:extension base="dms:MultiChoiceLookup">
            <xsd:sequence>
              <xsd:element name="Value" type="dms:Lookup" maxOccurs="unbounded" minOccurs="0" nillable="true"/>
            </xsd:sequence>
          </xsd:extension>
        </xsd:complexContent>
      </xsd:complexType>
    </xsd:element>
    <xsd:element name="o748408ad332425290ce52b1cb91225b" ma:index="12" nillable="true" ma:taxonomy="true" ma:internalName="o748408ad332425290ce52b1cb91225b" ma:taxonomyFieldName="Stratus_WorkActivity" ma:displayName="Work Activity" ma:fieldId="{8748408a-d332-4252-90ce-52b1cb91225b}"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k5729fa35dfe4717a44f4f0b00cbb435" ma:index="14" ma:taxonomy="true" ma:internalName="k5729fa35dfe4717a44f4f0b00cbb435" ma:taxonomyFieldName="Stratus_SecurityClassification" ma:displayName="Security Classification" ma:fieldId="{45729fa3-5dfe-4717-a44f-4f0b00cbb435}"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kffe45ab1d90451dbff5c7dfdb92d750" ma:index="16" nillable="true" ma:taxonomy="true" ma:internalName="kffe45ab1d90451dbff5c7dfdb92d750" ma:taxonomyFieldName="Stratus_Year" ma:displayName="Year" ma:fieldId="{4ffe45ab-1d90-451d-bff5-c7dfdb92d750}"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k6f7b262824142cfa3ce93a992d0a990" ma:index="23" nillable="true" ma:taxonomy="true" ma:internalName="k6f7b262824142cfa3ce93a992d0a990" ma:taxonomyFieldName="Stratus_OCSProjects" ma:displayName="Project" ma:readOnly="false" ma:default="" ma:fieldId="{46f7b262-8241-42cf-a3ce-93a992d0a990}" ma:sspId="b6206a2c-5ee7-4d50-b3ee-2668e744af9d" ma:termSetId="5492c827-7c54-4bfe-ac29-25887cf142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94fa97-a54a-4f8a-81fb-ebdc27eb965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94fa97-a54a-4f8a-81fb-ebdc27eb9654">
      <Terms xmlns="http://schemas.microsoft.com/office/infopath/2007/PartnerControls"/>
    </lcf76f155ced4ddcb4097134ff3c332f>
    <TaxCatchAll xmlns="86c96d13-3f4b-48aa-a619-a126d8504f5d">
      <Value>9</Value>
      <Value>131</Value>
      <Value>11</Value>
      <Value>2</Value>
    </TaxCatchAll>
    <d13a9e52c11b42fca553006b5a46d2d8 xmlns="86c96d13-3f4b-48aa-a619-a126d8504f5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d13a9e52c11b42fca553006b5a46d2d8>
    <kffe45ab1d90451dbff5c7dfdb92d750 xmlns="86c96d13-3f4b-48aa-a619-a126d8504f5d">
      <Terms xmlns="http://schemas.microsoft.com/office/infopath/2007/PartnerControls"/>
    </kffe45ab1d90451dbff5c7dfdb92d750>
    <o748408ad332425290ce52b1cb91225b xmlns="86c96d13-3f4b-48aa-a619-a126d8504f5d">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13d12212-b92f-4304-85a1-c2aa2fe41b17</TermId>
        </TermInfo>
      </Terms>
    </o748408ad332425290ce52b1cb91225b>
    <k5729fa35dfe4717a44f4f0b00cbb435 xmlns="86c96d13-3f4b-48aa-a619-a126d8504f5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k5729fa35dfe4717a44f4f0b00cbb435>
    <k6f7b262824142cfa3ce93a992d0a990 xmlns="86c96d13-3f4b-48aa-a619-a126d8504f5d">
      <Terms xmlns="http://schemas.microsoft.com/office/infopath/2007/PartnerControls">
        <TermInfo xmlns="http://schemas.microsoft.com/office/infopath/2007/PartnerControls">
          <TermName xmlns="http://schemas.microsoft.com/office/infopath/2007/PartnerControls">Open Access</TermName>
          <TermId xmlns="http://schemas.microsoft.com/office/infopath/2007/PartnerControls">3c47eee3-40a4-41fc-a25c-21cc9e22d114</TermId>
        </TermInfo>
      </Terms>
    </k6f7b262824142cfa3ce93a992d0a990>
    <Comments xmlns="http://schemas.microsoft.com/sharepoint/v3" xsi:nil="true"/>
  </documentManagement>
</p:properties>
</file>

<file path=customXml/itemProps1.xml><?xml version="1.0" encoding="utf-8"?>
<ds:datastoreItem xmlns:ds="http://schemas.openxmlformats.org/officeDocument/2006/customXml" ds:itemID="{82E5D4BA-91E4-43A6-984C-9A5F67DF52CE}">
  <ds:schemaRefs>
    <ds:schemaRef ds:uri="http://schemas.microsoft.com/sharepoint/v3/contenttype/forms"/>
  </ds:schemaRefs>
</ds:datastoreItem>
</file>

<file path=customXml/itemProps2.xml><?xml version="1.0" encoding="utf-8"?>
<ds:datastoreItem xmlns:ds="http://schemas.openxmlformats.org/officeDocument/2006/customXml" ds:itemID="{BBF430D0-65FF-4AA6-91BA-191FA8273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c96d13-3f4b-48aa-a619-a126d8504f5d"/>
    <ds:schemaRef ds:uri="5794fa97-a54a-4f8a-81fb-ebdc27eb9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1B938-499A-44E7-8569-60314921B25C}">
  <ds:schemaRefs>
    <ds:schemaRef ds:uri="http://schemas.openxmlformats.org/officeDocument/2006/bibliography"/>
  </ds:schemaRefs>
</ds:datastoreItem>
</file>

<file path=customXml/itemProps4.xml><?xml version="1.0" encoding="utf-8"?>
<ds:datastoreItem xmlns:ds="http://schemas.openxmlformats.org/officeDocument/2006/customXml" ds:itemID="{11F9A4CC-2245-4701-942F-1BDC4D0EE96B}">
  <ds:schemaRefs>
    <ds:schemaRef ds:uri="http://schemas.microsoft.com/office/2006/metadata/properties"/>
    <ds:schemaRef ds:uri="http://schemas.microsoft.com/office/infopath/2007/PartnerControls"/>
    <ds:schemaRef ds:uri="5794fa97-a54a-4f8a-81fb-ebdc27eb9654"/>
    <ds:schemaRef ds:uri="86c96d13-3f4b-48aa-a619-a126d8504f5d"/>
    <ds:schemaRef ds:uri="http://schemas.microsoft.com/sharepoint/v3"/>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Simple Report - standard.dotx</Template>
  <TotalTime>773</TotalTime>
  <Pages>70</Pages>
  <Words>17756</Words>
  <Characters>108885</Characters>
  <Application>Microsoft Office Word</Application>
  <DocSecurity>0</DocSecurity>
  <Lines>907</Lines>
  <Paragraphs>252</Paragraphs>
  <ScaleCrop>false</ScaleCrop>
  <HeadingPairs>
    <vt:vector size="2" baseType="variant">
      <vt:variant>
        <vt:lpstr>Title</vt:lpstr>
      </vt:variant>
      <vt:variant>
        <vt:i4>1</vt:i4>
      </vt:variant>
    </vt:vector>
  </HeadingPairs>
  <TitlesOfParts>
    <vt:vector size="1" baseType="lpstr">
      <vt:lpstr>Open Access Prospective Analysis</vt:lpstr>
    </vt:vector>
  </TitlesOfParts>
  <Company>CSIRO</Company>
  <LinksUpToDate>false</LinksUpToDate>
  <CharactersWithSpaces>126389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Prospective Analysis</dc:title>
  <dc:subject/>
  <dc:creator>Banfield, Dominic (Services, Clayton)</dc:creator>
  <cp:keywords/>
  <cp:lastModifiedBy>Banfield, Dominic (He / Him) (Science Connect, Clayton)</cp:lastModifiedBy>
  <cp:revision>84</cp:revision>
  <cp:lastPrinted>2024-09-18T00:23:00Z</cp:lastPrinted>
  <dcterms:created xsi:type="dcterms:W3CDTF">2024-09-19T07:17:00Z</dcterms:created>
  <dcterms:modified xsi:type="dcterms:W3CDTF">2024-09-30T05:14:00Z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0x0101008569BCF0EAF80040BE1AD7F3298FF28E</vt:lpwstr>
  </property>
  <property fmtid="{D5CDD505-2E9C-101B-9397-08002B2CF9AE}" pid="5" name="Mendeley Document_1">
    <vt:lpwstr>True</vt:lpwstr>
  </property>
  <property fmtid="{D5CDD505-2E9C-101B-9397-08002B2CF9AE}" pid="6" name="Mendeley Citation Style_1">
    <vt:lpwstr>http://www.zotero.org/styles/csiro-reports</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 edition</vt:lpwstr>
  </property>
  <property fmtid="{D5CDD505-2E9C-101B-9397-08002B2CF9AE}" pid="13" name="Mendeley Recent Style Id 3_1">
    <vt:lpwstr>http://www.zotero.org/styles/csiro-reports</vt:lpwstr>
  </property>
  <property fmtid="{D5CDD505-2E9C-101B-9397-08002B2CF9AE}" pid="14" name="Mendeley Recent Style Name 3_1">
    <vt:lpwstr>CSIRO Reports</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Mendeley Unique User Id_1">
    <vt:lpwstr>730522e6-34f1-3966-9f19-10e3e91790f7</vt:lpwstr>
  </property>
  <property fmtid="{D5CDD505-2E9C-101B-9397-08002B2CF9AE}" pid="28" name="DocHub_DocumentType">
    <vt:lpwstr>47;#Analysis|48c54089-4c01-49cb-b266-0173afb66157</vt:lpwstr>
  </property>
  <property fmtid="{D5CDD505-2E9C-101B-9397-08002B2CF9AE}" pid="29" name="DocHub_SecurityClassification">
    <vt:lpwstr>8;#OFFICIAL|6106d03b-a1a0-4e30-9d91-d5e9fb4314f9</vt:lpwstr>
  </property>
  <property fmtid="{D5CDD505-2E9C-101B-9397-08002B2CF9AE}" pid="30" name="DocHub_ScanningTopic">
    <vt:lpwstr/>
  </property>
  <property fmtid="{D5CDD505-2E9C-101B-9397-08002B2CF9AE}" pid="31" name="DocHub_OCSProject">
    <vt:lpwstr>1207;#Open Access|c8f174fe-f600-4749-8e00-87e26848015b</vt:lpwstr>
  </property>
  <property fmtid="{D5CDD505-2E9C-101B-9397-08002B2CF9AE}" pid="32" name="DocHub_WorkActivity">
    <vt:lpwstr/>
  </property>
  <property fmtid="{D5CDD505-2E9C-101B-9397-08002B2CF9AE}" pid="33" name="DocHub_Keywords">
    <vt:lpwstr>1177;#Open Access|7db28206-7498-4bd0-b8aa-433cdbab6a79</vt:lpwstr>
  </property>
  <property fmtid="{D5CDD505-2E9C-101B-9397-08002B2CF9AE}" pid="34" name="DocHub_Year">
    <vt:lpwstr>1127;#2021|712d5b50-1b62-44de-9d3e-74234783b265</vt:lpwstr>
  </property>
  <property fmtid="{D5CDD505-2E9C-101B-9397-08002B2CF9AE}" pid="35" name="_dlc_DocIdItemGuid">
    <vt:lpwstr>ad0f9cae-bf27-4d83-b9c5-a327fff8d502</vt:lpwstr>
  </property>
  <property fmtid="{D5CDD505-2E9C-101B-9397-08002B2CF9AE}" pid="36" name="Order">
    <vt:r8>39300</vt:r8>
  </property>
  <property fmtid="{D5CDD505-2E9C-101B-9397-08002B2CF9AE}" pid="37" name="xd_Signature">
    <vt:bool>false</vt:bool>
  </property>
  <property fmtid="{D5CDD505-2E9C-101B-9397-08002B2CF9AE}" pid="38" name="xd_ProgID">
    <vt:lpwstr/>
  </property>
  <property fmtid="{D5CDD505-2E9C-101B-9397-08002B2CF9AE}" pid="39" name="ComplianceAssetId">
    <vt:lpwstr/>
  </property>
  <property fmtid="{D5CDD505-2E9C-101B-9397-08002B2CF9AE}" pid="40" name="TemplateUrl">
    <vt:lpwstr/>
  </property>
  <property fmtid="{D5CDD505-2E9C-101B-9397-08002B2CF9AE}" pid="41" name="_ExtendedDescription">
    <vt:lpwstr/>
  </property>
  <property fmtid="{D5CDD505-2E9C-101B-9397-08002B2CF9AE}" pid="42" name="TriggerFlowInfo">
    <vt:lpwstr/>
  </property>
  <property fmtid="{D5CDD505-2E9C-101B-9397-08002B2CF9AE}" pid="43" name="MediaServiceImageTags">
    <vt:lpwstr/>
  </property>
  <property fmtid="{D5CDD505-2E9C-101B-9397-08002B2CF9AE}" pid="44" name="Stratus_WorkActivity">
    <vt:lpwstr>131;#Publishing|13d12212-b92f-4304-85a1-c2aa2fe41b17</vt:lpwstr>
  </property>
  <property fmtid="{D5CDD505-2E9C-101B-9397-08002B2CF9AE}" pid="45" name="Stratus_Year">
    <vt:lpwstr/>
  </property>
  <property fmtid="{D5CDD505-2E9C-101B-9397-08002B2CF9AE}" pid="46" name="Stratus_DocumentType">
    <vt:lpwstr>11;#Report|48effc76-1fc0-4a04-a22f-09c13f277e05</vt:lpwstr>
  </property>
  <property fmtid="{D5CDD505-2E9C-101B-9397-08002B2CF9AE}" pid="47" name="Stratus_SecurityClassification">
    <vt:lpwstr>2;#OFFICIAL|1077e141-03cb-4307-8c0f-d43dc85f509f</vt:lpwstr>
  </property>
  <property fmtid="{D5CDD505-2E9C-101B-9397-08002B2CF9AE}" pid="48" name="Stratus_OCSProjects">
    <vt:lpwstr>9;#Open Access|3c47eee3-40a4-41fc-a25c-21cc9e22d114</vt:lpwstr>
  </property>
</Properties>
</file>