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6.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7.xml" ContentType="application/vnd.openxmlformats-officedocument.drawingml.chartshapes+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595EC3" w14:textId="584A824C" w:rsidR="00FB678D" w:rsidRDefault="00FB678D" w:rsidP="00477AFA"/>
    <w:p w14:paraId="7F90BA17" w14:textId="77777777" w:rsidR="00FB678D" w:rsidRDefault="00FB678D" w:rsidP="00477AFA"/>
    <w:p w14:paraId="2B5198CC" w14:textId="77777777" w:rsidR="00FB678D" w:rsidRDefault="00FB678D" w:rsidP="00477AFA"/>
    <w:p w14:paraId="13247E55" w14:textId="77777777" w:rsidR="00FB678D" w:rsidRDefault="00FB678D" w:rsidP="00477AFA"/>
    <w:p w14:paraId="3734753F" w14:textId="77777777" w:rsidR="00FB678D" w:rsidRDefault="00FB678D" w:rsidP="00477AFA"/>
    <w:p w14:paraId="1BEE915A" w14:textId="77777777" w:rsidR="00FB678D" w:rsidRDefault="00FB678D" w:rsidP="00477AFA"/>
    <w:p w14:paraId="17E81212" w14:textId="77777777" w:rsidR="00FB678D" w:rsidRDefault="00FB678D" w:rsidP="00477AFA"/>
    <w:p w14:paraId="40D0E08F" w14:textId="77777777" w:rsidR="00FB678D" w:rsidRDefault="00FB678D" w:rsidP="00477AFA"/>
    <w:p w14:paraId="43A8E32A" w14:textId="77777777" w:rsidR="00FB678D" w:rsidRDefault="00FB678D" w:rsidP="00477AFA"/>
    <w:p w14:paraId="71C31EA2" w14:textId="77777777" w:rsidR="00FB678D" w:rsidRDefault="00FB678D" w:rsidP="00477AFA"/>
    <w:p w14:paraId="423FBB0A" w14:textId="77777777" w:rsidR="00FB678D" w:rsidRDefault="00FB678D" w:rsidP="00477AFA"/>
    <w:p w14:paraId="25DDC48E" w14:textId="77777777" w:rsidR="00FB678D" w:rsidRDefault="00FB678D" w:rsidP="00477AFA"/>
    <w:p w14:paraId="34C98FF9" w14:textId="77777777" w:rsidR="00FB678D" w:rsidRDefault="00FB678D" w:rsidP="00477AFA"/>
    <w:p w14:paraId="6030E07A" w14:textId="77777777" w:rsidR="00FB678D" w:rsidRDefault="00FB678D" w:rsidP="00477AFA"/>
    <w:p w14:paraId="54DCDAA3" w14:textId="326F9DA9" w:rsidR="00FB678D" w:rsidRDefault="006C461F" w:rsidP="006C461F">
      <w:pPr>
        <w:tabs>
          <w:tab w:val="left" w:pos="8820"/>
        </w:tabs>
      </w:pPr>
      <w:r>
        <w:tab/>
      </w:r>
    </w:p>
    <w:p w14:paraId="559972F4" w14:textId="77777777" w:rsidR="00FB678D" w:rsidRDefault="00FB678D" w:rsidP="00477AFA"/>
    <w:p w14:paraId="4C951CD0" w14:textId="37CCC3E3" w:rsidR="00477AFA" w:rsidRPr="00926D59" w:rsidRDefault="00477AFA" w:rsidP="00477AFA">
      <w:pPr>
        <w:sectPr w:rsidR="00477AFA" w:rsidRPr="00926D59" w:rsidSect="00AF3DA7">
          <w:headerReference w:type="even" r:id="rId11"/>
          <w:headerReference w:type="default" r:id="rId12"/>
          <w:footerReference w:type="even" r:id="rId13"/>
          <w:footerReference w:type="default" r:id="rId14"/>
          <w:headerReference w:type="first" r:id="rId15"/>
          <w:footerReference w:type="first" r:id="rId16"/>
          <w:pgSz w:w="11909" w:h="16834" w:code="9"/>
          <w:pgMar w:top="964" w:right="709" w:bottom="964" w:left="709" w:header="709" w:footer="709" w:gutter="0"/>
          <w:cols w:space="720"/>
          <w:docGrid w:linePitch="360"/>
        </w:sectPr>
      </w:pPr>
      <w:r w:rsidRPr="00926D59">
        <w:rPr>
          <w:noProof/>
          <w:lang w:eastAsia="en-AU"/>
        </w:rPr>
        <mc:AlternateContent>
          <mc:Choice Requires="wps">
            <w:drawing>
              <wp:anchor distT="0" distB="0" distL="114300" distR="114300" simplePos="0" relativeHeight="251658240" behindDoc="0" locked="1" layoutInCell="1" allowOverlap="1" wp14:anchorId="18D5A42F" wp14:editId="4583BF92">
                <wp:simplePos x="0" y="0"/>
                <wp:positionH relativeFrom="page">
                  <wp:posOffset>745490</wp:posOffset>
                </wp:positionH>
                <wp:positionV relativeFrom="page">
                  <wp:posOffset>1555115</wp:posOffset>
                </wp:positionV>
                <wp:extent cx="3121200" cy="2854800"/>
                <wp:effectExtent l="0" t="0" r="3175"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200" cy="285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89E25" w14:textId="320420D0" w:rsidR="001F6E0E" w:rsidRPr="00B12C43" w:rsidRDefault="001C758C" w:rsidP="00477AFA">
                            <w:pPr>
                              <w:pStyle w:val="EYCoverTitle"/>
                            </w:pPr>
                            <w:r>
                              <w:t>A n</w:t>
                            </w:r>
                            <w:r w:rsidR="001F6E0E">
                              <w:t xml:space="preserve">ational </w:t>
                            </w:r>
                            <w:r>
                              <w:t>s</w:t>
                            </w:r>
                            <w:r w:rsidR="001F6E0E">
                              <w:t xml:space="preserve">trategy for </w:t>
                            </w:r>
                            <w:r w:rsidR="008A78F3">
                              <w:t>o</w:t>
                            </w:r>
                            <w:r w:rsidR="001F6E0E">
                              <w:t xml:space="preserve">pen </w:t>
                            </w:r>
                            <w:r w:rsidR="008A78F3">
                              <w:t>a</w:t>
                            </w:r>
                            <w:r w:rsidR="001F6E0E">
                              <w:t>ccess</w:t>
                            </w:r>
                          </w:p>
                          <w:p w14:paraId="3E6DE7C0" w14:textId="26F5CA7A" w:rsidR="001C758C" w:rsidRDefault="00DF5FD8" w:rsidP="00477AFA">
                            <w:pPr>
                              <w:pStyle w:val="EYCoverSubTitle"/>
                            </w:pPr>
                            <w:r>
                              <w:t>Briefing paper</w:t>
                            </w:r>
                          </w:p>
                          <w:p w14:paraId="23124E3F" w14:textId="77777777" w:rsidR="001C758C" w:rsidRDefault="001C758C" w:rsidP="00477AFA">
                            <w:pPr>
                              <w:pStyle w:val="EYCoverSubTitle"/>
                            </w:pPr>
                          </w:p>
                          <w:p w14:paraId="05C929A4" w14:textId="77777777" w:rsidR="00376C7A" w:rsidRDefault="00376C7A" w:rsidP="00477AFA">
                            <w:pPr>
                              <w:pStyle w:val="EYCoverSubTitle"/>
                            </w:pPr>
                          </w:p>
                          <w:p w14:paraId="59679628" w14:textId="3FE315D4" w:rsidR="001F6E0E" w:rsidRDefault="007D4F3B" w:rsidP="00477AFA">
                            <w:pPr>
                              <w:pStyle w:val="EYCoverSubTitle"/>
                            </w:pPr>
                            <w:r>
                              <w:t>Office of the Chief Scientist</w:t>
                            </w:r>
                          </w:p>
                          <w:p w14:paraId="75F85684" w14:textId="74C7EF39" w:rsidR="001F6E0E" w:rsidRPr="00376C7A" w:rsidRDefault="00376C7A" w:rsidP="00477AFA">
                            <w:pPr>
                              <w:pStyle w:val="EYCoverDate"/>
                              <w:rPr>
                                <w:color w:val="auto"/>
                              </w:rPr>
                            </w:pPr>
                            <w:r w:rsidRPr="00376C7A">
                              <w:rPr>
                                <w:color w:val="auto"/>
                              </w:rPr>
                              <w:t>30 September</w:t>
                            </w:r>
                            <w:r w:rsidR="001F6E0E" w:rsidRPr="00376C7A">
                              <w:rPr>
                                <w:color w:val="auto"/>
                              </w:rPr>
                              <w:t xml:space="preserve"> 2022</w:t>
                            </w:r>
                          </w:p>
                          <w:p w14:paraId="44AA2F30" w14:textId="464B7259" w:rsidR="00C87B24" w:rsidRPr="002C72A1" w:rsidRDefault="00C87B24" w:rsidP="00477AFA">
                            <w:pPr>
                              <w:pStyle w:val="EYCoverDate"/>
                              <w:rPr>
                                <w:color w:val="auto"/>
                              </w:rPr>
                            </w:pPr>
                          </w:p>
                          <w:p w14:paraId="4A98CA96" w14:textId="21295F0F" w:rsidR="00C87B24" w:rsidRPr="002C72A1" w:rsidRDefault="00C87B24" w:rsidP="00477AFA">
                            <w:pPr>
                              <w:pStyle w:val="EYCoverDate"/>
                              <w:rPr>
                                <w:color w:val="auto"/>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D5A42F" id="_x0000_t202" coordsize="21600,21600" o:spt="202" path="m,l,21600r21600,l21600,xe">
                <v:stroke joinstyle="miter"/>
                <v:path gradientshapeok="t" o:connecttype="rect"/>
              </v:shapetype>
              <v:shape id="Text Box 2" o:spid="_x0000_s1026" type="#_x0000_t202" style="position:absolute;margin-left:58.7pt;margin-top:122.45pt;width:245.75pt;height:224.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" filled="f" stroked="f">
                <v:textbox inset="0,0,0,0">
                  <w:txbxContent>
                    <w:p w14:paraId="06C89E25" w14:textId="320420D0" w:rsidR="001F6E0E" w:rsidRPr="00B12C43" w:rsidRDefault="001C758C" w:rsidP="00477AFA">
                      <w:pPr>
                        <w:pStyle w:val="EYCoverTitle"/>
                      </w:pPr>
                      <w:r>
                        <w:t>A n</w:t>
                      </w:r>
                      <w:r w:rsidR="001F6E0E">
                        <w:t xml:space="preserve">ational </w:t>
                      </w:r>
                      <w:r>
                        <w:t>s</w:t>
                      </w:r>
                      <w:r w:rsidR="001F6E0E">
                        <w:t xml:space="preserve">trategy for </w:t>
                      </w:r>
                      <w:r w:rsidR="008A78F3">
                        <w:t>o</w:t>
                      </w:r>
                      <w:r w:rsidR="001F6E0E">
                        <w:t xml:space="preserve">pen </w:t>
                      </w:r>
                      <w:r w:rsidR="008A78F3">
                        <w:t>a</w:t>
                      </w:r>
                      <w:r w:rsidR="001F6E0E">
                        <w:t>ccess</w:t>
                      </w:r>
                    </w:p>
                    <w:p w14:paraId="3E6DE7C0" w14:textId="26F5CA7A" w:rsidR="001C758C" w:rsidRDefault="00DF5FD8" w:rsidP="00477AFA">
                      <w:pPr>
                        <w:pStyle w:val="EYCoverSubTitle"/>
                      </w:pPr>
                      <w:r>
                        <w:t>Briefing paper</w:t>
                      </w:r>
                    </w:p>
                    <w:p w14:paraId="23124E3F" w14:textId="77777777" w:rsidR="001C758C" w:rsidRDefault="001C758C" w:rsidP="00477AFA">
                      <w:pPr>
                        <w:pStyle w:val="EYCoverSubTitle"/>
                      </w:pPr>
                    </w:p>
                    <w:p w14:paraId="05C929A4" w14:textId="77777777" w:rsidR="00376C7A" w:rsidRDefault="00376C7A" w:rsidP="00477AFA">
                      <w:pPr>
                        <w:pStyle w:val="EYCoverSubTitle"/>
                      </w:pPr>
                    </w:p>
                    <w:p w14:paraId="59679628" w14:textId="3FE315D4" w:rsidR="001F6E0E" w:rsidRDefault="007D4F3B" w:rsidP="00477AFA">
                      <w:pPr>
                        <w:pStyle w:val="EYCoverSubTitle"/>
                      </w:pPr>
                      <w:r>
                        <w:t>Office of the Chief Scientist</w:t>
                      </w:r>
                    </w:p>
                    <w:p w14:paraId="75F85684" w14:textId="74C7EF39" w:rsidR="001F6E0E" w:rsidRPr="00376C7A" w:rsidRDefault="00376C7A" w:rsidP="00477AFA">
                      <w:pPr>
                        <w:pStyle w:val="EYCoverDate"/>
                        <w:rPr>
                          <w:color w:val="auto"/>
                        </w:rPr>
                      </w:pPr>
                      <w:r w:rsidRPr="00376C7A">
                        <w:rPr>
                          <w:color w:val="auto"/>
                        </w:rPr>
                        <w:t>30 September</w:t>
                      </w:r>
                      <w:r w:rsidR="001F6E0E" w:rsidRPr="00376C7A">
                        <w:rPr>
                          <w:color w:val="auto"/>
                        </w:rPr>
                        <w:t xml:space="preserve"> 2022</w:t>
                      </w:r>
                    </w:p>
                    <w:p w14:paraId="44AA2F30" w14:textId="464B7259" w:rsidR="00C87B24" w:rsidRPr="002C72A1" w:rsidRDefault="00C87B24" w:rsidP="00477AFA">
                      <w:pPr>
                        <w:pStyle w:val="EYCoverDate"/>
                        <w:rPr>
                          <w:color w:val="auto"/>
                        </w:rPr>
                      </w:pPr>
                    </w:p>
                    <w:p w14:paraId="4A98CA96" w14:textId="21295F0F" w:rsidR="00C87B24" w:rsidRPr="002C72A1" w:rsidRDefault="00C87B24" w:rsidP="00477AFA">
                      <w:pPr>
                        <w:pStyle w:val="EYCoverDate"/>
                        <w:rPr>
                          <w:color w:val="auto"/>
                        </w:rPr>
                      </w:pPr>
                    </w:p>
                  </w:txbxContent>
                </v:textbox>
                <w10:wrap anchorx="page" anchory="page"/>
                <w10:anchorlock/>
              </v:shape>
            </w:pict>
          </mc:Fallback>
        </mc:AlternateContent>
      </w:r>
    </w:p>
    <w:p w14:paraId="6980023C" w14:textId="11A244E9" w:rsidR="00674B7E" w:rsidRPr="008F70C5" w:rsidRDefault="00674B7E" w:rsidP="00674B7E">
      <w:pPr>
        <w:spacing w:after="120"/>
        <w:jc w:val="center"/>
        <w:rPr>
          <w:b/>
          <w:color w:val="747480"/>
          <w:sz w:val="32"/>
          <w:szCs w:val="32"/>
        </w:rPr>
      </w:pPr>
      <w:r w:rsidRPr="008F70C5">
        <w:rPr>
          <w:b/>
          <w:color w:val="747480"/>
          <w:sz w:val="32"/>
          <w:szCs w:val="32"/>
        </w:rPr>
        <w:lastRenderedPageBreak/>
        <w:t>Release Notice</w:t>
      </w:r>
    </w:p>
    <w:p w14:paraId="6EE2A8DC" w14:textId="77777777" w:rsidR="00674B7E" w:rsidRDefault="00674B7E" w:rsidP="00674B7E">
      <w:pPr>
        <w:autoSpaceDE/>
        <w:autoSpaceDN/>
        <w:adjustRightInd/>
        <w:spacing w:after="180"/>
        <w:rPr>
          <w:sz w:val="17"/>
          <w:szCs w:val="17"/>
        </w:rPr>
      </w:pPr>
      <w:bookmarkStart w:id="0" w:name="_Ref27661161"/>
      <w:r w:rsidRPr="00222965">
        <w:rPr>
          <w:sz w:val="17"/>
          <w:szCs w:val="17"/>
        </w:rPr>
        <w:t>Ernst &amp; Young (“EY”) was engaged on the instructions of</w:t>
      </w:r>
      <w:r>
        <w:rPr>
          <w:sz w:val="17"/>
          <w:szCs w:val="17"/>
        </w:rPr>
        <w:t xml:space="preserve"> the Department of Industry, Science and Resources (“</w:t>
      </w:r>
      <w:r w:rsidRPr="00C718DA">
        <w:rPr>
          <w:sz w:val="17"/>
          <w:szCs w:val="17"/>
        </w:rPr>
        <w:t>Client”)</w:t>
      </w:r>
      <w:r>
        <w:rPr>
          <w:sz w:val="17"/>
          <w:szCs w:val="17"/>
        </w:rPr>
        <w:t xml:space="preserve"> </w:t>
      </w:r>
      <w:r w:rsidRPr="00222965">
        <w:rPr>
          <w:sz w:val="17"/>
          <w:szCs w:val="17"/>
        </w:rPr>
        <w:t>to</w:t>
      </w:r>
      <w:r>
        <w:rPr>
          <w:sz w:val="17"/>
          <w:szCs w:val="17"/>
        </w:rPr>
        <w:t xml:space="preserve"> </w:t>
      </w:r>
      <w:r w:rsidRPr="00C718DA">
        <w:rPr>
          <w:sz w:val="17"/>
          <w:szCs w:val="17"/>
        </w:rPr>
        <w:t>develop a briefing paper for a</w:t>
      </w:r>
      <w:r>
        <w:rPr>
          <w:sz w:val="17"/>
          <w:szCs w:val="17"/>
        </w:rPr>
        <w:t xml:space="preserve"> national </w:t>
      </w:r>
      <w:r w:rsidRPr="00C718DA">
        <w:rPr>
          <w:sz w:val="17"/>
          <w:szCs w:val="17"/>
        </w:rPr>
        <w:t xml:space="preserve">open access scheme that provides </w:t>
      </w:r>
      <w:r>
        <w:rPr>
          <w:sz w:val="17"/>
          <w:szCs w:val="17"/>
        </w:rPr>
        <w:t xml:space="preserve">expanded community-wide </w:t>
      </w:r>
      <w:r w:rsidRPr="00C718DA">
        <w:rPr>
          <w:sz w:val="17"/>
          <w:szCs w:val="17"/>
        </w:rPr>
        <w:t>access to academic journals ("Project")</w:t>
      </w:r>
      <w:r w:rsidRPr="00222965">
        <w:rPr>
          <w:sz w:val="17"/>
          <w:szCs w:val="17"/>
        </w:rPr>
        <w:t>, in accordance with the</w:t>
      </w:r>
      <w:r>
        <w:rPr>
          <w:sz w:val="17"/>
          <w:szCs w:val="17"/>
        </w:rPr>
        <w:t xml:space="preserve"> contract</w:t>
      </w:r>
      <w:r w:rsidRPr="00C718DA">
        <w:rPr>
          <w:sz w:val="17"/>
          <w:szCs w:val="17"/>
        </w:rPr>
        <w:t xml:space="preserve"> dated 16 March 2022</w:t>
      </w:r>
      <w:r w:rsidRPr="00222965">
        <w:rPr>
          <w:sz w:val="17"/>
          <w:szCs w:val="17"/>
        </w:rPr>
        <w:t>.</w:t>
      </w:r>
    </w:p>
    <w:p w14:paraId="087503CD" w14:textId="6E65D87E" w:rsidR="00674B7E" w:rsidRDefault="00674B7E" w:rsidP="00674B7E">
      <w:pPr>
        <w:autoSpaceDE/>
        <w:autoSpaceDN/>
        <w:adjustRightInd/>
        <w:spacing w:after="180"/>
        <w:rPr>
          <w:sz w:val="17"/>
          <w:szCs w:val="17"/>
        </w:rPr>
      </w:pPr>
      <w:r w:rsidRPr="00A0134B">
        <w:rPr>
          <w:sz w:val="17"/>
          <w:szCs w:val="17"/>
        </w:rPr>
        <w:t xml:space="preserve">The results of EY’s work, including the assumptions and qualifications made in preparing the report, are set out in EY’s report dated </w:t>
      </w:r>
      <w:r>
        <w:rPr>
          <w:sz w:val="17"/>
          <w:szCs w:val="17"/>
        </w:rPr>
        <w:t>30 September 2022</w:t>
      </w:r>
      <w:r w:rsidRPr="001B0900">
        <w:rPr>
          <w:rFonts w:cstheme="minorHAnsi"/>
        </w:rPr>
        <w:t xml:space="preserve"> </w:t>
      </w:r>
      <w:r w:rsidRPr="00AF5DBA">
        <w:rPr>
          <w:sz w:val="17"/>
          <w:szCs w:val="17"/>
        </w:rPr>
        <w:t>("Report")</w:t>
      </w:r>
      <w:r w:rsidRPr="00A0134B">
        <w:rPr>
          <w:sz w:val="17"/>
          <w:szCs w:val="17"/>
        </w:rPr>
        <w:t>. The Report should be read in its entirety</w:t>
      </w:r>
      <w:r>
        <w:rPr>
          <w:sz w:val="17"/>
          <w:szCs w:val="17"/>
        </w:rPr>
        <w:t xml:space="preserve"> including this release notice</w:t>
      </w:r>
      <w:r w:rsidRPr="00A0134B">
        <w:rPr>
          <w:sz w:val="17"/>
          <w:szCs w:val="17"/>
        </w:rPr>
        <w:t xml:space="preserve">, the applicable scope of the work and any limitations. A reference to the Report includes any part of the Report.  </w:t>
      </w:r>
    </w:p>
    <w:p w14:paraId="0C1F76F7" w14:textId="77777777" w:rsidR="00674B7E" w:rsidRDefault="00674B7E" w:rsidP="00674B7E">
      <w:pPr>
        <w:autoSpaceDE/>
        <w:autoSpaceDN/>
        <w:adjustRightInd/>
        <w:spacing w:after="180"/>
        <w:rPr>
          <w:sz w:val="17"/>
          <w:szCs w:val="17"/>
        </w:rPr>
      </w:pPr>
      <w:r w:rsidRPr="009E0829">
        <w:rPr>
          <w:sz w:val="17"/>
          <w:szCs w:val="17"/>
        </w:rPr>
        <w:t xml:space="preserve">EY has prepared the Report for the benefit of </w:t>
      </w:r>
      <w:r>
        <w:rPr>
          <w:sz w:val="17"/>
          <w:szCs w:val="17"/>
        </w:rPr>
        <w:t>the Client</w:t>
      </w:r>
      <w:r w:rsidRPr="009E0829">
        <w:rPr>
          <w:sz w:val="17"/>
          <w:szCs w:val="17"/>
        </w:rPr>
        <w:t xml:space="preserve"> and has considered only the interest of </w:t>
      </w:r>
      <w:r>
        <w:rPr>
          <w:sz w:val="17"/>
          <w:szCs w:val="17"/>
        </w:rPr>
        <w:t>the Client</w:t>
      </w:r>
      <w:r w:rsidRPr="009E0829">
        <w:rPr>
          <w:sz w:val="17"/>
          <w:szCs w:val="17"/>
        </w:rPr>
        <w:t xml:space="preserve">. EY has not been engaged to act, and has not acted, as advisor to any other party. Accordingly, EY makes no representations as to the appropriateness, accuracy or completeness of the Report for any other party's purposes. </w:t>
      </w:r>
    </w:p>
    <w:p w14:paraId="2E238AA5" w14:textId="77777777" w:rsidR="00674B7E" w:rsidRPr="009E0829" w:rsidRDefault="00674B7E" w:rsidP="00674B7E">
      <w:pPr>
        <w:autoSpaceDE/>
        <w:autoSpaceDN/>
        <w:adjustRightInd/>
        <w:spacing w:after="180"/>
        <w:rPr>
          <w:sz w:val="17"/>
          <w:szCs w:val="17"/>
        </w:rPr>
      </w:pPr>
      <w:r w:rsidRPr="009E0829">
        <w:rPr>
          <w:sz w:val="17"/>
          <w:szCs w:val="17"/>
        </w:rPr>
        <w:t xml:space="preserve">Our work commenced on </w:t>
      </w:r>
      <w:r>
        <w:rPr>
          <w:sz w:val="17"/>
          <w:szCs w:val="17"/>
        </w:rPr>
        <w:t>16 March 2022</w:t>
      </w:r>
      <w:r w:rsidRPr="009E0829">
        <w:rPr>
          <w:sz w:val="17"/>
          <w:szCs w:val="17"/>
        </w:rPr>
        <w:t xml:space="preserve"> and was completed on </w:t>
      </w:r>
      <w:r>
        <w:rPr>
          <w:sz w:val="17"/>
          <w:szCs w:val="17"/>
        </w:rPr>
        <w:t>30 September 2022.</w:t>
      </w:r>
      <w:r w:rsidRPr="009E0829">
        <w:rPr>
          <w:sz w:val="17"/>
          <w:szCs w:val="17"/>
        </w:rPr>
        <w:t xml:space="preserve"> Therefore, our Report does not take account of events or circumstances arising after </w:t>
      </w:r>
      <w:r>
        <w:rPr>
          <w:sz w:val="17"/>
          <w:szCs w:val="17"/>
        </w:rPr>
        <w:t>30 September 2022</w:t>
      </w:r>
      <w:r w:rsidRPr="009E0829">
        <w:rPr>
          <w:sz w:val="17"/>
          <w:szCs w:val="17"/>
        </w:rPr>
        <w:t xml:space="preserve"> and we have no responsibility to update the Report for</w:t>
      </w:r>
      <w:r w:rsidRPr="009E0829" w:rsidDel="00827FD0">
        <w:rPr>
          <w:sz w:val="17"/>
          <w:szCs w:val="17"/>
        </w:rPr>
        <w:t xml:space="preserve"> such events or circumstances</w:t>
      </w:r>
      <w:r>
        <w:rPr>
          <w:sz w:val="17"/>
          <w:szCs w:val="17"/>
        </w:rPr>
        <w:t xml:space="preserve"> </w:t>
      </w:r>
      <w:r w:rsidRPr="004714D8">
        <w:rPr>
          <w:sz w:val="17"/>
          <w:szCs w:val="17"/>
        </w:rPr>
        <w:t>arising after that date</w:t>
      </w:r>
      <w:r w:rsidRPr="009E0829">
        <w:rPr>
          <w:sz w:val="17"/>
          <w:szCs w:val="17"/>
        </w:rPr>
        <w:t>.</w:t>
      </w:r>
    </w:p>
    <w:p w14:paraId="248A962A" w14:textId="77777777" w:rsidR="00674B7E" w:rsidRPr="009E0829" w:rsidRDefault="00674B7E" w:rsidP="00674B7E">
      <w:pPr>
        <w:autoSpaceDE/>
        <w:autoSpaceDN/>
        <w:adjustRightInd/>
        <w:spacing w:after="180"/>
        <w:rPr>
          <w:sz w:val="17"/>
          <w:szCs w:val="17"/>
        </w:rPr>
      </w:pPr>
      <w:r w:rsidRPr="009E0829">
        <w:rPr>
          <w:sz w:val="17"/>
          <w:szCs w:val="17"/>
        </w:rPr>
        <w:t xml:space="preserve">No reliance may be placed upon the Report or any of its contents by any party other than </w:t>
      </w:r>
      <w:r>
        <w:rPr>
          <w:sz w:val="17"/>
          <w:szCs w:val="17"/>
        </w:rPr>
        <w:t>the Client</w:t>
      </w:r>
      <w:r w:rsidRPr="009E0829">
        <w:rPr>
          <w:sz w:val="17"/>
          <w:szCs w:val="17"/>
        </w:rPr>
        <w:t xml:space="preserve"> (“Third Parties”</w:t>
      </w:r>
      <w:r>
        <w:rPr>
          <w:sz w:val="17"/>
          <w:szCs w:val="17"/>
        </w:rPr>
        <w:t xml:space="preserve"> or “you”</w:t>
      </w:r>
      <w:r w:rsidRPr="009E0829">
        <w:rPr>
          <w:sz w:val="17"/>
          <w:szCs w:val="17"/>
        </w:rPr>
        <w:t>). Any Third Parties receiving a copy of the Report must make and rely on their own enquiries in relation to the issues to which the Report relates, the contents of the Report and all matters arising from or relating to or in any way connected with the Report or its contents. EY disclaims all responsibility to any Third Parties for any loss or liability that the Third Parties may suffer or incur arising from or relating to or in any way connected with the contents of the Report, the provision of the Report to the Third Parties or the reliance upon the Report by the Third Parties.</w:t>
      </w:r>
    </w:p>
    <w:p w14:paraId="73AF81E7" w14:textId="77777777" w:rsidR="00674B7E" w:rsidRPr="009E0829" w:rsidRDefault="00674B7E" w:rsidP="00674B7E">
      <w:pPr>
        <w:autoSpaceDE/>
        <w:autoSpaceDN/>
        <w:adjustRightInd/>
        <w:spacing w:after="180"/>
        <w:rPr>
          <w:sz w:val="17"/>
          <w:szCs w:val="17"/>
        </w:rPr>
      </w:pPr>
      <w:r w:rsidRPr="009E0829">
        <w:rPr>
          <w:sz w:val="17"/>
          <w:szCs w:val="17"/>
        </w:rPr>
        <w:t xml:space="preserve">No claim or demand or any actions or proceedings may be brought against EY arising from or connected with the contents of the Report or the provision of the Report to the Third Parties. EY will be released and forever discharged from any such claims, demands, actions or proceedings. In preparing this Report </w:t>
      </w:r>
      <w:r>
        <w:rPr>
          <w:sz w:val="17"/>
          <w:szCs w:val="17"/>
        </w:rPr>
        <w:t>EY</w:t>
      </w:r>
      <w:r w:rsidRPr="009E0829">
        <w:rPr>
          <w:sz w:val="17"/>
          <w:szCs w:val="17"/>
        </w:rPr>
        <w:t xml:space="preserve"> has considered and relied upon information provided to us by </w:t>
      </w:r>
      <w:r>
        <w:rPr>
          <w:sz w:val="17"/>
          <w:szCs w:val="17"/>
        </w:rPr>
        <w:t>the Client</w:t>
      </w:r>
      <w:r w:rsidRPr="009E0829">
        <w:rPr>
          <w:sz w:val="17"/>
          <w:szCs w:val="17"/>
        </w:rPr>
        <w:t xml:space="preserve"> and other stakeholders engaged in the process and other sources believed to be reliable and accurate. </w:t>
      </w:r>
      <w:r>
        <w:rPr>
          <w:sz w:val="17"/>
          <w:szCs w:val="17"/>
        </w:rPr>
        <w:t>EY</w:t>
      </w:r>
      <w:r w:rsidRPr="009E0829">
        <w:rPr>
          <w:sz w:val="17"/>
          <w:szCs w:val="17"/>
        </w:rPr>
        <w:t xml:space="preserve"> ha</w:t>
      </w:r>
      <w:r>
        <w:rPr>
          <w:sz w:val="17"/>
          <w:szCs w:val="17"/>
        </w:rPr>
        <w:t>s</w:t>
      </w:r>
      <w:r w:rsidRPr="009E0829">
        <w:rPr>
          <w:sz w:val="17"/>
          <w:szCs w:val="17"/>
        </w:rPr>
        <w:t xml:space="preserve"> not been informed that any information supplied to it, or obtained from public sources, was false or that any material information has been withheld from it. </w:t>
      </w:r>
      <w:r>
        <w:rPr>
          <w:sz w:val="17"/>
          <w:szCs w:val="17"/>
        </w:rPr>
        <w:t xml:space="preserve">EY </w:t>
      </w:r>
      <w:r w:rsidRPr="009E0829">
        <w:rPr>
          <w:sz w:val="17"/>
          <w:szCs w:val="17"/>
        </w:rPr>
        <w:t>do</w:t>
      </w:r>
      <w:r>
        <w:rPr>
          <w:sz w:val="17"/>
          <w:szCs w:val="17"/>
        </w:rPr>
        <w:t>es</w:t>
      </w:r>
      <w:r w:rsidRPr="009E0829">
        <w:rPr>
          <w:sz w:val="17"/>
          <w:szCs w:val="17"/>
        </w:rPr>
        <w:t xml:space="preserve"> not imply, and it should not be construed that </w:t>
      </w:r>
      <w:r>
        <w:rPr>
          <w:sz w:val="17"/>
          <w:szCs w:val="17"/>
        </w:rPr>
        <w:t xml:space="preserve">EY has </w:t>
      </w:r>
      <w:r w:rsidRPr="009E0829">
        <w:rPr>
          <w:sz w:val="17"/>
          <w:szCs w:val="17"/>
        </w:rPr>
        <w:t xml:space="preserve">performed an audit, verification or due diligence procedures on any of the information provided to us. </w:t>
      </w:r>
      <w:r>
        <w:rPr>
          <w:sz w:val="17"/>
          <w:szCs w:val="17"/>
        </w:rPr>
        <w:t>EY</w:t>
      </w:r>
      <w:r w:rsidRPr="009E0829">
        <w:rPr>
          <w:sz w:val="17"/>
          <w:szCs w:val="17"/>
        </w:rPr>
        <w:t xml:space="preserve"> ha</w:t>
      </w:r>
      <w:r>
        <w:rPr>
          <w:sz w:val="17"/>
          <w:szCs w:val="17"/>
        </w:rPr>
        <w:t>s</w:t>
      </w:r>
      <w:r w:rsidRPr="009E0829">
        <w:rPr>
          <w:sz w:val="17"/>
          <w:szCs w:val="17"/>
        </w:rPr>
        <w:t xml:space="preserve"> not independently verified, nor accept any responsibility or liability for independently verifying, any such information nor </w:t>
      </w:r>
      <w:r>
        <w:rPr>
          <w:sz w:val="17"/>
          <w:szCs w:val="17"/>
        </w:rPr>
        <w:t xml:space="preserve">does EY </w:t>
      </w:r>
      <w:r w:rsidRPr="009E0829">
        <w:rPr>
          <w:sz w:val="17"/>
          <w:szCs w:val="17"/>
        </w:rPr>
        <w:t xml:space="preserve">make any representation as to the accuracy or completeness of the information. Neither </w:t>
      </w:r>
      <w:r>
        <w:rPr>
          <w:sz w:val="17"/>
          <w:szCs w:val="17"/>
        </w:rPr>
        <w:t>EY</w:t>
      </w:r>
      <w:r w:rsidRPr="009E0829">
        <w:rPr>
          <w:sz w:val="17"/>
          <w:szCs w:val="17"/>
        </w:rPr>
        <w:t xml:space="preserve"> nor any member or employee thereof undertakes responsibility in any way whatsoever </w:t>
      </w:r>
      <w:r>
        <w:rPr>
          <w:sz w:val="17"/>
          <w:szCs w:val="17"/>
        </w:rPr>
        <w:t xml:space="preserve">or liability for any loss or damage </w:t>
      </w:r>
      <w:r w:rsidRPr="009E0829">
        <w:rPr>
          <w:sz w:val="17"/>
          <w:szCs w:val="17"/>
        </w:rPr>
        <w:t>to any person in respect of errors in this Report arising from incorrect information provided to EY.</w:t>
      </w:r>
    </w:p>
    <w:p w14:paraId="2F17610C" w14:textId="77777777" w:rsidR="00674B7E" w:rsidRPr="009E0829" w:rsidRDefault="00674B7E" w:rsidP="00674B7E">
      <w:pPr>
        <w:autoSpaceDE/>
        <w:autoSpaceDN/>
        <w:adjustRightInd/>
        <w:spacing w:after="180"/>
        <w:rPr>
          <w:sz w:val="17"/>
          <w:szCs w:val="17"/>
        </w:rPr>
      </w:pPr>
      <w:r w:rsidRPr="009E0829">
        <w:rPr>
          <w:sz w:val="17"/>
          <w:szCs w:val="17"/>
        </w:rPr>
        <w:t xml:space="preserve">Modelling work performed as part of our scope inherently requires assumptions about future behaviours and market interactions, which may result in forecasts that deviate from future conditions. There will usually be differences between estimated and actual outcomes, because events and circumstances frequently do not occur as expected, and those differences may be material. </w:t>
      </w:r>
      <w:r>
        <w:rPr>
          <w:sz w:val="17"/>
          <w:szCs w:val="17"/>
        </w:rPr>
        <w:t>EY</w:t>
      </w:r>
      <w:r w:rsidRPr="009E0829">
        <w:rPr>
          <w:sz w:val="17"/>
          <w:szCs w:val="17"/>
        </w:rPr>
        <w:t xml:space="preserve"> take</w:t>
      </w:r>
      <w:r>
        <w:rPr>
          <w:sz w:val="17"/>
          <w:szCs w:val="17"/>
        </w:rPr>
        <w:t>s</w:t>
      </w:r>
      <w:r w:rsidRPr="009E0829">
        <w:rPr>
          <w:sz w:val="17"/>
          <w:szCs w:val="17"/>
        </w:rPr>
        <w:t xml:space="preserve"> no responsibility that the projected outcomes will be achieved. </w:t>
      </w:r>
      <w:r>
        <w:rPr>
          <w:sz w:val="17"/>
          <w:szCs w:val="17"/>
        </w:rPr>
        <w:t xml:space="preserve">EY </w:t>
      </w:r>
      <w:r w:rsidRPr="009E0829">
        <w:rPr>
          <w:sz w:val="17"/>
          <w:szCs w:val="17"/>
        </w:rPr>
        <w:t>highlight</w:t>
      </w:r>
      <w:r>
        <w:rPr>
          <w:sz w:val="17"/>
          <w:szCs w:val="17"/>
        </w:rPr>
        <w:t>s</w:t>
      </w:r>
      <w:r w:rsidRPr="009E0829">
        <w:rPr>
          <w:sz w:val="17"/>
          <w:szCs w:val="17"/>
        </w:rPr>
        <w:t xml:space="preserve"> that </w:t>
      </w:r>
      <w:r>
        <w:rPr>
          <w:sz w:val="17"/>
          <w:szCs w:val="17"/>
        </w:rPr>
        <w:t xml:space="preserve">the </w:t>
      </w:r>
      <w:r w:rsidRPr="009E0829">
        <w:rPr>
          <w:sz w:val="17"/>
          <w:szCs w:val="17"/>
        </w:rPr>
        <w:t xml:space="preserve">analysis </w:t>
      </w:r>
      <w:r>
        <w:rPr>
          <w:sz w:val="17"/>
          <w:szCs w:val="17"/>
        </w:rPr>
        <w:t xml:space="preserve">included in this </w:t>
      </w:r>
      <w:r w:rsidRPr="009E0829">
        <w:rPr>
          <w:sz w:val="17"/>
          <w:szCs w:val="17"/>
        </w:rPr>
        <w:t>Report do</w:t>
      </w:r>
      <w:r>
        <w:rPr>
          <w:sz w:val="17"/>
          <w:szCs w:val="17"/>
        </w:rPr>
        <w:t>es</w:t>
      </w:r>
      <w:r w:rsidRPr="009E0829">
        <w:rPr>
          <w:sz w:val="17"/>
          <w:szCs w:val="17"/>
        </w:rPr>
        <w:t xml:space="preserve"> not constitute investment advice or a recommendation to you on a future course of action. </w:t>
      </w:r>
      <w:r>
        <w:rPr>
          <w:sz w:val="17"/>
          <w:szCs w:val="17"/>
        </w:rPr>
        <w:t xml:space="preserve">EY </w:t>
      </w:r>
      <w:r w:rsidRPr="009E0829">
        <w:rPr>
          <w:sz w:val="17"/>
          <w:szCs w:val="17"/>
        </w:rPr>
        <w:t>provide</w:t>
      </w:r>
      <w:r>
        <w:rPr>
          <w:sz w:val="17"/>
          <w:szCs w:val="17"/>
        </w:rPr>
        <w:t>s</w:t>
      </w:r>
      <w:r w:rsidRPr="009E0829">
        <w:rPr>
          <w:sz w:val="17"/>
          <w:szCs w:val="17"/>
        </w:rPr>
        <w:t xml:space="preserve"> no assurance that the scenarios </w:t>
      </w:r>
      <w:r>
        <w:rPr>
          <w:sz w:val="17"/>
          <w:szCs w:val="17"/>
        </w:rPr>
        <w:t xml:space="preserve">that </w:t>
      </w:r>
      <w:r w:rsidRPr="009E0829">
        <w:rPr>
          <w:sz w:val="17"/>
          <w:szCs w:val="17"/>
        </w:rPr>
        <w:t xml:space="preserve">have </w:t>
      </w:r>
      <w:r>
        <w:rPr>
          <w:sz w:val="17"/>
          <w:szCs w:val="17"/>
        </w:rPr>
        <w:t xml:space="preserve">been </w:t>
      </w:r>
      <w:r w:rsidRPr="009E0829">
        <w:rPr>
          <w:sz w:val="17"/>
          <w:szCs w:val="17"/>
        </w:rPr>
        <w:t>modelled will be accepted by any relevant authority or third party.</w:t>
      </w:r>
    </w:p>
    <w:p w14:paraId="43FDC916" w14:textId="77777777" w:rsidR="00AB2CEF" w:rsidRDefault="00AB2CEF" w:rsidP="00674B7E">
      <w:pPr>
        <w:autoSpaceDE/>
        <w:autoSpaceDN/>
        <w:adjustRightInd/>
        <w:spacing w:after="180"/>
        <w:rPr>
          <w:sz w:val="17"/>
          <w:szCs w:val="17"/>
        </w:rPr>
      </w:pPr>
      <w:r w:rsidRPr="00AB2CEF">
        <w:rPr>
          <w:sz w:val="17"/>
          <w:szCs w:val="17"/>
        </w:rPr>
        <w:t>EY has consented to the Report being published electronically on the Client’s websites for informational purposes only. EY has not consented to distribution or disclosure beyond this. The material contained in the Report, including the EY logo, is copyright. The copyright in the material contained in the Report itself, excluding EY logo, vests in the Client. The Report, including the EY logo, cannot be altered without prior written permission from EY.</w:t>
      </w:r>
    </w:p>
    <w:p w14:paraId="34960922" w14:textId="6E9778AF" w:rsidR="00674B7E" w:rsidRPr="009E0829" w:rsidRDefault="00674B7E" w:rsidP="00674B7E">
      <w:pPr>
        <w:autoSpaceDE/>
        <w:autoSpaceDN/>
        <w:adjustRightInd/>
        <w:spacing w:after="180"/>
        <w:rPr>
          <w:sz w:val="17"/>
          <w:szCs w:val="17"/>
        </w:rPr>
      </w:pPr>
      <w:r w:rsidRPr="009E0829">
        <w:rPr>
          <w:sz w:val="17"/>
          <w:szCs w:val="17"/>
        </w:rPr>
        <w:t xml:space="preserve">Readers are advised that the outcomes provided are based on many detailed assumptions underpinning the scenarios, and the key assumptions are described in the Report. These assumptions were selected by </w:t>
      </w:r>
      <w:r>
        <w:rPr>
          <w:sz w:val="17"/>
          <w:szCs w:val="17"/>
        </w:rPr>
        <w:t>the Client</w:t>
      </w:r>
      <w:r w:rsidRPr="009E0829">
        <w:rPr>
          <w:sz w:val="17"/>
          <w:szCs w:val="17"/>
        </w:rPr>
        <w:t xml:space="preserve">. The modelled scenarios represent </w:t>
      </w:r>
      <w:r>
        <w:rPr>
          <w:sz w:val="17"/>
          <w:szCs w:val="17"/>
        </w:rPr>
        <w:t>two</w:t>
      </w:r>
      <w:r w:rsidRPr="009E0829">
        <w:rPr>
          <w:sz w:val="17"/>
          <w:szCs w:val="17"/>
        </w:rPr>
        <w:t xml:space="preserve"> possible future options for the </w:t>
      </w:r>
      <w:r>
        <w:rPr>
          <w:sz w:val="17"/>
          <w:szCs w:val="17"/>
        </w:rPr>
        <w:t>open access scheme</w:t>
      </w:r>
      <w:r w:rsidRPr="009E0829">
        <w:rPr>
          <w:sz w:val="17"/>
          <w:szCs w:val="17"/>
        </w:rPr>
        <w:t>, and it must be acknowledged that many alternative futures exist. Alternative futures beyond those presented have not been evaluated as part of this Report.</w:t>
      </w:r>
    </w:p>
    <w:p w14:paraId="7AE93E88" w14:textId="77777777" w:rsidR="00674B7E" w:rsidRPr="009E0829" w:rsidRDefault="00674B7E" w:rsidP="00674B7E">
      <w:pPr>
        <w:autoSpaceDE/>
        <w:autoSpaceDN/>
        <w:adjustRightInd/>
        <w:spacing w:after="120"/>
        <w:rPr>
          <w:sz w:val="17"/>
          <w:szCs w:val="17"/>
        </w:rPr>
      </w:pPr>
      <w:r w:rsidRPr="009E0829">
        <w:rPr>
          <w:sz w:val="17"/>
          <w:szCs w:val="17"/>
        </w:rPr>
        <w:t>EY’s liability is limited by a scheme approved under Professional Standards Legislation.</w:t>
      </w:r>
    </w:p>
    <w:bookmarkEnd w:id="0"/>
    <w:p w14:paraId="6110D7CC" w14:textId="77777777" w:rsidR="00674B7E" w:rsidRDefault="00674B7E" w:rsidP="00674B7E"/>
    <w:p w14:paraId="4022C9BE" w14:textId="77777777" w:rsidR="00674B7E" w:rsidRDefault="00674B7E">
      <w:pPr>
        <w:autoSpaceDE/>
        <w:autoSpaceDN/>
        <w:adjustRightInd/>
        <w:rPr>
          <w:rFonts w:ascii="EYInterstate Regular" w:hAnsi="EYInterstate Regular"/>
          <w:color w:val="747480"/>
          <w:sz w:val="28"/>
          <w:szCs w:val="24"/>
        </w:rPr>
      </w:pPr>
      <w:r>
        <w:br w:type="page"/>
      </w:r>
    </w:p>
    <w:p w14:paraId="0F7F37EC" w14:textId="65887CA6" w:rsidR="00477AFA" w:rsidRPr="00926D59" w:rsidRDefault="008A78F3" w:rsidP="00477AFA">
      <w:pPr>
        <w:pStyle w:val="EYContents"/>
      </w:pPr>
      <w:r>
        <w:lastRenderedPageBreak/>
        <w:t>C</w:t>
      </w:r>
      <w:r w:rsidR="00477AFA" w:rsidRPr="00926D59">
        <w:t>ontents</w:t>
      </w:r>
    </w:p>
    <w:p w14:paraId="76D50846" w14:textId="3D6072C0" w:rsidR="00AB7674" w:rsidRDefault="00477AFA">
      <w:pPr>
        <w:pStyle w:val="TOC1"/>
        <w:rPr>
          <w:rFonts w:asciiTheme="minorHAnsi" w:eastAsiaTheme="minorEastAsia" w:hAnsiTheme="minorHAnsi" w:cstheme="minorBidi"/>
          <w:sz w:val="22"/>
          <w:szCs w:val="22"/>
          <w:lang w:eastAsia="en-AU"/>
        </w:rPr>
      </w:pPr>
      <w:r w:rsidRPr="00926D59">
        <w:rPr>
          <w:noProof w:val="0"/>
        </w:rPr>
        <w:fldChar w:fldCharType="begin"/>
      </w:r>
      <w:r w:rsidRPr="00926D59">
        <w:rPr>
          <w:noProof w:val="0"/>
        </w:rPr>
        <w:instrText xml:space="preserve"> TOC \h \z \t "EY Heading 1,1,EY Heading 2,2,EY Appendix,1" </w:instrText>
      </w:r>
      <w:r w:rsidRPr="00926D59">
        <w:rPr>
          <w:noProof w:val="0"/>
        </w:rPr>
        <w:fldChar w:fldCharType="separate"/>
      </w:r>
      <w:hyperlink w:anchor="_Toc115717069" w:history="1">
        <w:r w:rsidR="00AB7674" w:rsidRPr="00FC59B3">
          <w:rPr>
            <w:rStyle w:val="Hyperlink"/>
          </w:rPr>
          <w:t>Glossary and acronyms</w:t>
        </w:r>
        <w:r w:rsidR="00AB7674">
          <w:rPr>
            <w:webHidden/>
          </w:rPr>
          <w:tab/>
        </w:r>
        <w:r w:rsidR="00AB7674">
          <w:rPr>
            <w:webHidden/>
          </w:rPr>
          <w:fldChar w:fldCharType="begin"/>
        </w:r>
        <w:r w:rsidR="00AB7674">
          <w:rPr>
            <w:webHidden/>
          </w:rPr>
          <w:instrText xml:space="preserve"> PAGEREF _Toc115717069 \h </w:instrText>
        </w:r>
        <w:r w:rsidR="00AB7674">
          <w:rPr>
            <w:webHidden/>
          </w:rPr>
        </w:r>
        <w:r w:rsidR="00AB7674">
          <w:rPr>
            <w:webHidden/>
          </w:rPr>
          <w:fldChar w:fldCharType="separate"/>
        </w:r>
        <w:r w:rsidR="008112E6">
          <w:rPr>
            <w:webHidden/>
          </w:rPr>
          <w:t>ii</w:t>
        </w:r>
        <w:r w:rsidR="00AB7674">
          <w:rPr>
            <w:webHidden/>
          </w:rPr>
          <w:fldChar w:fldCharType="end"/>
        </w:r>
      </w:hyperlink>
    </w:p>
    <w:p w14:paraId="65AB5BF7" w14:textId="146DB730" w:rsidR="00AB7674" w:rsidRDefault="007A37B3">
      <w:pPr>
        <w:pStyle w:val="TOC1"/>
        <w:rPr>
          <w:rFonts w:asciiTheme="minorHAnsi" w:eastAsiaTheme="minorEastAsia" w:hAnsiTheme="minorHAnsi" w:cstheme="minorBidi"/>
          <w:sz w:val="22"/>
          <w:szCs w:val="22"/>
          <w:lang w:eastAsia="en-AU"/>
        </w:rPr>
      </w:pPr>
      <w:hyperlink w:anchor="_Toc115717070" w:history="1">
        <w:r w:rsidR="00AB7674" w:rsidRPr="00FC59B3">
          <w:rPr>
            <w:rStyle w:val="Hyperlink"/>
          </w:rPr>
          <w:t>At a glance</w:t>
        </w:r>
        <w:r w:rsidR="00AB7674">
          <w:rPr>
            <w:webHidden/>
          </w:rPr>
          <w:tab/>
        </w:r>
        <w:r w:rsidR="00AB7674">
          <w:rPr>
            <w:webHidden/>
          </w:rPr>
          <w:fldChar w:fldCharType="begin"/>
        </w:r>
        <w:r w:rsidR="00AB7674">
          <w:rPr>
            <w:webHidden/>
          </w:rPr>
          <w:instrText xml:space="preserve"> PAGEREF _Toc115717070 \h </w:instrText>
        </w:r>
        <w:r w:rsidR="00AB7674">
          <w:rPr>
            <w:webHidden/>
          </w:rPr>
        </w:r>
        <w:r w:rsidR="00AB7674">
          <w:rPr>
            <w:webHidden/>
          </w:rPr>
          <w:fldChar w:fldCharType="separate"/>
        </w:r>
        <w:r w:rsidR="008112E6">
          <w:rPr>
            <w:webHidden/>
          </w:rPr>
          <w:t>3</w:t>
        </w:r>
        <w:r w:rsidR="00AB7674">
          <w:rPr>
            <w:webHidden/>
          </w:rPr>
          <w:fldChar w:fldCharType="end"/>
        </w:r>
      </w:hyperlink>
    </w:p>
    <w:p w14:paraId="79F3FA5A" w14:textId="77259553" w:rsidR="00AB7674" w:rsidRDefault="007A37B3">
      <w:pPr>
        <w:pStyle w:val="TOC1"/>
        <w:rPr>
          <w:rFonts w:asciiTheme="minorHAnsi" w:eastAsiaTheme="minorEastAsia" w:hAnsiTheme="minorHAnsi" w:cstheme="minorBidi"/>
          <w:sz w:val="22"/>
          <w:szCs w:val="22"/>
          <w:lang w:eastAsia="en-AU"/>
        </w:rPr>
      </w:pPr>
      <w:hyperlink w:anchor="_Toc115717071" w:history="1">
        <w:r w:rsidR="00AB7674" w:rsidRPr="00FC59B3">
          <w:rPr>
            <w:rStyle w:val="Hyperlink"/>
          </w:rPr>
          <w:t>Executive summary</w:t>
        </w:r>
        <w:r w:rsidR="00AB7674">
          <w:rPr>
            <w:webHidden/>
          </w:rPr>
          <w:tab/>
        </w:r>
        <w:r w:rsidR="00AB7674">
          <w:rPr>
            <w:webHidden/>
          </w:rPr>
          <w:fldChar w:fldCharType="begin"/>
        </w:r>
        <w:r w:rsidR="00AB7674">
          <w:rPr>
            <w:webHidden/>
          </w:rPr>
          <w:instrText xml:space="preserve"> PAGEREF _Toc115717071 \h </w:instrText>
        </w:r>
        <w:r w:rsidR="00AB7674">
          <w:rPr>
            <w:webHidden/>
          </w:rPr>
        </w:r>
        <w:r w:rsidR="00AB7674">
          <w:rPr>
            <w:webHidden/>
          </w:rPr>
          <w:fldChar w:fldCharType="separate"/>
        </w:r>
        <w:r w:rsidR="008112E6">
          <w:rPr>
            <w:webHidden/>
          </w:rPr>
          <w:t>4</w:t>
        </w:r>
        <w:r w:rsidR="00AB7674">
          <w:rPr>
            <w:webHidden/>
          </w:rPr>
          <w:fldChar w:fldCharType="end"/>
        </w:r>
      </w:hyperlink>
    </w:p>
    <w:p w14:paraId="1FD856EB" w14:textId="306702A3" w:rsidR="00AB7674" w:rsidRDefault="007A37B3">
      <w:pPr>
        <w:pStyle w:val="TOC1"/>
        <w:rPr>
          <w:rFonts w:asciiTheme="minorHAnsi" w:eastAsiaTheme="minorEastAsia" w:hAnsiTheme="minorHAnsi" w:cstheme="minorBidi"/>
          <w:sz w:val="22"/>
          <w:szCs w:val="22"/>
          <w:lang w:eastAsia="en-AU"/>
        </w:rPr>
      </w:pPr>
      <w:hyperlink w:anchor="_Toc115717072" w:history="1">
        <w:r w:rsidR="00AB7674" w:rsidRPr="00FC59B3">
          <w:rPr>
            <w:rStyle w:val="Hyperlink"/>
          </w:rPr>
          <w:t>1.</w:t>
        </w:r>
        <w:r w:rsidR="00AB7674">
          <w:rPr>
            <w:rFonts w:asciiTheme="minorHAnsi" w:eastAsiaTheme="minorEastAsia" w:hAnsiTheme="minorHAnsi" w:cstheme="minorBidi"/>
            <w:sz w:val="22"/>
            <w:szCs w:val="22"/>
            <w:lang w:eastAsia="en-AU"/>
          </w:rPr>
          <w:tab/>
        </w:r>
        <w:r w:rsidR="00AB7674" w:rsidRPr="00FC59B3">
          <w:rPr>
            <w:rStyle w:val="Hyperlink"/>
          </w:rPr>
          <w:t>Introduction</w:t>
        </w:r>
        <w:r w:rsidR="00AB7674">
          <w:rPr>
            <w:webHidden/>
          </w:rPr>
          <w:tab/>
        </w:r>
        <w:r w:rsidR="00AB7674">
          <w:rPr>
            <w:webHidden/>
          </w:rPr>
          <w:fldChar w:fldCharType="begin"/>
        </w:r>
        <w:r w:rsidR="00AB7674">
          <w:rPr>
            <w:webHidden/>
          </w:rPr>
          <w:instrText xml:space="preserve"> PAGEREF _Toc115717072 \h </w:instrText>
        </w:r>
        <w:r w:rsidR="00AB7674">
          <w:rPr>
            <w:webHidden/>
          </w:rPr>
        </w:r>
        <w:r w:rsidR="00AB7674">
          <w:rPr>
            <w:webHidden/>
          </w:rPr>
          <w:fldChar w:fldCharType="separate"/>
        </w:r>
        <w:r w:rsidR="008112E6">
          <w:rPr>
            <w:webHidden/>
          </w:rPr>
          <w:t>12</w:t>
        </w:r>
        <w:r w:rsidR="00AB7674">
          <w:rPr>
            <w:webHidden/>
          </w:rPr>
          <w:fldChar w:fldCharType="end"/>
        </w:r>
      </w:hyperlink>
    </w:p>
    <w:p w14:paraId="498B318A" w14:textId="0A02D8D5" w:rsidR="00AB7674" w:rsidRDefault="007A37B3">
      <w:pPr>
        <w:pStyle w:val="TOC1"/>
        <w:rPr>
          <w:rFonts w:asciiTheme="minorHAnsi" w:eastAsiaTheme="minorEastAsia" w:hAnsiTheme="minorHAnsi" w:cstheme="minorBidi"/>
          <w:sz w:val="22"/>
          <w:szCs w:val="22"/>
          <w:lang w:eastAsia="en-AU"/>
        </w:rPr>
      </w:pPr>
      <w:hyperlink w:anchor="_Toc115717073" w:history="1">
        <w:r w:rsidR="00AB7674" w:rsidRPr="00FC59B3">
          <w:rPr>
            <w:rStyle w:val="Hyperlink"/>
          </w:rPr>
          <w:t>2.</w:t>
        </w:r>
        <w:r w:rsidR="00AB7674">
          <w:rPr>
            <w:rFonts w:asciiTheme="minorHAnsi" w:eastAsiaTheme="minorEastAsia" w:hAnsiTheme="minorHAnsi" w:cstheme="minorBidi"/>
            <w:sz w:val="22"/>
            <w:szCs w:val="22"/>
            <w:lang w:eastAsia="en-AU"/>
          </w:rPr>
          <w:tab/>
        </w:r>
        <w:r w:rsidR="00AB7674" w:rsidRPr="00FC59B3">
          <w:rPr>
            <w:rStyle w:val="Hyperlink"/>
          </w:rPr>
          <w:t>Academic publishing</w:t>
        </w:r>
        <w:r w:rsidR="00AB7674">
          <w:rPr>
            <w:webHidden/>
          </w:rPr>
          <w:tab/>
        </w:r>
        <w:r w:rsidR="00AB7674">
          <w:rPr>
            <w:webHidden/>
          </w:rPr>
          <w:fldChar w:fldCharType="begin"/>
        </w:r>
        <w:r w:rsidR="00AB7674">
          <w:rPr>
            <w:webHidden/>
          </w:rPr>
          <w:instrText xml:space="preserve"> PAGEREF _Toc115717073 \h </w:instrText>
        </w:r>
        <w:r w:rsidR="00AB7674">
          <w:rPr>
            <w:webHidden/>
          </w:rPr>
        </w:r>
        <w:r w:rsidR="00AB7674">
          <w:rPr>
            <w:webHidden/>
          </w:rPr>
          <w:fldChar w:fldCharType="separate"/>
        </w:r>
        <w:r w:rsidR="008112E6">
          <w:rPr>
            <w:webHidden/>
          </w:rPr>
          <w:t>14</w:t>
        </w:r>
        <w:r w:rsidR="00AB7674">
          <w:rPr>
            <w:webHidden/>
          </w:rPr>
          <w:fldChar w:fldCharType="end"/>
        </w:r>
      </w:hyperlink>
    </w:p>
    <w:p w14:paraId="7BF84F80" w14:textId="388795DA" w:rsidR="00AB7674" w:rsidRDefault="007A37B3">
      <w:pPr>
        <w:pStyle w:val="TOC2"/>
        <w:rPr>
          <w:rFonts w:asciiTheme="minorHAnsi" w:eastAsiaTheme="minorEastAsia" w:hAnsiTheme="minorHAnsi" w:cstheme="minorBidi"/>
          <w:sz w:val="22"/>
          <w:szCs w:val="22"/>
          <w:lang w:eastAsia="en-AU"/>
        </w:rPr>
      </w:pPr>
      <w:hyperlink w:anchor="_Toc115717074" w:history="1">
        <w:r w:rsidR="00AB7674" w:rsidRPr="00FC59B3">
          <w:rPr>
            <w:rStyle w:val="Hyperlink"/>
          </w:rPr>
          <w:t>2.1</w:t>
        </w:r>
        <w:r w:rsidR="00AB7674">
          <w:rPr>
            <w:rFonts w:asciiTheme="minorHAnsi" w:eastAsiaTheme="minorEastAsia" w:hAnsiTheme="minorHAnsi" w:cstheme="minorBidi"/>
            <w:sz w:val="22"/>
            <w:szCs w:val="22"/>
            <w:lang w:eastAsia="en-AU"/>
          </w:rPr>
          <w:tab/>
        </w:r>
        <w:r w:rsidR="00AB7674" w:rsidRPr="00FC59B3">
          <w:rPr>
            <w:rStyle w:val="Hyperlink"/>
          </w:rPr>
          <w:t>The academic publishing process</w:t>
        </w:r>
        <w:r w:rsidR="00AB7674">
          <w:rPr>
            <w:webHidden/>
          </w:rPr>
          <w:tab/>
        </w:r>
        <w:r w:rsidR="00AB7674">
          <w:rPr>
            <w:webHidden/>
          </w:rPr>
          <w:fldChar w:fldCharType="begin"/>
        </w:r>
        <w:r w:rsidR="00AB7674">
          <w:rPr>
            <w:webHidden/>
          </w:rPr>
          <w:instrText xml:space="preserve"> PAGEREF _Toc115717074 \h </w:instrText>
        </w:r>
        <w:r w:rsidR="00AB7674">
          <w:rPr>
            <w:webHidden/>
          </w:rPr>
        </w:r>
        <w:r w:rsidR="00AB7674">
          <w:rPr>
            <w:webHidden/>
          </w:rPr>
          <w:fldChar w:fldCharType="separate"/>
        </w:r>
        <w:r w:rsidR="008112E6">
          <w:rPr>
            <w:webHidden/>
          </w:rPr>
          <w:t>14</w:t>
        </w:r>
        <w:r w:rsidR="00AB7674">
          <w:rPr>
            <w:webHidden/>
          </w:rPr>
          <w:fldChar w:fldCharType="end"/>
        </w:r>
      </w:hyperlink>
    </w:p>
    <w:p w14:paraId="000ECF93" w14:textId="601E57B8" w:rsidR="00AB7674" w:rsidRDefault="007A37B3">
      <w:pPr>
        <w:pStyle w:val="TOC2"/>
        <w:rPr>
          <w:rFonts w:asciiTheme="minorHAnsi" w:eastAsiaTheme="minorEastAsia" w:hAnsiTheme="minorHAnsi" w:cstheme="minorBidi"/>
          <w:sz w:val="22"/>
          <w:szCs w:val="22"/>
          <w:lang w:eastAsia="en-AU"/>
        </w:rPr>
      </w:pPr>
      <w:hyperlink w:anchor="_Toc115717075" w:history="1">
        <w:r w:rsidR="00AB7674" w:rsidRPr="00FC59B3">
          <w:rPr>
            <w:rStyle w:val="Hyperlink"/>
          </w:rPr>
          <w:t>2.2</w:t>
        </w:r>
        <w:r w:rsidR="00AB7674">
          <w:rPr>
            <w:rFonts w:asciiTheme="minorHAnsi" w:eastAsiaTheme="minorEastAsia" w:hAnsiTheme="minorHAnsi" w:cstheme="minorBidi"/>
            <w:sz w:val="22"/>
            <w:szCs w:val="22"/>
            <w:lang w:eastAsia="en-AU"/>
          </w:rPr>
          <w:tab/>
        </w:r>
        <w:r w:rsidR="00AB7674" w:rsidRPr="00FC59B3">
          <w:rPr>
            <w:rStyle w:val="Hyperlink"/>
          </w:rPr>
          <w:t>The academic publishing landscape</w:t>
        </w:r>
        <w:r w:rsidR="00AB7674">
          <w:rPr>
            <w:webHidden/>
          </w:rPr>
          <w:tab/>
        </w:r>
        <w:r w:rsidR="00AB7674">
          <w:rPr>
            <w:webHidden/>
          </w:rPr>
          <w:fldChar w:fldCharType="begin"/>
        </w:r>
        <w:r w:rsidR="00AB7674">
          <w:rPr>
            <w:webHidden/>
          </w:rPr>
          <w:instrText xml:space="preserve"> PAGEREF _Toc115717075 \h </w:instrText>
        </w:r>
        <w:r w:rsidR="00AB7674">
          <w:rPr>
            <w:webHidden/>
          </w:rPr>
        </w:r>
        <w:r w:rsidR="00AB7674">
          <w:rPr>
            <w:webHidden/>
          </w:rPr>
          <w:fldChar w:fldCharType="separate"/>
        </w:r>
        <w:r w:rsidR="008112E6">
          <w:rPr>
            <w:webHidden/>
          </w:rPr>
          <w:t>15</w:t>
        </w:r>
        <w:r w:rsidR="00AB7674">
          <w:rPr>
            <w:webHidden/>
          </w:rPr>
          <w:fldChar w:fldCharType="end"/>
        </w:r>
      </w:hyperlink>
    </w:p>
    <w:p w14:paraId="533DE76F" w14:textId="431BF185" w:rsidR="00AB7674" w:rsidRDefault="007A37B3">
      <w:pPr>
        <w:pStyle w:val="TOC2"/>
        <w:rPr>
          <w:rFonts w:asciiTheme="minorHAnsi" w:eastAsiaTheme="minorEastAsia" w:hAnsiTheme="minorHAnsi" w:cstheme="minorBidi"/>
          <w:sz w:val="22"/>
          <w:szCs w:val="22"/>
          <w:lang w:eastAsia="en-AU"/>
        </w:rPr>
      </w:pPr>
      <w:hyperlink w:anchor="_Toc115717076" w:history="1">
        <w:r w:rsidR="00AB7674" w:rsidRPr="00FC59B3">
          <w:rPr>
            <w:rStyle w:val="Hyperlink"/>
          </w:rPr>
          <w:t>2.3</w:t>
        </w:r>
        <w:r w:rsidR="00AB7674">
          <w:rPr>
            <w:rFonts w:asciiTheme="minorHAnsi" w:eastAsiaTheme="minorEastAsia" w:hAnsiTheme="minorHAnsi" w:cstheme="minorBidi"/>
            <w:sz w:val="22"/>
            <w:szCs w:val="22"/>
            <w:lang w:eastAsia="en-AU"/>
          </w:rPr>
          <w:tab/>
        </w:r>
        <w:r w:rsidR="00AB7674" w:rsidRPr="00FC59B3">
          <w:rPr>
            <w:rStyle w:val="Hyperlink"/>
          </w:rPr>
          <w:t>Access costs</w:t>
        </w:r>
        <w:r w:rsidR="00AB7674">
          <w:rPr>
            <w:webHidden/>
          </w:rPr>
          <w:tab/>
        </w:r>
        <w:r w:rsidR="00AB7674">
          <w:rPr>
            <w:webHidden/>
          </w:rPr>
          <w:fldChar w:fldCharType="begin"/>
        </w:r>
        <w:r w:rsidR="00AB7674">
          <w:rPr>
            <w:webHidden/>
          </w:rPr>
          <w:instrText xml:space="preserve"> PAGEREF _Toc115717076 \h </w:instrText>
        </w:r>
        <w:r w:rsidR="00AB7674">
          <w:rPr>
            <w:webHidden/>
          </w:rPr>
        </w:r>
        <w:r w:rsidR="00AB7674">
          <w:rPr>
            <w:webHidden/>
          </w:rPr>
          <w:fldChar w:fldCharType="separate"/>
        </w:r>
        <w:r w:rsidR="008112E6">
          <w:rPr>
            <w:webHidden/>
          </w:rPr>
          <w:t>17</w:t>
        </w:r>
        <w:r w:rsidR="00AB7674">
          <w:rPr>
            <w:webHidden/>
          </w:rPr>
          <w:fldChar w:fldCharType="end"/>
        </w:r>
      </w:hyperlink>
    </w:p>
    <w:p w14:paraId="08E46D8A" w14:textId="718C139A" w:rsidR="00AB7674" w:rsidRDefault="007A37B3">
      <w:pPr>
        <w:pStyle w:val="TOC1"/>
        <w:rPr>
          <w:rFonts w:asciiTheme="minorHAnsi" w:eastAsiaTheme="minorEastAsia" w:hAnsiTheme="minorHAnsi" w:cstheme="minorBidi"/>
          <w:sz w:val="22"/>
          <w:szCs w:val="22"/>
          <w:lang w:eastAsia="en-AU"/>
        </w:rPr>
      </w:pPr>
      <w:hyperlink w:anchor="_Toc115717077" w:history="1">
        <w:r w:rsidR="00AB7674" w:rsidRPr="00FC59B3">
          <w:rPr>
            <w:rStyle w:val="Hyperlink"/>
          </w:rPr>
          <w:t>3.</w:t>
        </w:r>
        <w:r w:rsidR="00AB7674">
          <w:rPr>
            <w:rFonts w:asciiTheme="minorHAnsi" w:eastAsiaTheme="minorEastAsia" w:hAnsiTheme="minorHAnsi" w:cstheme="minorBidi"/>
            <w:sz w:val="22"/>
            <w:szCs w:val="22"/>
            <w:lang w:eastAsia="en-AU"/>
          </w:rPr>
          <w:tab/>
        </w:r>
        <w:r w:rsidR="00AB7674" w:rsidRPr="00FC59B3">
          <w:rPr>
            <w:rStyle w:val="Hyperlink"/>
          </w:rPr>
          <w:t>An open access scheme for Australia</w:t>
        </w:r>
        <w:r w:rsidR="00AB7674">
          <w:rPr>
            <w:webHidden/>
          </w:rPr>
          <w:tab/>
        </w:r>
        <w:r w:rsidR="00AB7674">
          <w:rPr>
            <w:webHidden/>
          </w:rPr>
          <w:fldChar w:fldCharType="begin"/>
        </w:r>
        <w:r w:rsidR="00AB7674">
          <w:rPr>
            <w:webHidden/>
          </w:rPr>
          <w:instrText xml:space="preserve"> PAGEREF _Toc115717077 \h </w:instrText>
        </w:r>
        <w:r w:rsidR="00AB7674">
          <w:rPr>
            <w:webHidden/>
          </w:rPr>
        </w:r>
        <w:r w:rsidR="00AB7674">
          <w:rPr>
            <w:webHidden/>
          </w:rPr>
          <w:fldChar w:fldCharType="separate"/>
        </w:r>
        <w:r w:rsidR="008112E6">
          <w:rPr>
            <w:webHidden/>
          </w:rPr>
          <w:t>19</w:t>
        </w:r>
        <w:r w:rsidR="00AB7674">
          <w:rPr>
            <w:webHidden/>
          </w:rPr>
          <w:fldChar w:fldCharType="end"/>
        </w:r>
      </w:hyperlink>
    </w:p>
    <w:p w14:paraId="3E4AEA93" w14:textId="0DA3CF86" w:rsidR="00AB7674" w:rsidRDefault="007A37B3">
      <w:pPr>
        <w:pStyle w:val="TOC2"/>
        <w:rPr>
          <w:rFonts w:asciiTheme="minorHAnsi" w:eastAsiaTheme="minorEastAsia" w:hAnsiTheme="minorHAnsi" w:cstheme="minorBidi"/>
          <w:sz w:val="22"/>
          <w:szCs w:val="22"/>
          <w:lang w:eastAsia="en-AU"/>
        </w:rPr>
      </w:pPr>
      <w:hyperlink w:anchor="_Toc115717078" w:history="1">
        <w:r w:rsidR="00AB7674" w:rsidRPr="00FC59B3">
          <w:rPr>
            <w:rStyle w:val="Hyperlink"/>
          </w:rPr>
          <w:t>3.1</w:t>
        </w:r>
        <w:r w:rsidR="00AB7674">
          <w:rPr>
            <w:rFonts w:asciiTheme="minorHAnsi" w:eastAsiaTheme="minorEastAsia" w:hAnsiTheme="minorHAnsi" w:cstheme="minorBidi"/>
            <w:sz w:val="22"/>
            <w:szCs w:val="22"/>
            <w:lang w:eastAsia="en-AU"/>
          </w:rPr>
          <w:tab/>
        </w:r>
        <w:r w:rsidR="00AB7674" w:rsidRPr="00FC59B3">
          <w:rPr>
            <w:rStyle w:val="Hyperlink"/>
          </w:rPr>
          <w:t>The movement towards open access</w:t>
        </w:r>
        <w:r w:rsidR="00AB7674">
          <w:rPr>
            <w:webHidden/>
          </w:rPr>
          <w:tab/>
        </w:r>
        <w:r w:rsidR="00AB7674">
          <w:rPr>
            <w:webHidden/>
          </w:rPr>
          <w:fldChar w:fldCharType="begin"/>
        </w:r>
        <w:r w:rsidR="00AB7674">
          <w:rPr>
            <w:webHidden/>
          </w:rPr>
          <w:instrText xml:space="preserve"> PAGEREF _Toc115717078 \h </w:instrText>
        </w:r>
        <w:r w:rsidR="00AB7674">
          <w:rPr>
            <w:webHidden/>
          </w:rPr>
        </w:r>
        <w:r w:rsidR="00AB7674">
          <w:rPr>
            <w:webHidden/>
          </w:rPr>
          <w:fldChar w:fldCharType="separate"/>
        </w:r>
        <w:r w:rsidR="008112E6">
          <w:rPr>
            <w:webHidden/>
          </w:rPr>
          <w:t>19</w:t>
        </w:r>
        <w:r w:rsidR="00AB7674">
          <w:rPr>
            <w:webHidden/>
          </w:rPr>
          <w:fldChar w:fldCharType="end"/>
        </w:r>
      </w:hyperlink>
    </w:p>
    <w:p w14:paraId="5B15E005" w14:textId="6B720FD0" w:rsidR="00AB7674" w:rsidRDefault="007A37B3">
      <w:pPr>
        <w:pStyle w:val="TOC2"/>
        <w:rPr>
          <w:rFonts w:asciiTheme="minorHAnsi" w:eastAsiaTheme="minorEastAsia" w:hAnsiTheme="minorHAnsi" w:cstheme="minorBidi"/>
          <w:sz w:val="22"/>
          <w:szCs w:val="22"/>
          <w:lang w:eastAsia="en-AU"/>
        </w:rPr>
      </w:pPr>
      <w:hyperlink w:anchor="_Toc115717079" w:history="1">
        <w:r w:rsidR="00AB7674" w:rsidRPr="00FC59B3">
          <w:rPr>
            <w:rStyle w:val="Hyperlink"/>
          </w:rPr>
          <w:t>3.2</w:t>
        </w:r>
        <w:r w:rsidR="00AB7674">
          <w:rPr>
            <w:rFonts w:asciiTheme="minorHAnsi" w:eastAsiaTheme="minorEastAsia" w:hAnsiTheme="minorHAnsi" w:cstheme="minorBidi"/>
            <w:sz w:val="22"/>
            <w:szCs w:val="22"/>
            <w:lang w:eastAsia="en-AU"/>
          </w:rPr>
          <w:tab/>
        </w:r>
        <w:r w:rsidR="00AB7674" w:rsidRPr="00FC59B3">
          <w:rPr>
            <w:rStyle w:val="Hyperlink"/>
          </w:rPr>
          <w:t>The international experience</w:t>
        </w:r>
        <w:r w:rsidR="00AB7674">
          <w:rPr>
            <w:webHidden/>
          </w:rPr>
          <w:tab/>
        </w:r>
        <w:r w:rsidR="00AB7674">
          <w:rPr>
            <w:webHidden/>
          </w:rPr>
          <w:fldChar w:fldCharType="begin"/>
        </w:r>
        <w:r w:rsidR="00AB7674">
          <w:rPr>
            <w:webHidden/>
          </w:rPr>
          <w:instrText xml:space="preserve"> PAGEREF _Toc115717079 \h </w:instrText>
        </w:r>
        <w:r w:rsidR="00AB7674">
          <w:rPr>
            <w:webHidden/>
          </w:rPr>
        </w:r>
        <w:r w:rsidR="00AB7674">
          <w:rPr>
            <w:webHidden/>
          </w:rPr>
          <w:fldChar w:fldCharType="separate"/>
        </w:r>
        <w:r w:rsidR="008112E6">
          <w:rPr>
            <w:webHidden/>
          </w:rPr>
          <w:t>21</w:t>
        </w:r>
        <w:r w:rsidR="00AB7674">
          <w:rPr>
            <w:webHidden/>
          </w:rPr>
          <w:fldChar w:fldCharType="end"/>
        </w:r>
      </w:hyperlink>
    </w:p>
    <w:p w14:paraId="713FF8C1" w14:textId="46A6AB83" w:rsidR="00AB7674" w:rsidRDefault="007A37B3">
      <w:pPr>
        <w:pStyle w:val="TOC2"/>
        <w:rPr>
          <w:rFonts w:asciiTheme="minorHAnsi" w:eastAsiaTheme="minorEastAsia" w:hAnsiTheme="minorHAnsi" w:cstheme="minorBidi"/>
          <w:sz w:val="22"/>
          <w:szCs w:val="22"/>
          <w:lang w:eastAsia="en-AU"/>
        </w:rPr>
      </w:pPr>
      <w:hyperlink w:anchor="_Toc115717080" w:history="1">
        <w:r w:rsidR="00AB7674" w:rsidRPr="00FC59B3">
          <w:rPr>
            <w:rStyle w:val="Hyperlink"/>
          </w:rPr>
          <w:t>3.3</w:t>
        </w:r>
        <w:r w:rsidR="00AB7674">
          <w:rPr>
            <w:rFonts w:asciiTheme="minorHAnsi" w:eastAsiaTheme="minorEastAsia" w:hAnsiTheme="minorHAnsi" w:cstheme="minorBidi"/>
            <w:sz w:val="22"/>
            <w:szCs w:val="22"/>
            <w:lang w:eastAsia="en-AU"/>
          </w:rPr>
          <w:tab/>
        </w:r>
        <w:r w:rsidR="00AB7674" w:rsidRPr="00FC59B3">
          <w:rPr>
            <w:rStyle w:val="Hyperlink"/>
          </w:rPr>
          <w:t>Options for Australia’s open access scheme</w:t>
        </w:r>
        <w:r w:rsidR="00AB7674">
          <w:rPr>
            <w:webHidden/>
          </w:rPr>
          <w:tab/>
        </w:r>
        <w:r w:rsidR="00AB7674">
          <w:rPr>
            <w:webHidden/>
          </w:rPr>
          <w:fldChar w:fldCharType="begin"/>
        </w:r>
        <w:r w:rsidR="00AB7674">
          <w:rPr>
            <w:webHidden/>
          </w:rPr>
          <w:instrText xml:space="preserve"> PAGEREF _Toc115717080 \h </w:instrText>
        </w:r>
        <w:r w:rsidR="00AB7674">
          <w:rPr>
            <w:webHidden/>
          </w:rPr>
        </w:r>
        <w:r w:rsidR="00AB7674">
          <w:rPr>
            <w:webHidden/>
          </w:rPr>
          <w:fldChar w:fldCharType="separate"/>
        </w:r>
        <w:r w:rsidR="008112E6">
          <w:rPr>
            <w:webHidden/>
          </w:rPr>
          <w:t>23</w:t>
        </w:r>
        <w:r w:rsidR="00AB7674">
          <w:rPr>
            <w:webHidden/>
          </w:rPr>
          <w:fldChar w:fldCharType="end"/>
        </w:r>
      </w:hyperlink>
    </w:p>
    <w:p w14:paraId="3E36F541" w14:textId="609AF2E7" w:rsidR="00AB7674" w:rsidRDefault="007A37B3">
      <w:pPr>
        <w:pStyle w:val="TOC2"/>
        <w:rPr>
          <w:rFonts w:asciiTheme="minorHAnsi" w:eastAsiaTheme="minorEastAsia" w:hAnsiTheme="minorHAnsi" w:cstheme="minorBidi"/>
          <w:sz w:val="22"/>
          <w:szCs w:val="22"/>
          <w:lang w:eastAsia="en-AU"/>
        </w:rPr>
      </w:pPr>
      <w:hyperlink w:anchor="_Toc115717081" w:history="1">
        <w:r w:rsidR="00AB7674" w:rsidRPr="00FC59B3">
          <w:rPr>
            <w:rStyle w:val="Hyperlink"/>
          </w:rPr>
          <w:t>3.4</w:t>
        </w:r>
        <w:r w:rsidR="00AB7674">
          <w:rPr>
            <w:rFonts w:asciiTheme="minorHAnsi" w:eastAsiaTheme="minorEastAsia" w:hAnsiTheme="minorHAnsi" w:cstheme="minorBidi"/>
            <w:sz w:val="22"/>
            <w:szCs w:val="22"/>
            <w:lang w:eastAsia="en-AU"/>
          </w:rPr>
          <w:tab/>
        </w:r>
        <w:r w:rsidR="00AB7674" w:rsidRPr="00FC59B3">
          <w:rPr>
            <w:rStyle w:val="Hyperlink"/>
          </w:rPr>
          <w:t>Governing principles for a scheme</w:t>
        </w:r>
        <w:r w:rsidR="00AB7674">
          <w:rPr>
            <w:webHidden/>
          </w:rPr>
          <w:tab/>
        </w:r>
        <w:r w:rsidR="00AB7674">
          <w:rPr>
            <w:webHidden/>
          </w:rPr>
          <w:fldChar w:fldCharType="begin"/>
        </w:r>
        <w:r w:rsidR="00AB7674">
          <w:rPr>
            <w:webHidden/>
          </w:rPr>
          <w:instrText xml:space="preserve"> PAGEREF _Toc115717081 \h </w:instrText>
        </w:r>
        <w:r w:rsidR="00AB7674">
          <w:rPr>
            <w:webHidden/>
          </w:rPr>
        </w:r>
        <w:r w:rsidR="00AB7674">
          <w:rPr>
            <w:webHidden/>
          </w:rPr>
          <w:fldChar w:fldCharType="separate"/>
        </w:r>
        <w:r w:rsidR="008112E6">
          <w:rPr>
            <w:webHidden/>
          </w:rPr>
          <w:t>24</w:t>
        </w:r>
        <w:r w:rsidR="00AB7674">
          <w:rPr>
            <w:webHidden/>
          </w:rPr>
          <w:fldChar w:fldCharType="end"/>
        </w:r>
      </w:hyperlink>
    </w:p>
    <w:p w14:paraId="5D6BA33E" w14:textId="535B988A" w:rsidR="00AB7674" w:rsidRDefault="007A37B3">
      <w:pPr>
        <w:pStyle w:val="TOC1"/>
        <w:rPr>
          <w:rFonts w:asciiTheme="minorHAnsi" w:eastAsiaTheme="minorEastAsia" w:hAnsiTheme="minorHAnsi" w:cstheme="minorBidi"/>
          <w:sz w:val="22"/>
          <w:szCs w:val="22"/>
          <w:lang w:eastAsia="en-AU"/>
        </w:rPr>
      </w:pPr>
      <w:hyperlink w:anchor="_Toc115717082" w:history="1">
        <w:r w:rsidR="00AB7674" w:rsidRPr="00FC59B3">
          <w:rPr>
            <w:rStyle w:val="Hyperlink"/>
          </w:rPr>
          <w:t>4.</w:t>
        </w:r>
        <w:r w:rsidR="00AB7674">
          <w:rPr>
            <w:rFonts w:asciiTheme="minorHAnsi" w:eastAsiaTheme="minorEastAsia" w:hAnsiTheme="minorHAnsi" w:cstheme="minorBidi"/>
            <w:sz w:val="22"/>
            <w:szCs w:val="22"/>
            <w:lang w:eastAsia="en-AU"/>
          </w:rPr>
          <w:tab/>
        </w:r>
        <w:r w:rsidR="00AB7674" w:rsidRPr="00FC59B3">
          <w:rPr>
            <w:rStyle w:val="Hyperlink"/>
          </w:rPr>
          <w:t>The potential economic and social benefits of open access</w:t>
        </w:r>
        <w:r w:rsidR="00AB7674">
          <w:rPr>
            <w:webHidden/>
          </w:rPr>
          <w:tab/>
        </w:r>
        <w:r w:rsidR="00AB7674">
          <w:rPr>
            <w:webHidden/>
          </w:rPr>
          <w:fldChar w:fldCharType="begin"/>
        </w:r>
        <w:r w:rsidR="00AB7674">
          <w:rPr>
            <w:webHidden/>
          </w:rPr>
          <w:instrText xml:space="preserve"> PAGEREF _Toc115717082 \h </w:instrText>
        </w:r>
        <w:r w:rsidR="00AB7674">
          <w:rPr>
            <w:webHidden/>
          </w:rPr>
        </w:r>
        <w:r w:rsidR="00AB7674">
          <w:rPr>
            <w:webHidden/>
          </w:rPr>
          <w:fldChar w:fldCharType="separate"/>
        </w:r>
        <w:r w:rsidR="008112E6">
          <w:rPr>
            <w:webHidden/>
          </w:rPr>
          <w:t>26</w:t>
        </w:r>
        <w:r w:rsidR="00AB7674">
          <w:rPr>
            <w:webHidden/>
          </w:rPr>
          <w:fldChar w:fldCharType="end"/>
        </w:r>
      </w:hyperlink>
    </w:p>
    <w:p w14:paraId="05625932" w14:textId="6AF9C036" w:rsidR="00AB7674" w:rsidRDefault="007A37B3">
      <w:pPr>
        <w:pStyle w:val="TOC2"/>
        <w:rPr>
          <w:rFonts w:asciiTheme="minorHAnsi" w:eastAsiaTheme="minorEastAsia" w:hAnsiTheme="minorHAnsi" w:cstheme="minorBidi"/>
          <w:sz w:val="22"/>
          <w:szCs w:val="22"/>
          <w:lang w:eastAsia="en-AU"/>
        </w:rPr>
      </w:pPr>
      <w:hyperlink w:anchor="_Toc115717083" w:history="1">
        <w:r w:rsidR="00AB7674" w:rsidRPr="00FC59B3">
          <w:rPr>
            <w:rStyle w:val="Hyperlink"/>
          </w:rPr>
          <w:t>4.1</w:t>
        </w:r>
        <w:r w:rsidR="00AB7674">
          <w:rPr>
            <w:rFonts w:asciiTheme="minorHAnsi" w:eastAsiaTheme="minorEastAsia" w:hAnsiTheme="minorHAnsi" w:cstheme="minorBidi"/>
            <w:sz w:val="22"/>
            <w:szCs w:val="22"/>
            <w:lang w:eastAsia="en-AU"/>
          </w:rPr>
          <w:tab/>
        </w:r>
        <w:r w:rsidR="00AB7674" w:rsidRPr="00FC59B3">
          <w:rPr>
            <w:rStyle w:val="Hyperlink"/>
          </w:rPr>
          <w:t>The economic rationale for open access</w:t>
        </w:r>
        <w:r w:rsidR="00AB7674">
          <w:rPr>
            <w:webHidden/>
          </w:rPr>
          <w:tab/>
        </w:r>
        <w:r w:rsidR="00AB7674">
          <w:rPr>
            <w:webHidden/>
          </w:rPr>
          <w:fldChar w:fldCharType="begin"/>
        </w:r>
        <w:r w:rsidR="00AB7674">
          <w:rPr>
            <w:webHidden/>
          </w:rPr>
          <w:instrText xml:space="preserve"> PAGEREF _Toc115717083 \h </w:instrText>
        </w:r>
        <w:r w:rsidR="00AB7674">
          <w:rPr>
            <w:webHidden/>
          </w:rPr>
        </w:r>
        <w:r w:rsidR="00AB7674">
          <w:rPr>
            <w:webHidden/>
          </w:rPr>
          <w:fldChar w:fldCharType="separate"/>
        </w:r>
        <w:r w:rsidR="008112E6">
          <w:rPr>
            <w:webHidden/>
          </w:rPr>
          <w:t>26</w:t>
        </w:r>
        <w:r w:rsidR="00AB7674">
          <w:rPr>
            <w:webHidden/>
          </w:rPr>
          <w:fldChar w:fldCharType="end"/>
        </w:r>
      </w:hyperlink>
    </w:p>
    <w:p w14:paraId="29047436" w14:textId="338D6B3F" w:rsidR="00AB7674" w:rsidRDefault="007A37B3">
      <w:pPr>
        <w:pStyle w:val="TOC2"/>
        <w:rPr>
          <w:rFonts w:asciiTheme="minorHAnsi" w:eastAsiaTheme="minorEastAsia" w:hAnsiTheme="minorHAnsi" w:cstheme="minorBidi"/>
          <w:sz w:val="22"/>
          <w:szCs w:val="22"/>
          <w:lang w:eastAsia="en-AU"/>
        </w:rPr>
      </w:pPr>
      <w:hyperlink w:anchor="_Toc115717084" w:history="1">
        <w:r w:rsidR="00AB7674" w:rsidRPr="00FC59B3">
          <w:rPr>
            <w:rStyle w:val="Hyperlink"/>
          </w:rPr>
          <w:t>4.2</w:t>
        </w:r>
        <w:r w:rsidR="00AB7674">
          <w:rPr>
            <w:rFonts w:asciiTheme="minorHAnsi" w:eastAsiaTheme="minorEastAsia" w:hAnsiTheme="minorHAnsi" w:cstheme="minorBidi"/>
            <w:sz w:val="22"/>
            <w:szCs w:val="22"/>
            <w:lang w:eastAsia="en-AU"/>
          </w:rPr>
          <w:tab/>
        </w:r>
        <w:r w:rsidR="00AB7674" w:rsidRPr="00FC59B3">
          <w:rPr>
            <w:rStyle w:val="Hyperlink"/>
          </w:rPr>
          <w:t>The potential economic impacts of open access</w:t>
        </w:r>
        <w:r w:rsidR="00AB7674">
          <w:rPr>
            <w:webHidden/>
          </w:rPr>
          <w:tab/>
        </w:r>
        <w:r w:rsidR="00AB7674">
          <w:rPr>
            <w:webHidden/>
          </w:rPr>
          <w:fldChar w:fldCharType="begin"/>
        </w:r>
        <w:r w:rsidR="00AB7674">
          <w:rPr>
            <w:webHidden/>
          </w:rPr>
          <w:instrText xml:space="preserve"> PAGEREF _Toc115717084 \h </w:instrText>
        </w:r>
        <w:r w:rsidR="00AB7674">
          <w:rPr>
            <w:webHidden/>
          </w:rPr>
        </w:r>
        <w:r w:rsidR="00AB7674">
          <w:rPr>
            <w:webHidden/>
          </w:rPr>
          <w:fldChar w:fldCharType="separate"/>
        </w:r>
        <w:r w:rsidR="008112E6">
          <w:rPr>
            <w:webHidden/>
          </w:rPr>
          <w:t>31</w:t>
        </w:r>
        <w:r w:rsidR="00AB7674">
          <w:rPr>
            <w:webHidden/>
          </w:rPr>
          <w:fldChar w:fldCharType="end"/>
        </w:r>
      </w:hyperlink>
    </w:p>
    <w:p w14:paraId="2AEAF311" w14:textId="7465E2DB" w:rsidR="00AB7674" w:rsidRDefault="007A37B3">
      <w:pPr>
        <w:pStyle w:val="TOC2"/>
        <w:rPr>
          <w:rFonts w:asciiTheme="minorHAnsi" w:eastAsiaTheme="minorEastAsia" w:hAnsiTheme="minorHAnsi" w:cstheme="minorBidi"/>
          <w:sz w:val="22"/>
          <w:szCs w:val="22"/>
          <w:lang w:eastAsia="en-AU"/>
        </w:rPr>
      </w:pPr>
      <w:hyperlink w:anchor="_Toc115717085" w:history="1">
        <w:r w:rsidR="00AB7674" w:rsidRPr="00FC59B3">
          <w:rPr>
            <w:rStyle w:val="Hyperlink"/>
          </w:rPr>
          <w:t>4.3</w:t>
        </w:r>
        <w:r w:rsidR="00AB7674">
          <w:rPr>
            <w:rFonts w:asciiTheme="minorHAnsi" w:eastAsiaTheme="minorEastAsia" w:hAnsiTheme="minorHAnsi" w:cstheme="minorBidi"/>
            <w:sz w:val="22"/>
            <w:szCs w:val="22"/>
            <w:lang w:eastAsia="en-AU"/>
          </w:rPr>
          <w:tab/>
        </w:r>
        <w:r w:rsidR="00AB7674" w:rsidRPr="00FC59B3">
          <w:rPr>
            <w:rStyle w:val="Hyperlink"/>
          </w:rPr>
          <w:t>Social benefits of open access</w:t>
        </w:r>
        <w:r w:rsidR="00AB7674">
          <w:rPr>
            <w:webHidden/>
          </w:rPr>
          <w:tab/>
        </w:r>
        <w:r w:rsidR="00AB7674">
          <w:rPr>
            <w:webHidden/>
          </w:rPr>
          <w:fldChar w:fldCharType="begin"/>
        </w:r>
        <w:r w:rsidR="00AB7674">
          <w:rPr>
            <w:webHidden/>
          </w:rPr>
          <w:instrText xml:space="preserve"> PAGEREF _Toc115717085 \h </w:instrText>
        </w:r>
        <w:r w:rsidR="00AB7674">
          <w:rPr>
            <w:webHidden/>
          </w:rPr>
        </w:r>
        <w:r w:rsidR="00AB7674">
          <w:rPr>
            <w:webHidden/>
          </w:rPr>
          <w:fldChar w:fldCharType="separate"/>
        </w:r>
        <w:r w:rsidR="008112E6">
          <w:rPr>
            <w:webHidden/>
          </w:rPr>
          <w:t>34</w:t>
        </w:r>
        <w:r w:rsidR="00AB7674">
          <w:rPr>
            <w:webHidden/>
          </w:rPr>
          <w:fldChar w:fldCharType="end"/>
        </w:r>
      </w:hyperlink>
    </w:p>
    <w:p w14:paraId="127B968A" w14:textId="01F54648" w:rsidR="00AB7674" w:rsidRDefault="007A37B3">
      <w:pPr>
        <w:pStyle w:val="TOC1"/>
        <w:rPr>
          <w:rFonts w:asciiTheme="minorHAnsi" w:eastAsiaTheme="minorEastAsia" w:hAnsiTheme="minorHAnsi" w:cstheme="minorBidi"/>
          <w:sz w:val="22"/>
          <w:szCs w:val="22"/>
          <w:lang w:eastAsia="en-AU"/>
        </w:rPr>
      </w:pPr>
      <w:hyperlink w:anchor="_Toc115717086" w:history="1">
        <w:r w:rsidR="00AB7674" w:rsidRPr="00FC59B3">
          <w:rPr>
            <w:rStyle w:val="Hyperlink"/>
          </w:rPr>
          <w:t>5.</w:t>
        </w:r>
        <w:r w:rsidR="00AB7674">
          <w:rPr>
            <w:rFonts w:asciiTheme="minorHAnsi" w:eastAsiaTheme="minorEastAsia" w:hAnsiTheme="minorHAnsi" w:cstheme="minorBidi"/>
            <w:sz w:val="22"/>
            <w:szCs w:val="22"/>
            <w:lang w:eastAsia="en-AU"/>
          </w:rPr>
          <w:tab/>
        </w:r>
        <w:r w:rsidR="00AB7674" w:rsidRPr="00FC59B3">
          <w:rPr>
            <w:rStyle w:val="Hyperlink"/>
          </w:rPr>
          <w:t>A preferred model for an Australian open access scheme</w:t>
        </w:r>
        <w:r w:rsidR="00AB7674">
          <w:rPr>
            <w:webHidden/>
          </w:rPr>
          <w:tab/>
        </w:r>
        <w:r w:rsidR="00AB7674">
          <w:rPr>
            <w:webHidden/>
          </w:rPr>
          <w:fldChar w:fldCharType="begin"/>
        </w:r>
        <w:r w:rsidR="00AB7674">
          <w:rPr>
            <w:webHidden/>
          </w:rPr>
          <w:instrText xml:space="preserve"> PAGEREF _Toc115717086 \h </w:instrText>
        </w:r>
        <w:r w:rsidR="00AB7674">
          <w:rPr>
            <w:webHidden/>
          </w:rPr>
        </w:r>
        <w:r w:rsidR="00AB7674">
          <w:rPr>
            <w:webHidden/>
          </w:rPr>
          <w:fldChar w:fldCharType="separate"/>
        </w:r>
        <w:r w:rsidR="008112E6">
          <w:rPr>
            <w:webHidden/>
          </w:rPr>
          <w:t>37</w:t>
        </w:r>
        <w:r w:rsidR="00AB7674">
          <w:rPr>
            <w:webHidden/>
          </w:rPr>
          <w:fldChar w:fldCharType="end"/>
        </w:r>
      </w:hyperlink>
    </w:p>
    <w:p w14:paraId="2A4AEAED" w14:textId="493B037B" w:rsidR="00AB7674" w:rsidRDefault="007A37B3">
      <w:pPr>
        <w:pStyle w:val="TOC2"/>
        <w:rPr>
          <w:rFonts w:asciiTheme="minorHAnsi" w:eastAsiaTheme="minorEastAsia" w:hAnsiTheme="minorHAnsi" w:cstheme="minorBidi"/>
          <w:sz w:val="22"/>
          <w:szCs w:val="22"/>
          <w:lang w:eastAsia="en-AU"/>
        </w:rPr>
      </w:pPr>
      <w:hyperlink w:anchor="_Toc115717087" w:history="1">
        <w:r w:rsidR="00AB7674" w:rsidRPr="00FC59B3">
          <w:rPr>
            <w:rStyle w:val="Hyperlink"/>
          </w:rPr>
          <w:t>5.1</w:t>
        </w:r>
        <w:r w:rsidR="00AB7674">
          <w:rPr>
            <w:rFonts w:asciiTheme="minorHAnsi" w:eastAsiaTheme="minorEastAsia" w:hAnsiTheme="minorHAnsi" w:cstheme="minorBidi"/>
            <w:sz w:val="22"/>
            <w:szCs w:val="22"/>
            <w:lang w:eastAsia="en-AU"/>
          </w:rPr>
          <w:tab/>
        </w:r>
        <w:r w:rsidR="00AB7674" w:rsidRPr="00FC59B3">
          <w:rPr>
            <w:rStyle w:val="Hyperlink"/>
          </w:rPr>
          <w:t>Central implementation body</w:t>
        </w:r>
        <w:r w:rsidR="00AB7674">
          <w:rPr>
            <w:webHidden/>
          </w:rPr>
          <w:tab/>
        </w:r>
        <w:r w:rsidR="00AB7674">
          <w:rPr>
            <w:webHidden/>
          </w:rPr>
          <w:fldChar w:fldCharType="begin"/>
        </w:r>
        <w:r w:rsidR="00AB7674">
          <w:rPr>
            <w:webHidden/>
          </w:rPr>
          <w:instrText xml:space="preserve"> PAGEREF _Toc115717087 \h </w:instrText>
        </w:r>
        <w:r w:rsidR="00AB7674">
          <w:rPr>
            <w:webHidden/>
          </w:rPr>
        </w:r>
        <w:r w:rsidR="00AB7674">
          <w:rPr>
            <w:webHidden/>
          </w:rPr>
          <w:fldChar w:fldCharType="separate"/>
        </w:r>
        <w:r w:rsidR="008112E6">
          <w:rPr>
            <w:webHidden/>
          </w:rPr>
          <w:t>37</w:t>
        </w:r>
        <w:r w:rsidR="00AB7674">
          <w:rPr>
            <w:webHidden/>
          </w:rPr>
          <w:fldChar w:fldCharType="end"/>
        </w:r>
      </w:hyperlink>
    </w:p>
    <w:p w14:paraId="172341D1" w14:textId="675E6D7D" w:rsidR="00AB7674" w:rsidRDefault="007A37B3">
      <w:pPr>
        <w:pStyle w:val="TOC2"/>
        <w:rPr>
          <w:rFonts w:asciiTheme="minorHAnsi" w:eastAsiaTheme="minorEastAsia" w:hAnsiTheme="minorHAnsi" w:cstheme="minorBidi"/>
          <w:sz w:val="22"/>
          <w:szCs w:val="22"/>
          <w:lang w:eastAsia="en-AU"/>
        </w:rPr>
      </w:pPr>
      <w:hyperlink w:anchor="_Toc115717088" w:history="1">
        <w:r w:rsidR="00AB7674" w:rsidRPr="00FC59B3">
          <w:rPr>
            <w:rStyle w:val="Hyperlink"/>
          </w:rPr>
          <w:t>5.2</w:t>
        </w:r>
        <w:r w:rsidR="00AB7674">
          <w:rPr>
            <w:rFonts w:asciiTheme="minorHAnsi" w:eastAsiaTheme="minorEastAsia" w:hAnsiTheme="minorHAnsi" w:cstheme="minorBidi"/>
            <w:sz w:val="22"/>
            <w:szCs w:val="22"/>
            <w:lang w:eastAsia="en-AU"/>
          </w:rPr>
          <w:tab/>
        </w:r>
        <w:r w:rsidR="00AB7674" w:rsidRPr="00FC59B3">
          <w:rPr>
            <w:rStyle w:val="Hyperlink"/>
          </w:rPr>
          <w:t>National agreements between publishers and central implementation body</w:t>
        </w:r>
        <w:r w:rsidR="00AB7674">
          <w:rPr>
            <w:webHidden/>
          </w:rPr>
          <w:tab/>
        </w:r>
        <w:r w:rsidR="00AB7674">
          <w:rPr>
            <w:webHidden/>
          </w:rPr>
          <w:fldChar w:fldCharType="begin"/>
        </w:r>
        <w:r w:rsidR="00AB7674">
          <w:rPr>
            <w:webHidden/>
          </w:rPr>
          <w:instrText xml:space="preserve"> PAGEREF _Toc115717088 \h </w:instrText>
        </w:r>
        <w:r w:rsidR="00AB7674">
          <w:rPr>
            <w:webHidden/>
          </w:rPr>
        </w:r>
        <w:r w:rsidR="00AB7674">
          <w:rPr>
            <w:webHidden/>
          </w:rPr>
          <w:fldChar w:fldCharType="separate"/>
        </w:r>
        <w:r w:rsidR="008112E6">
          <w:rPr>
            <w:webHidden/>
          </w:rPr>
          <w:t>40</w:t>
        </w:r>
        <w:r w:rsidR="00AB7674">
          <w:rPr>
            <w:webHidden/>
          </w:rPr>
          <w:fldChar w:fldCharType="end"/>
        </w:r>
      </w:hyperlink>
    </w:p>
    <w:p w14:paraId="3EA0BFD9" w14:textId="5AC28278" w:rsidR="00AB7674" w:rsidRDefault="007A37B3">
      <w:pPr>
        <w:pStyle w:val="TOC1"/>
        <w:rPr>
          <w:rFonts w:asciiTheme="minorHAnsi" w:eastAsiaTheme="minorEastAsia" w:hAnsiTheme="minorHAnsi" w:cstheme="minorBidi"/>
          <w:sz w:val="22"/>
          <w:szCs w:val="22"/>
          <w:lang w:eastAsia="en-AU"/>
        </w:rPr>
      </w:pPr>
      <w:hyperlink w:anchor="_Toc115717089" w:history="1">
        <w:r w:rsidR="00AB7674" w:rsidRPr="00FC59B3">
          <w:rPr>
            <w:rStyle w:val="Hyperlink"/>
          </w:rPr>
          <w:t>6.</w:t>
        </w:r>
        <w:r w:rsidR="00AB7674">
          <w:rPr>
            <w:rFonts w:asciiTheme="minorHAnsi" w:eastAsiaTheme="minorEastAsia" w:hAnsiTheme="minorHAnsi" w:cstheme="minorBidi"/>
            <w:sz w:val="22"/>
            <w:szCs w:val="22"/>
            <w:lang w:eastAsia="en-AU"/>
          </w:rPr>
          <w:tab/>
        </w:r>
        <w:r w:rsidR="00AB7674" w:rsidRPr="00FC59B3">
          <w:rPr>
            <w:rStyle w:val="Hyperlink"/>
          </w:rPr>
          <w:t>Design and deliverability</w:t>
        </w:r>
        <w:r w:rsidR="00AB7674">
          <w:rPr>
            <w:webHidden/>
          </w:rPr>
          <w:tab/>
        </w:r>
        <w:r w:rsidR="00AB7674">
          <w:rPr>
            <w:webHidden/>
          </w:rPr>
          <w:fldChar w:fldCharType="begin"/>
        </w:r>
        <w:r w:rsidR="00AB7674">
          <w:rPr>
            <w:webHidden/>
          </w:rPr>
          <w:instrText xml:space="preserve"> PAGEREF _Toc115717089 \h </w:instrText>
        </w:r>
        <w:r w:rsidR="00AB7674">
          <w:rPr>
            <w:webHidden/>
          </w:rPr>
        </w:r>
        <w:r w:rsidR="00AB7674">
          <w:rPr>
            <w:webHidden/>
          </w:rPr>
          <w:fldChar w:fldCharType="separate"/>
        </w:r>
        <w:r w:rsidR="008112E6">
          <w:rPr>
            <w:webHidden/>
          </w:rPr>
          <w:t>41</w:t>
        </w:r>
        <w:r w:rsidR="00AB7674">
          <w:rPr>
            <w:webHidden/>
          </w:rPr>
          <w:fldChar w:fldCharType="end"/>
        </w:r>
      </w:hyperlink>
    </w:p>
    <w:p w14:paraId="37ECC844" w14:textId="65AC0F75" w:rsidR="00AB7674" w:rsidRDefault="007A37B3">
      <w:pPr>
        <w:pStyle w:val="TOC2"/>
        <w:rPr>
          <w:rFonts w:asciiTheme="minorHAnsi" w:eastAsiaTheme="minorEastAsia" w:hAnsiTheme="minorHAnsi" w:cstheme="minorBidi"/>
          <w:sz w:val="22"/>
          <w:szCs w:val="22"/>
          <w:lang w:eastAsia="en-AU"/>
        </w:rPr>
      </w:pPr>
      <w:hyperlink w:anchor="_Toc115717090" w:history="1">
        <w:r w:rsidR="00AB7674" w:rsidRPr="00FC59B3">
          <w:rPr>
            <w:rStyle w:val="Hyperlink"/>
          </w:rPr>
          <w:t>6.1</w:t>
        </w:r>
        <w:r w:rsidR="00AB7674">
          <w:rPr>
            <w:rFonts w:asciiTheme="minorHAnsi" w:eastAsiaTheme="minorEastAsia" w:hAnsiTheme="minorHAnsi" w:cstheme="minorBidi"/>
            <w:sz w:val="22"/>
            <w:szCs w:val="22"/>
            <w:lang w:eastAsia="en-AU"/>
          </w:rPr>
          <w:tab/>
        </w:r>
        <w:r w:rsidR="00AB7674" w:rsidRPr="00FC59B3">
          <w:rPr>
            <w:rStyle w:val="Hyperlink"/>
          </w:rPr>
          <w:t>Stakeholder engagement</w:t>
        </w:r>
        <w:r w:rsidR="00AB7674">
          <w:rPr>
            <w:webHidden/>
          </w:rPr>
          <w:tab/>
        </w:r>
        <w:r w:rsidR="00AB7674">
          <w:rPr>
            <w:webHidden/>
          </w:rPr>
          <w:fldChar w:fldCharType="begin"/>
        </w:r>
        <w:r w:rsidR="00AB7674">
          <w:rPr>
            <w:webHidden/>
          </w:rPr>
          <w:instrText xml:space="preserve"> PAGEREF _Toc115717090 \h </w:instrText>
        </w:r>
        <w:r w:rsidR="00AB7674">
          <w:rPr>
            <w:webHidden/>
          </w:rPr>
        </w:r>
        <w:r w:rsidR="00AB7674">
          <w:rPr>
            <w:webHidden/>
          </w:rPr>
          <w:fldChar w:fldCharType="separate"/>
        </w:r>
        <w:r w:rsidR="008112E6">
          <w:rPr>
            <w:webHidden/>
          </w:rPr>
          <w:t>41</w:t>
        </w:r>
        <w:r w:rsidR="00AB7674">
          <w:rPr>
            <w:webHidden/>
          </w:rPr>
          <w:fldChar w:fldCharType="end"/>
        </w:r>
      </w:hyperlink>
    </w:p>
    <w:p w14:paraId="11CBA9C7" w14:textId="065E45AD" w:rsidR="00AB7674" w:rsidRDefault="007A37B3">
      <w:pPr>
        <w:pStyle w:val="TOC2"/>
        <w:rPr>
          <w:rFonts w:asciiTheme="minorHAnsi" w:eastAsiaTheme="minorEastAsia" w:hAnsiTheme="minorHAnsi" w:cstheme="minorBidi"/>
          <w:sz w:val="22"/>
          <w:szCs w:val="22"/>
          <w:lang w:eastAsia="en-AU"/>
        </w:rPr>
      </w:pPr>
      <w:hyperlink w:anchor="_Toc115717091" w:history="1">
        <w:r w:rsidR="00AB7674" w:rsidRPr="00FC59B3">
          <w:rPr>
            <w:rStyle w:val="Hyperlink"/>
          </w:rPr>
          <w:t>6.2</w:t>
        </w:r>
        <w:r w:rsidR="00AB7674">
          <w:rPr>
            <w:rFonts w:asciiTheme="minorHAnsi" w:eastAsiaTheme="minorEastAsia" w:hAnsiTheme="minorHAnsi" w:cstheme="minorBidi"/>
            <w:sz w:val="22"/>
            <w:szCs w:val="22"/>
            <w:lang w:eastAsia="en-AU"/>
          </w:rPr>
          <w:tab/>
        </w:r>
        <w:r w:rsidR="00AB7674" w:rsidRPr="00FC59B3">
          <w:rPr>
            <w:rStyle w:val="Hyperlink"/>
          </w:rPr>
          <w:t>Governance</w:t>
        </w:r>
        <w:r w:rsidR="00AB7674">
          <w:rPr>
            <w:webHidden/>
          </w:rPr>
          <w:tab/>
        </w:r>
        <w:r w:rsidR="00AB7674">
          <w:rPr>
            <w:webHidden/>
          </w:rPr>
          <w:fldChar w:fldCharType="begin"/>
        </w:r>
        <w:r w:rsidR="00AB7674">
          <w:rPr>
            <w:webHidden/>
          </w:rPr>
          <w:instrText xml:space="preserve"> PAGEREF _Toc115717091 \h </w:instrText>
        </w:r>
        <w:r w:rsidR="00AB7674">
          <w:rPr>
            <w:webHidden/>
          </w:rPr>
        </w:r>
        <w:r w:rsidR="00AB7674">
          <w:rPr>
            <w:webHidden/>
          </w:rPr>
          <w:fldChar w:fldCharType="separate"/>
        </w:r>
        <w:r w:rsidR="008112E6">
          <w:rPr>
            <w:webHidden/>
          </w:rPr>
          <w:t>44</w:t>
        </w:r>
        <w:r w:rsidR="00AB7674">
          <w:rPr>
            <w:webHidden/>
          </w:rPr>
          <w:fldChar w:fldCharType="end"/>
        </w:r>
      </w:hyperlink>
    </w:p>
    <w:p w14:paraId="4D3CFF4C" w14:textId="476953BD" w:rsidR="00AB7674" w:rsidRDefault="007A37B3">
      <w:pPr>
        <w:pStyle w:val="TOC2"/>
        <w:rPr>
          <w:rFonts w:asciiTheme="minorHAnsi" w:eastAsiaTheme="minorEastAsia" w:hAnsiTheme="minorHAnsi" w:cstheme="minorBidi"/>
          <w:sz w:val="22"/>
          <w:szCs w:val="22"/>
          <w:lang w:eastAsia="en-AU"/>
        </w:rPr>
      </w:pPr>
      <w:hyperlink w:anchor="_Toc115717092" w:history="1">
        <w:r w:rsidR="00AB7674" w:rsidRPr="00FC59B3">
          <w:rPr>
            <w:rStyle w:val="Hyperlink"/>
          </w:rPr>
          <w:t>6.3</w:t>
        </w:r>
        <w:r w:rsidR="00AB7674">
          <w:rPr>
            <w:rFonts w:asciiTheme="minorHAnsi" w:eastAsiaTheme="minorEastAsia" w:hAnsiTheme="minorHAnsi" w:cstheme="minorBidi"/>
            <w:sz w:val="22"/>
            <w:szCs w:val="22"/>
            <w:lang w:eastAsia="en-AU"/>
          </w:rPr>
          <w:tab/>
        </w:r>
        <w:r w:rsidR="00AB7674" w:rsidRPr="00FC59B3">
          <w:rPr>
            <w:rStyle w:val="Hyperlink"/>
          </w:rPr>
          <w:t>Supporting IT infrastructure</w:t>
        </w:r>
        <w:r w:rsidR="00AB7674">
          <w:rPr>
            <w:webHidden/>
          </w:rPr>
          <w:tab/>
        </w:r>
        <w:r w:rsidR="00AB7674">
          <w:rPr>
            <w:webHidden/>
          </w:rPr>
          <w:fldChar w:fldCharType="begin"/>
        </w:r>
        <w:r w:rsidR="00AB7674">
          <w:rPr>
            <w:webHidden/>
          </w:rPr>
          <w:instrText xml:space="preserve"> PAGEREF _Toc115717092 \h </w:instrText>
        </w:r>
        <w:r w:rsidR="00AB7674">
          <w:rPr>
            <w:webHidden/>
          </w:rPr>
        </w:r>
        <w:r w:rsidR="00AB7674">
          <w:rPr>
            <w:webHidden/>
          </w:rPr>
          <w:fldChar w:fldCharType="separate"/>
        </w:r>
        <w:r w:rsidR="008112E6">
          <w:rPr>
            <w:webHidden/>
          </w:rPr>
          <w:t>45</w:t>
        </w:r>
        <w:r w:rsidR="00AB7674">
          <w:rPr>
            <w:webHidden/>
          </w:rPr>
          <w:fldChar w:fldCharType="end"/>
        </w:r>
      </w:hyperlink>
    </w:p>
    <w:p w14:paraId="381AF5CE" w14:textId="56FDA284" w:rsidR="00AB7674" w:rsidRDefault="007A37B3">
      <w:pPr>
        <w:pStyle w:val="TOC2"/>
        <w:rPr>
          <w:rFonts w:asciiTheme="minorHAnsi" w:eastAsiaTheme="minorEastAsia" w:hAnsiTheme="minorHAnsi" w:cstheme="minorBidi"/>
          <w:sz w:val="22"/>
          <w:szCs w:val="22"/>
          <w:lang w:eastAsia="en-AU"/>
        </w:rPr>
      </w:pPr>
      <w:hyperlink w:anchor="_Toc115717093" w:history="1">
        <w:r w:rsidR="00AB7674" w:rsidRPr="00FC59B3">
          <w:rPr>
            <w:rStyle w:val="Hyperlink"/>
          </w:rPr>
          <w:t>6.4</w:t>
        </w:r>
        <w:r w:rsidR="00AB7674">
          <w:rPr>
            <w:rFonts w:asciiTheme="minorHAnsi" w:eastAsiaTheme="minorEastAsia" w:hAnsiTheme="minorHAnsi" w:cstheme="minorBidi"/>
            <w:sz w:val="22"/>
            <w:szCs w:val="22"/>
            <w:lang w:eastAsia="en-AU"/>
          </w:rPr>
          <w:tab/>
        </w:r>
        <w:r w:rsidR="00AB7674" w:rsidRPr="00FC59B3">
          <w:rPr>
            <w:rStyle w:val="Hyperlink"/>
          </w:rPr>
          <w:t>Timing and delivery</w:t>
        </w:r>
        <w:r w:rsidR="00AB7674">
          <w:rPr>
            <w:webHidden/>
          </w:rPr>
          <w:tab/>
        </w:r>
        <w:r w:rsidR="00AB7674">
          <w:rPr>
            <w:webHidden/>
          </w:rPr>
          <w:fldChar w:fldCharType="begin"/>
        </w:r>
        <w:r w:rsidR="00AB7674">
          <w:rPr>
            <w:webHidden/>
          </w:rPr>
          <w:instrText xml:space="preserve"> PAGEREF _Toc115717093 \h </w:instrText>
        </w:r>
        <w:r w:rsidR="00AB7674">
          <w:rPr>
            <w:webHidden/>
          </w:rPr>
        </w:r>
        <w:r w:rsidR="00AB7674">
          <w:rPr>
            <w:webHidden/>
          </w:rPr>
          <w:fldChar w:fldCharType="separate"/>
        </w:r>
        <w:r w:rsidR="008112E6">
          <w:rPr>
            <w:webHidden/>
          </w:rPr>
          <w:t>48</w:t>
        </w:r>
        <w:r w:rsidR="00AB7674">
          <w:rPr>
            <w:webHidden/>
          </w:rPr>
          <w:fldChar w:fldCharType="end"/>
        </w:r>
      </w:hyperlink>
    </w:p>
    <w:p w14:paraId="7D54A897" w14:textId="3A5C2467" w:rsidR="00AB7674" w:rsidRDefault="007A37B3">
      <w:pPr>
        <w:pStyle w:val="TOC1"/>
        <w:rPr>
          <w:rFonts w:asciiTheme="minorHAnsi" w:eastAsiaTheme="minorEastAsia" w:hAnsiTheme="minorHAnsi" w:cstheme="minorBidi"/>
          <w:sz w:val="22"/>
          <w:szCs w:val="22"/>
          <w:lang w:eastAsia="en-AU"/>
        </w:rPr>
      </w:pPr>
      <w:hyperlink w:anchor="_Toc115717094" w:history="1">
        <w:r w:rsidR="00AB7674" w:rsidRPr="00FC59B3">
          <w:rPr>
            <w:rStyle w:val="Hyperlink"/>
          </w:rPr>
          <w:t>7.</w:t>
        </w:r>
        <w:r w:rsidR="00AB7674">
          <w:rPr>
            <w:rFonts w:asciiTheme="minorHAnsi" w:eastAsiaTheme="minorEastAsia" w:hAnsiTheme="minorHAnsi" w:cstheme="minorBidi"/>
            <w:sz w:val="22"/>
            <w:szCs w:val="22"/>
            <w:lang w:eastAsia="en-AU"/>
          </w:rPr>
          <w:tab/>
        </w:r>
        <w:r w:rsidR="00AB7674" w:rsidRPr="00FC59B3">
          <w:rPr>
            <w:rStyle w:val="Hyperlink"/>
          </w:rPr>
          <w:t>Costs and risks</w:t>
        </w:r>
        <w:r w:rsidR="00AB7674">
          <w:rPr>
            <w:webHidden/>
          </w:rPr>
          <w:tab/>
        </w:r>
        <w:r w:rsidR="00AB7674">
          <w:rPr>
            <w:webHidden/>
          </w:rPr>
          <w:fldChar w:fldCharType="begin"/>
        </w:r>
        <w:r w:rsidR="00AB7674">
          <w:rPr>
            <w:webHidden/>
          </w:rPr>
          <w:instrText xml:space="preserve"> PAGEREF _Toc115717094 \h </w:instrText>
        </w:r>
        <w:r w:rsidR="00AB7674">
          <w:rPr>
            <w:webHidden/>
          </w:rPr>
        </w:r>
        <w:r w:rsidR="00AB7674">
          <w:rPr>
            <w:webHidden/>
          </w:rPr>
          <w:fldChar w:fldCharType="separate"/>
        </w:r>
        <w:r w:rsidR="008112E6">
          <w:rPr>
            <w:webHidden/>
          </w:rPr>
          <w:t>52</w:t>
        </w:r>
        <w:r w:rsidR="00AB7674">
          <w:rPr>
            <w:webHidden/>
          </w:rPr>
          <w:fldChar w:fldCharType="end"/>
        </w:r>
      </w:hyperlink>
    </w:p>
    <w:p w14:paraId="33D49102" w14:textId="5842AB23" w:rsidR="00AB7674" w:rsidRDefault="007A37B3">
      <w:pPr>
        <w:pStyle w:val="TOC2"/>
        <w:rPr>
          <w:rFonts w:asciiTheme="minorHAnsi" w:eastAsiaTheme="minorEastAsia" w:hAnsiTheme="minorHAnsi" w:cstheme="minorBidi"/>
          <w:sz w:val="22"/>
          <w:szCs w:val="22"/>
          <w:lang w:eastAsia="en-AU"/>
        </w:rPr>
      </w:pPr>
      <w:hyperlink w:anchor="_Toc115717095" w:history="1">
        <w:r w:rsidR="00AB7674" w:rsidRPr="00FC59B3">
          <w:rPr>
            <w:rStyle w:val="Hyperlink"/>
          </w:rPr>
          <w:t>7.1</w:t>
        </w:r>
        <w:r w:rsidR="00AB7674">
          <w:rPr>
            <w:rFonts w:asciiTheme="minorHAnsi" w:eastAsiaTheme="minorEastAsia" w:hAnsiTheme="minorHAnsi" w:cstheme="minorBidi"/>
            <w:sz w:val="22"/>
            <w:szCs w:val="22"/>
            <w:lang w:eastAsia="en-AU"/>
          </w:rPr>
          <w:tab/>
        </w:r>
        <w:r w:rsidR="00AB7674" w:rsidRPr="00FC59B3">
          <w:rPr>
            <w:rStyle w:val="Hyperlink"/>
          </w:rPr>
          <w:t>Costing a national open access scheme</w:t>
        </w:r>
        <w:r w:rsidR="00AB7674">
          <w:rPr>
            <w:webHidden/>
          </w:rPr>
          <w:tab/>
        </w:r>
        <w:r w:rsidR="00AB7674">
          <w:rPr>
            <w:webHidden/>
          </w:rPr>
          <w:fldChar w:fldCharType="begin"/>
        </w:r>
        <w:r w:rsidR="00AB7674">
          <w:rPr>
            <w:webHidden/>
          </w:rPr>
          <w:instrText xml:space="preserve"> PAGEREF _Toc115717095 \h </w:instrText>
        </w:r>
        <w:r w:rsidR="00AB7674">
          <w:rPr>
            <w:webHidden/>
          </w:rPr>
        </w:r>
        <w:r w:rsidR="00AB7674">
          <w:rPr>
            <w:webHidden/>
          </w:rPr>
          <w:fldChar w:fldCharType="separate"/>
        </w:r>
        <w:r w:rsidR="008112E6">
          <w:rPr>
            <w:webHidden/>
          </w:rPr>
          <w:t>52</w:t>
        </w:r>
        <w:r w:rsidR="00AB7674">
          <w:rPr>
            <w:webHidden/>
          </w:rPr>
          <w:fldChar w:fldCharType="end"/>
        </w:r>
      </w:hyperlink>
    </w:p>
    <w:p w14:paraId="7CCBBFC8" w14:textId="398B97E1" w:rsidR="00AB7674" w:rsidRDefault="007A37B3">
      <w:pPr>
        <w:pStyle w:val="TOC2"/>
        <w:rPr>
          <w:rFonts w:asciiTheme="minorHAnsi" w:eastAsiaTheme="minorEastAsia" w:hAnsiTheme="minorHAnsi" w:cstheme="minorBidi"/>
          <w:sz w:val="22"/>
          <w:szCs w:val="22"/>
          <w:lang w:eastAsia="en-AU"/>
        </w:rPr>
      </w:pPr>
      <w:hyperlink w:anchor="_Toc115717096" w:history="1">
        <w:r w:rsidR="00AB7674" w:rsidRPr="00FC59B3">
          <w:rPr>
            <w:rStyle w:val="Hyperlink"/>
          </w:rPr>
          <w:t>7.2</w:t>
        </w:r>
        <w:r w:rsidR="00AB7674">
          <w:rPr>
            <w:rFonts w:asciiTheme="minorHAnsi" w:eastAsiaTheme="minorEastAsia" w:hAnsiTheme="minorHAnsi" w:cstheme="minorBidi"/>
            <w:sz w:val="22"/>
            <w:szCs w:val="22"/>
            <w:lang w:eastAsia="en-AU"/>
          </w:rPr>
          <w:tab/>
        </w:r>
        <w:r w:rsidR="00AB7674" w:rsidRPr="00FC59B3">
          <w:rPr>
            <w:rStyle w:val="Hyperlink"/>
          </w:rPr>
          <w:t>Risks to the successful delivery of an open access scheme</w:t>
        </w:r>
        <w:r w:rsidR="00AB7674">
          <w:rPr>
            <w:webHidden/>
          </w:rPr>
          <w:tab/>
        </w:r>
        <w:r w:rsidR="00AB7674">
          <w:rPr>
            <w:webHidden/>
          </w:rPr>
          <w:fldChar w:fldCharType="begin"/>
        </w:r>
        <w:r w:rsidR="00AB7674">
          <w:rPr>
            <w:webHidden/>
          </w:rPr>
          <w:instrText xml:space="preserve"> PAGEREF _Toc115717096 \h </w:instrText>
        </w:r>
        <w:r w:rsidR="00AB7674">
          <w:rPr>
            <w:webHidden/>
          </w:rPr>
        </w:r>
        <w:r w:rsidR="00AB7674">
          <w:rPr>
            <w:webHidden/>
          </w:rPr>
          <w:fldChar w:fldCharType="separate"/>
        </w:r>
        <w:r w:rsidR="008112E6">
          <w:rPr>
            <w:webHidden/>
          </w:rPr>
          <w:t>58</w:t>
        </w:r>
        <w:r w:rsidR="00AB7674">
          <w:rPr>
            <w:webHidden/>
          </w:rPr>
          <w:fldChar w:fldCharType="end"/>
        </w:r>
      </w:hyperlink>
    </w:p>
    <w:p w14:paraId="2F89557E" w14:textId="4AA27BB2" w:rsidR="00AB7674" w:rsidRDefault="007A37B3">
      <w:pPr>
        <w:pStyle w:val="TOC1"/>
        <w:rPr>
          <w:rFonts w:asciiTheme="minorHAnsi" w:eastAsiaTheme="minorEastAsia" w:hAnsiTheme="minorHAnsi" w:cstheme="minorBidi"/>
          <w:sz w:val="22"/>
          <w:szCs w:val="22"/>
          <w:lang w:eastAsia="en-AU"/>
        </w:rPr>
      </w:pPr>
      <w:hyperlink w:anchor="_Toc115717097" w:history="1">
        <w:r w:rsidR="00AB7674" w:rsidRPr="00FC59B3">
          <w:rPr>
            <w:rStyle w:val="Hyperlink"/>
          </w:rPr>
          <w:t>8.</w:t>
        </w:r>
        <w:r w:rsidR="00AB7674">
          <w:rPr>
            <w:rFonts w:asciiTheme="minorHAnsi" w:eastAsiaTheme="minorEastAsia" w:hAnsiTheme="minorHAnsi" w:cstheme="minorBidi"/>
            <w:sz w:val="22"/>
            <w:szCs w:val="22"/>
            <w:lang w:eastAsia="en-AU"/>
          </w:rPr>
          <w:tab/>
        </w:r>
        <w:r w:rsidR="00AB7674" w:rsidRPr="00FC59B3">
          <w:rPr>
            <w:rStyle w:val="Hyperlink"/>
          </w:rPr>
          <w:t>Alternative open access models</w:t>
        </w:r>
        <w:r w:rsidR="00AB7674">
          <w:rPr>
            <w:webHidden/>
          </w:rPr>
          <w:tab/>
        </w:r>
        <w:r w:rsidR="00AB7674">
          <w:rPr>
            <w:webHidden/>
          </w:rPr>
          <w:fldChar w:fldCharType="begin"/>
        </w:r>
        <w:r w:rsidR="00AB7674">
          <w:rPr>
            <w:webHidden/>
          </w:rPr>
          <w:instrText xml:space="preserve"> PAGEREF _Toc115717097 \h </w:instrText>
        </w:r>
        <w:r w:rsidR="00AB7674">
          <w:rPr>
            <w:webHidden/>
          </w:rPr>
        </w:r>
        <w:r w:rsidR="00AB7674">
          <w:rPr>
            <w:webHidden/>
          </w:rPr>
          <w:fldChar w:fldCharType="separate"/>
        </w:r>
        <w:r w:rsidR="008112E6">
          <w:rPr>
            <w:webHidden/>
          </w:rPr>
          <w:t>60</w:t>
        </w:r>
        <w:r w:rsidR="00AB7674">
          <w:rPr>
            <w:webHidden/>
          </w:rPr>
          <w:fldChar w:fldCharType="end"/>
        </w:r>
      </w:hyperlink>
    </w:p>
    <w:p w14:paraId="42A183BD" w14:textId="2AEC5A16" w:rsidR="00AB7674" w:rsidRDefault="007A37B3">
      <w:pPr>
        <w:pStyle w:val="TOC2"/>
        <w:rPr>
          <w:rFonts w:asciiTheme="minorHAnsi" w:eastAsiaTheme="minorEastAsia" w:hAnsiTheme="minorHAnsi" w:cstheme="minorBidi"/>
          <w:sz w:val="22"/>
          <w:szCs w:val="22"/>
          <w:lang w:eastAsia="en-AU"/>
        </w:rPr>
      </w:pPr>
      <w:hyperlink w:anchor="_Toc115717098" w:history="1">
        <w:r w:rsidR="00AB7674" w:rsidRPr="00FC59B3">
          <w:rPr>
            <w:rStyle w:val="Hyperlink"/>
          </w:rPr>
          <w:t>8.1</w:t>
        </w:r>
        <w:r w:rsidR="00AB7674">
          <w:rPr>
            <w:rFonts w:asciiTheme="minorHAnsi" w:eastAsiaTheme="minorEastAsia" w:hAnsiTheme="minorHAnsi" w:cstheme="minorBidi"/>
            <w:sz w:val="22"/>
            <w:szCs w:val="22"/>
            <w:lang w:eastAsia="en-AU"/>
          </w:rPr>
          <w:tab/>
        </w:r>
        <w:r w:rsidR="00AB7674" w:rsidRPr="00FC59B3">
          <w:rPr>
            <w:rStyle w:val="Hyperlink"/>
          </w:rPr>
          <w:t>Funding mandates</w:t>
        </w:r>
        <w:r w:rsidR="00AB7674">
          <w:rPr>
            <w:webHidden/>
          </w:rPr>
          <w:tab/>
        </w:r>
        <w:r w:rsidR="00AB7674">
          <w:rPr>
            <w:webHidden/>
          </w:rPr>
          <w:fldChar w:fldCharType="begin"/>
        </w:r>
        <w:r w:rsidR="00AB7674">
          <w:rPr>
            <w:webHidden/>
          </w:rPr>
          <w:instrText xml:space="preserve"> PAGEREF _Toc115717098 \h </w:instrText>
        </w:r>
        <w:r w:rsidR="00AB7674">
          <w:rPr>
            <w:webHidden/>
          </w:rPr>
        </w:r>
        <w:r w:rsidR="00AB7674">
          <w:rPr>
            <w:webHidden/>
          </w:rPr>
          <w:fldChar w:fldCharType="separate"/>
        </w:r>
        <w:r w:rsidR="008112E6">
          <w:rPr>
            <w:webHidden/>
          </w:rPr>
          <w:t>60</w:t>
        </w:r>
        <w:r w:rsidR="00AB7674">
          <w:rPr>
            <w:webHidden/>
          </w:rPr>
          <w:fldChar w:fldCharType="end"/>
        </w:r>
      </w:hyperlink>
    </w:p>
    <w:p w14:paraId="4947AFA5" w14:textId="2C7EA435" w:rsidR="00AB7674" w:rsidRDefault="007A37B3">
      <w:pPr>
        <w:pStyle w:val="TOC2"/>
        <w:rPr>
          <w:rFonts w:asciiTheme="minorHAnsi" w:eastAsiaTheme="minorEastAsia" w:hAnsiTheme="minorHAnsi" w:cstheme="minorBidi"/>
          <w:sz w:val="22"/>
          <w:szCs w:val="22"/>
          <w:lang w:eastAsia="en-AU"/>
        </w:rPr>
      </w:pPr>
      <w:hyperlink w:anchor="_Toc115717099" w:history="1">
        <w:r w:rsidR="00AB7674" w:rsidRPr="00FC59B3">
          <w:rPr>
            <w:rStyle w:val="Hyperlink"/>
          </w:rPr>
          <w:t>8.2</w:t>
        </w:r>
        <w:r w:rsidR="00AB7674">
          <w:rPr>
            <w:rFonts w:asciiTheme="minorHAnsi" w:eastAsiaTheme="minorEastAsia" w:hAnsiTheme="minorHAnsi" w:cstheme="minorBidi"/>
            <w:sz w:val="22"/>
            <w:szCs w:val="22"/>
            <w:lang w:eastAsia="en-AU"/>
          </w:rPr>
          <w:tab/>
        </w:r>
        <w:r w:rsidR="00AB7674" w:rsidRPr="00FC59B3">
          <w:rPr>
            <w:rStyle w:val="Hyperlink"/>
          </w:rPr>
          <w:t>Repository-based open access</w:t>
        </w:r>
        <w:r w:rsidR="00AB7674">
          <w:rPr>
            <w:webHidden/>
          </w:rPr>
          <w:tab/>
        </w:r>
        <w:r w:rsidR="00AB7674">
          <w:rPr>
            <w:webHidden/>
          </w:rPr>
          <w:fldChar w:fldCharType="begin"/>
        </w:r>
        <w:r w:rsidR="00AB7674">
          <w:rPr>
            <w:webHidden/>
          </w:rPr>
          <w:instrText xml:space="preserve"> PAGEREF _Toc115717099 \h </w:instrText>
        </w:r>
        <w:r w:rsidR="00AB7674">
          <w:rPr>
            <w:webHidden/>
          </w:rPr>
        </w:r>
        <w:r w:rsidR="00AB7674">
          <w:rPr>
            <w:webHidden/>
          </w:rPr>
          <w:fldChar w:fldCharType="separate"/>
        </w:r>
        <w:r w:rsidR="008112E6">
          <w:rPr>
            <w:webHidden/>
          </w:rPr>
          <w:t>62</w:t>
        </w:r>
        <w:r w:rsidR="00AB7674">
          <w:rPr>
            <w:webHidden/>
          </w:rPr>
          <w:fldChar w:fldCharType="end"/>
        </w:r>
      </w:hyperlink>
    </w:p>
    <w:p w14:paraId="5E2A1971" w14:textId="52C167B3" w:rsidR="00AB7674" w:rsidRDefault="007A37B3">
      <w:pPr>
        <w:pStyle w:val="TOC1"/>
        <w:rPr>
          <w:rFonts w:asciiTheme="minorHAnsi" w:eastAsiaTheme="minorEastAsia" w:hAnsiTheme="minorHAnsi" w:cstheme="minorBidi"/>
          <w:sz w:val="22"/>
          <w:szCs w:val="22"/>
          <w:lang w:eastAsia="en-AU"/>
        </w:rPr>
      </w:pPr>
      <w:hyperlink w:anchor="_Toc115717100" w:history="1">
        <w:r w:rsidR="00AB7674" w:rsidRPr="00FC59B3">
          <w:rPr>
            <w:rStyle w:val="Hyperlink"/>
          </w:rPr>
          <w:t>9.</w:t>
        </w:r>
        <w:r w:rsidR="00AB7674">
          <w:rPr>
            <w:rFonts w:asciiTheme="minorHAnsi" w:eastAsiaTheme="minorEastAsia" w:hAnsiTheme="minorHAnsi" w:cstheme="minorBidi"/>
            <w:sz w:val="22"/>
            <w:szCs w:val="22"/>
            <w:lang w:eastAsia="en-AU"/>
          </w:rPr>
          <w:tab/>
        </w:r>
        <w:r w:rsidR="00AB7674" w:rsidRPr="00FC59B3">
          <w:rPr>
            <w:rStyle w:val="Hyperlink"/>
          </w:rPr>
          <w:t>Conclusion</w:t>
        </w:r>
        <w:r w:rsidR="00AB7674">
          <w:rPr>
            <w:webHidden/>
          </w:rPr>
          <w:tab/>
        </w:r>
        <w:r w:rsidR="00AB7674">
          <w:rPr>
            <w:webHidden/>
          </w:rPr>
          <w:fldChar w:fldCharType="begin"/>
        </w:r>
        <w:r w:rsidR="00AB7674">
          <w:rPr>
            <w:webHidden/>
          </w:rPr>
          <w:instrText xml:space="preserve"> PAGEREF _Toc115717100 \h </w:instrText>
        </w:r>
        <w:r w:rsidR="00AB7674">
          <w:rPr>
            <w:webHidden/>
          </w:rPr>
        </w:r>
        <w:r w:rsidR="00AB7674">
          <w:rPr>
            <w:webHidden/>
          </w:rPr>
          <w:fldChar w:fldCharType="separate"/>
        </w:r>
        <w:r w:rsidR="008112E6">
          <w:rPr>
            <w:webHidden/>
          </w:rPr>
          <w:t>65</w:t>
        </w:r>
        <w:r w:rsidR="00AB7674">
          <w:rPr>
            <w:webHidden/>
          </w:rPr>
          <w:fldChar w:fldCharType="end"/>
        </w:r>
      </w:hyperlink>
    </w:p>
    <w:p w14:paraId="101EEF5A" w14:textId="79859FFD" w:rsidR="00AB7674" w:rsidRDefault="007A37B3">
      <w:pPr>
        <w:pStyle w:val="TOC1"/>
        <w:tabs>
          <w:tab w:val="left" w:pos="1320"/>
        </w:tabs>
        <w:rPr>
          <w:rFonts w:asciiTheme="minorHAnsi" w:eastAsiaTheme="minorEastAsia" w:hAnsiTheme="minorHAnsi" w:cstheme="minorBidi"/>
          <w:sz w:val="22"/>
          <w:szCs w:val="22"/>
          <w:lang w:eastAsia="en-AU"/>
        </w:rPr>
      </w:pPr>
      <w:hyperlink w:anchor="_Toc115717101" w:history="1">
        <w:r w:rsidR="00AB7674" w:rsidRPr="00FC59B3">
          <w:rPr>
            <w:rStyle w:val="Hyperlink"/>
          </w:rPr>
          <w:t>Appendix A</w:t>
        </w:r>
        <w:r w:rsidR="00AB7674">
          <w:rPr>
            <w:rFonts w:asciiTheme="minorHAnsi" w:eastAsiaTheme="minorEastAsia" w:hAnsiTheme="minorHAnsi" w:cstheme="minorBidi"/>
            <w:sz w:val="22"/>
            <w:szCs w:val="22"/>
            <w:lang w:eastAsia="en-AU"/>
          </w:rPr>
          <w:tab/>
        </w:r>
        <w:r w:rsidR="00AB7674" w:rsidRPr="00FC59B3">
          <w:rPr>
            <w:rStyle w:val="Hyperlink"/>
          </w:rPr>
          <w:t>Multi-criteria analysis</w:t>
        </w:r>
        <w:r w:rsidR="00AB7674">
          <w:rPr>
            <w:webHidden/>
          </w:rPr>
          <w:tab/>
        </w:r>
        <w:r w:rsidR="00AB7674">
          <w:rPr>
            <w:webHidden/>
          </w:rPr>
          <w:fldChar w:fldCharType="begin"/>
        </w:r>
        <w:r w:rsidR="00AB7674">
          <w:rPr>
            <w:webHidden/>
          </w:rPr>
          <w:instrText xml:space="preserve"> PAGEREF _Toc115717101 \h </w:instrText>
        </w:r>
        <w:r w:rsidR="00AB7674">
          <w:rPr>
            <w:webHidden/>
          </w:rPr>
        </w:r>
        <w:r w:rsidR="00AB7674">
          <w:rPr>
            <w:webHidden/>
          </w:rPr>
          <w:fldChar w:fldCharType="separate"/>
        </w:r>
        <w:r w:rsidR="008112E6">
          <w:rPr>
            <w:webHidden/>
          </w:rPr>
          <w:t>66</w:t>
        </w:r>
        <w:r w:rsidR="00AB7674">
          <w:rPr>
            <w:webHidden/>
          </w:rPr>
          <w:fldChar w:fldCharType="end"/>
        </w:r>
      </w:hyperlink>
    </w:p>
    <w:p w14:paraId="0DD1075F" w14:textId="3A431E2F" w:rsidR="00AB7674" w:rsidRDefault="007A37B3">
      <w:pPr>
        <w:pStyle w:val="TOC1"/>
        <w:tabs>
          <w:tab w:val="left" w:pos="1320"/>
        </w:tabs>
        <w:rPr>
          <w:rFonts w:asciiTheme="minorHAnsi" w:eastAsiaTheme="minorEastAsia" w:hAnsiTheme="minorHAnsi" w:cstheme="minorBidi"/>
          <w:sz w:val="22"/>
          <w:szCs w:val="22"/>
          <w:lang w:eastAsia="en-AU"/>
        </w:rPr>
      </w:pPr>
      <w:hyperlink w:anchor="_Toc115717102" w:history="1">
        <w:r w:rsidR="00AB7674" w:rsidRPr="00FC59B3">
          <w:rPr>
            <w:rStyle w:val="Hyperlink"/>
          </w:rPr>
          <w:t>Appendix B</w:t>
        </w:r>
        <w:r w:rsidR="00AB7674">
          <w:rPr>
            <w:rFonts w:asciiTheme="minorHAnsi" w:eastAsiaTheme="minorEastAsia" w:hAnsiTheme="minorHAnsi" w:cstheme="minorBidi"/>
            <w:sz w:val="22"/>
            <w:szCs w:val="22"/>
            <w:lang w:eastAsia="en-AU"/>
          </w:rPr>
          <w:tab/>
        </w:r>
        <w:r w:rsidR="00AB7674" w:rsidRPr="00FC59B3">
          <w:rPr>
            <w:rStyle w:val="Hyperlink"/>
          </w:rPr>
          <w:t>Stakeholder engagement list</w:t>
        </w:r>
        <w:r w:rsidR="00AB7674">
          <w:rPr>
            <w:webHidden/>
          </w:rPr>
          <w:tab/>
        </w:r>
        <w:r w:rsidR="00AB7674">
          <w:rPr>
            <w:webHidden/>
          </w:rPr>
          <w:fldChar w:fldCharType="begin"/>
        </w:r>
        <w:r w:rsidR="00AB7674">
          <w:rPr>
            <w:webHidden/>
          </w:rPr>
          <w:instrText xml:space="preserve"> PAGEREF _Toc115717102 \h </w:instrText>
        </w:r>
        <w:r w:rsidR="00AB7674">
          <w:rPr>
            <w:webHidden/>
          </w:rPr>
        </w:r>
        <w:r w:rsidR="00AB7674">
          <w:rPr>
            <w:webHidden/>
          </w:rPr>
          <w:fldChar w:fldCharType="separate"/>
        </w:r>
        <w:r w:rsidR="008112E6">
          <w:rPr>
            <w:webHidden/>
          </w:rPr>
          <w:t>72</w:t>
        </w:r>
        <w:r w:rsidR="00AB7674">
          <w:rPr>
            <w:webHidden/>
          </w:rPr>
          <w:fldChar w:fldCharType="end"/>
        </w:r>
      </w:hyperlink>
    </w:p>
    <w:p w14:paraId="3D1545E4" w14:textId="2714796A" w:rsidR="00477AFA" w:rsidRDefault="00477AFA" w:rsidP="00477AFA">
      <w:r w:rsidRPr="00926D59">
        <w:fldChar w:fldCharType="end"/>
      </w:r>
    </w:p>
    <w:p w14:paraId="74271238" w14:textId="5A31CC57" w:rsidR="003C1559" w:rsidRDefault="003C1559">
      <w:pPr>
        <w:autoSpaceDE/>
        <w:autoSpaceDN/>
        <w:adjustRightInd/>
      </w:pPr>
      <w:r>
        <w:br w:type="page"/>
      </w:r>
    </w:p>
    <w:p w14:paraId="79047E3E" w14:textId="63C1B5A9" w:rsidR="001C758C" w:rsidRDefault="001C758C" w:rsidP="001C758C">
      <w:pPr>
        <w:pStyle w:val="EYHeading1"/>
        <w:numPr>
          <w:ilvl w:val="0"/>
          <w:numId w:val="0"/>
        </w:numPr>
        <w:ind w:left="851" w:hanging="851"/>
      </w:pPr>
      <w:bookmarkStart w:id="1" w:name="_Toc108769826"/>
      <w:bookmarkStart w:id="2" w:name="_Toc108772949"/>
      <w:bookmarkStart w:id="3" w:name="_Toc115717069"/>
      <w:r>
        <w:lastRenderedPageBreak/>
        <w:t>Glossary</w:t>
      </w:r>
      <w:bookmarkEnd w:id="1"/>
      <w:r w:rsidR="006F574F">
        <w:t xml:space="preserve"> and acronyms</w:t>
      </w:r>
      <w:bookmarkEnd w:id="2"/>
      <w:bookmarkEnd w:id="3"/>
    </w:p>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560"/>
        <w:gridCol w:w="7683"/>
      </w:tblGrid>
      <w:tr w:rsidR="00073ED2" w:rsidRPr="00BA73E2" w14:paraId="669A6E35" w14:textId="77777777" w:rsidTr="000A1CAC">
        <w:trPr>
          <w:trHeight w:val="418"/>
        </w:trPr>
        <w:tc>
          <w:tcPr>
            <w:tcW w:w="1560" w:type="dxa"/>
          </w:tcPr>
          <w:p w14:paraId="0FF08CF6" w14:textId="23324E56" w:rsidR="00073ED2" w:rsidRPr="00642A77" w:rsidRDefault="00073ED2" w:rsidP="00073ED2">
            <w:pPr>
              <w:spacing w:after="120"/>
              <w:rPr>
                <w:rFonts w:ascii="EYInterstate Light" w:hAnsi="EYInterstate Light"/>
              </w:rPr>
            </w:pPr>
            <w:r w:rsidRPr="00642A77">
              <w:rPr>
                <w:rFonts w:ascii="EYInterstate Light" w:hAnsi="EYInterstate Light"/>
              </w:rPr>
              <w:t>ACCC</w:t>
            </w:r>
          </w:p>
        </w:tc>
        <w:tc>
          <w:tcPr>
            <w:tcW w:w="7683" w:type="dxa"/>
          </w:tcPr>
          <w:p w14:paraId="1A5C6BA6" w14:textId="3B8FC181" w:rsidR="00073ED2" w:rsidRPr="00BF06C2" w:rsidRDefault="00073ED2" w:rsidP="00073ED2">
            <w:pPr>
              <w:spacing w:after="120"/>
              <w:rPr>
                <w:rFonts w:ascii="EYInterstate Light" w:hAnsi="EYInterstate Light"/>
              </w:rPr>
            </w:pPr>
            <w:r w:rsidRPr="00BF06C2">
              <w:rPr>
                <w:rFonts w:ascii="EYInterstate Light" w:hAnsi="EYInterstate Light"/>
              </w:rPr>
              <w:t>Australian Competition and Consumer Commission</w:t>
            </w:r>
          </w:p>
        </w:tc>
      </w:tr>
      <w:tr w:rsidR="00073ED2" w:rsidRPr="00BA73E2" w14:paraId="538F8925" w14:textId="77777777" w:rsidTr="000A1CAC">
        <w:trPr>
          <w:trHeight w:val="418"/>
        </w:trPr>
        <w:tc>
          <w:tcPr>
            <w:tcW w:w="1560" w:type="dxa"/>
          </w:tcPr>
          <w:p w14:paraId="3D556208" w14:textId="1DAA15E2" w:rsidR="00073ED2" w:rsidRPr="00642A77" w:rsidRDefault="00073ED2" w:rsidP="00073ED2">
            <w:pPr>
              <w:spacing w:after="120"/>
              <w:rPr>
                <w:rFonts w:ascii="EYInterstate Light" w:hAnsi="EYInterstate Light"/>
              </w:rPr>
            </w:pPr>
            <w:r w:rsidRPr="00642A77">
              <w:rPr>
                <w:rFonts w:ascii="EYInterstate Light" w:hAnsi="EYInterstate Light"/>
              </w:rPr>
              <w:t>APC</w:t>
            </w:r>
          </w:p>
        </w:tc>
        <w:tc>
          <w:tcPr>
            <w:tcW w:w="7683" w:type="dxa"/>
          </w:tcPr>
          <w:p w14:paraId="0F9EA0E7" w14:textId="14208FEE" w:rsidR="00073ED2" w:rsidRPr="00BF06C2" w:rsidRDefault="001B71A9" w:rsidP="00073ED2">
            <w:pPr>
              <w:spacing w:after="120"/>
              <w:rPr>
                <w:rFonts w:ascii="EYInterstate Light" w:hAnsi="EYInterstate Light"/>
              </w:rPr>
            </w:pPr>
            <w:r w:rsidRPr="00BF06C2">
              <w:rPr>
                <w:rFonts w:ascii="EYInterstate Light" w:hAnsi="EYInterstate Light"/>
              </w:rPr>
              <w:t xml:space="preserve">Article </w:t>
            </w:r>
            <w:r w:rsidR="004051B7" w:rsidRPr="00BF06C2">
              <w:rPr>
                <w:rFonts w:ascii="EYInterstate Light" w:hAnsi="EYInterstate Light"/>
              </w:rPr>
              <w:t>P</w:t>
            </w:r>
            <w:r w:rsidRPr="00BF06C2">
              <w:rPr>
                <w:rFonts w:ascii="EYInterstate Light" w:hAnsi="EYInterstate Light"/>
              </w:rPr>
              <w:t xml:space="preserve">rocessing </w:t>
            </w:r>
            <w:r w:rsidR="004051B7" w:rsidRPr="00BF06C2">
              <w:rPr>
                <w:rFonts w:ascii="EYInterstate Light" w:hAnsi="EYInterstate Light"/>
              </w:rPr>
              <w:t>C</w:t>
            </w:r>
            <w:r w:rsidRPr="00BF06C2">
              <w:rPr>
                <w:rFonts w:ascii="EYInterstate Light" w:hAnsi="EYInterstate Light"/>
              </w:rPr>
              <w:t>harge</w:t>
            </w:r>
            <w:r w:rsidR="00364011" w:rsidRPr="00BF06C2">
              <w:rPr>
                <w:rFonts w:ascii="EYInterstate Light" w:hAnsi="EYInterstate Light"/>
              </w:rPr>
              <w:t xml:space="preserve"> is </w:t>
            </w:r>
            <w:r w:rsidRPr="00BF06C2">
              <w:rPr>
                <w:rFonts w:ascii="EYInterstate Light" w:hAnsi="EYInterstate Light"/>
              </w:rPr>
              <w:t>a</w:t>
            </w:r>
            <w:r w:rsidR="00073ED2" w:rsidRPr="00BF06C2">
              <w:rPr>
                <w:rFonts w:ascii="EYInterstate Light" w:hAnsi="EYInterstate Light"/>
              </w:rPr>
              <w:t xml:space="preserve"> fee charged for articles to be published open access in gold or hybrid journals.</w:t>
            </w:r>
          </w:p>
        </w:tc>
      </w:tr>
      <w:tr w:rsidR="00681CB6" w:rsidRPr="00681CB6" w14:paraId="3179BAEA" w14:textId="77777777" w:rsidTr="000A1CAC">
        <w:trPr>
          <w:trHeight w:val="418"/>
        </w:trPr>
        <w:tc>
          <w:tcPr>
            <w:tcW w:w="1560" w:type="dxa"/>
          </w:tcPr>
          <w:p w14:paraId="73254DC6" w14:textId="70C32C86" w:rsidR="00681CB6" w:rsidRPr="00642A77" w:rsidRDefault="00681CB6" w:rsidP="00073ED2">
            <w:pPr>
              <w:spacing w:after="120"/>
              <w:rPr>
                <w:rFonts w:ascii="EYInterstate Light" w:hAnsi="EYInterstate Light"/>
              </w:rPr>
            </w:pPr>
            <w:r w:rsidRPr="00642A77">
              <w:rPr>
                <w:rFonts w:ascii="EYInterstate Light" w:hAnsi="EYInterstate Light"/>
              </w:rPr>
              <w:t>Australian-led</w:t>
            </w:r>
          </w:p>
        </w:tc>
        <w:tc>
          <w:tcPr>
            <w:tcW w:w="7683" w:type="dxa"/>
          </w:tcPr>
          <w:p w14:paraId="792592B2" w14:textId="71D06F7C" w:rsidR="00681CB6" w:rsidRPr="00BF06C2" w:rsidRDefault="00681CB6" w:rsidP="00073ED2">
            <w:pPr>
              <w:spacing w:after="120"/>
              <w:rPr>
                <w:rFonts w:ascii="EYInterstate Light" w:hAnsi="EYInterstate Light"/>
              </w:rPr>
            </w:pPr>
            <w:r w:rsidRPr="00BF06C2">
              <w:rPr>
                <w:rStyle w:val="EYBodytextwithparaspaceChar"/>
                <w:rFonts w:ascii="EYInterstate Light" w:hAnsi="EYInterstate Light"/>
              </w:rPr>
              <w:t>An article with a corresponding author whose primary affiliation is with an Australian institution.</w:t>
            </w:r>
          </w:p>
        </w:tc>
      </w:tr>
      <w:tr w:rsidR="00146BCE" w:rsidRPr="00BA73E2" w14:paraId="0C7A5178" w14:textId="77777777" w:rsidTr="000A1CAC">
        <w:trPr>
          <w:trHeight w:val="418"/>
        </w:trPr>
        <w:tc>
          <w:tcPr>
            <w:tcW w:w="1560" w:type="dxa"/>
          </w:tcPr>
          <w:p w14:paraId="6D167F35" w14:textId="646F93F7" w:rsidR="00146BCE" w:rsidRPr="00642A77" w:rsidRDefault="00146BCE" w:rsidP="00073ED2">
            <w:pPr>
              <w:spacing w:after="120"/>
            </w:pPr>
            <w:r w:rsidRPr="00642A77">
              <w:rPr>
                <w:rFonts w:ascii="EYInterstate Light" w:hAnsi="EYInterstate Light"/>
              </w:rPr>
              <w:t>Author-submitted</w:t>
            </w:r>
          </w:p>
        </w:tc>
        <w:tc>
          <w:tcPr>
            <w:tcW w:w="7683" w:type="dxa"/>
          </w:tcPr>
          <w:p w14:paraId="131AF6CA" w14:textId="5F2187DE" w:rsidR="00146BCE" w:rsidRPr="00BF06C2" w:rsidRDefault="00146BCE" w:rsidP="00073ED2">
            <w:pPr>
              <w:spacing w:after="120"/>
            </w:pPr>
            <w:r w:rsidRPr="00BF06C2">
              <w:rPr>
                <w:rFonts w:ascii="EYInterstate Light" w:hAnsi="EYInterstate Light"/>
              </w:rPr>
              <w:t>An edition of a journal article prior to undergo</w:t>
            </w:r>
            <w:r w:rsidR="003B386F" w:rsidRPr="00BF06C2">
              <w:rPr>
                <w:rFonts w:ascii="EYInterstate Light" w:hAnsi="EYInterstate Light"/>
              </w:rPr>
              <w:t>ing</w:t>
            </w:r>
            <w:r w:rsidRPr="00BF06C2">
              <w:rPr>
                <w:rFonts w:ascii="EYInterstate Light" w:hAnsi="EYInterstate Light"/>
              </w:rPr>
              <w:t xml:space="preserve"> </w:t>
            </w:r>
            <w:r w:rsidR="003B386F" w:rsidRPr="00BF06C2">
              <w:rPr>
                <w:rFonts w:ascii="EYInterstate Light" w:hAnsi="EYInterstate Light"/>
              </w:rPr>
              <w:t>a</w:t>
            </w:r>
            <w:r w:rsidRPr="00BF06C2">
              <w:rPr>
                <w:rFonts w:ascii="EYInterstate Light" w:hAnsi="EYInterstate Light"/>
              </w:rPr>
              <w:t xml:space="preserve"> peer review process. </w:t>
            </w:r>
            <w:r w:rsidR="00E764BB" w:rsidRPr="00BF06C2">
              <w:rPr>
                <w:rFonts w:ascii="EYInterstate Light" w:hAnsi="EYInterstate Light"/>
              </w:rPr>
              <w:t>Author-submitted articles</w:t>
            </w:r>
            <w:r w:rsidRPr="00BF06C2">
              <w:rPr>
                <w:rFonts w:ascii="EYInterstate Light" w:hAnsi="EYInterstate Light"/>
              </w:rPr>
              <w:t xml:space="preserve"> may be available to view prior to the publication of the peer-reviewed edition in a journal</w:t>
            </w:r>
            <w:r w:rsidR="00BA0818" w:rsidRPr="00BF06C2">
              <w:rPr>
                <w:rFonts w:ascii="EYInterstate Light" w:hAnsi="EYInterstate Light"/>
              </w:rPr>
              <w:t xml:space="preserve"> in pre-print services such as </w:t>
            </w:r>
            <w:proofErr w:type="spellStart"/>
            <w:r w:rsidR="00BA0818" w:rsidRPr="00BF06C2">
              <w:rPr>
                <w:rFonts w:ascii="EYInterstate Light" w:hAnsi="EYInterstate Light"/>
              </w:rPr>
              <w:t>ArXiv</w:t>
            </w:r>
            <w:proofErr w:type="spellEnd"/>
            <w:r w:rsidR="00BA0818" w:rsidRPr="00BF06C2">
              <w:rPr>
                <w:rFonts w:ascii="EYInterstate Light" w:hAnsi="EYInterstate Light"/>
              </w:rPr>
              <w:t xml:space="preserve">, </w:t>
            </w:r>
            <w:proofErr w:type="spellStart"/>
            <w:r w:rsidR="00BA0818" w:rsidRPr="00BF06C2">
              <w:rPr>
                <w:rFonts w:ascii="EYInterstate Light" w:hAnsi="EYInterstate Light"/>
              </w:rPr>
              <w:t>SocArXiv</w:t>
            </w:r>
            <w:proofErr w:type="spellEnd"/>
            <w:r w:rsidR="00BA0818" w:rsidRPr="00BF06C2">
              <w:rPr>
                <w:rFonts w:ascii="EYInterstate Light" w:hAnsi="EYInterstate Light"/>
              </w:rPr>
              <w:t xml:space="preserve">, and </w:t>
            </w:r>
            <w:proofErr w:type="spellStart"/>
            <w:r w:rsidR="00BA0818" w:rsidRPr="00BF06C2">
              <w:rPr>
                <w:rFonts w:ascii="EYInterstate Light" w:hAnsi="EYInterstate Light"/>
              </w:rPr>
              <w:t>bioRxiv</w:t>
            </w:r>
            <w:proofErr w:type="spellEnd"/>
            <w:r w:rsidRPr="00BF06C2">
              <w:rPr>
                <w:rFonts w:ascii="EYInterstate Light" w:hAnsi="EYInterstate Light"/>
              </w:rPr>
              <w:t>.</w:t>
            </w:r>
          </w:p>
        </w:tc>
      </w:tr>
      <w:tr w:rsidR="00E764BB" w:rsidRPr="00BA73E2" w14:paraId="3ED97229" w14:textId="77777777" w:rsidTr="000A1CAC">
        <w:trPr>
          <w:trHeight w:val="418"/>
        </w:trPr>
        <w:tc>
          <w:tcPr>
            <w:tcW w:w="1560" w:type="dxa"/>
          </w:tcPr>
          <w:p w14:paraId="7261F236" w14:textId="29C1B570" w:rsidR="00E764BB" w:rsidRPr="00642A77" w:rsidRDefault="00E764BB" w:rsidP="00E764BB">
            <w:pPr>
              <w:spacing w:after="120"/>
            </w:pPr>
            <w:r w:rsidRPr="00642A77">
              <w:rPr>
                <w:rFonts w:ascii="EYInterstate Light" w:hAnsi="EYInterstate Light"/>
              </w:rPr>
              <w:t xml:space="preserve">Author-accepted </w:t>
            </w:r>
          </w:p>
        </w:tc>
        <w:tc>
          <w:tcPr>
            <w:tcW w:w="7683" w:type="dxa"/>
          </w:tcPr>
          <w:p w14:paraId="3295FB60" w14:textId="51EFA07B" w:rsidR="00E764BB" w:rsidRPr="00BF06C2" w:rsidRDefault="00E764BB" w:rsidP="00E764BB">
            <w:pPr>
              <w:spacing w:after="120"/>
            </w:pPr>
            <w:r w:rsidRPr="00BF06C2">
              <w:rPr>
                <w:rFonts w:ascii="EYInterstate Light" w:hAnsi="EYInterstate Light"/>
              </w:rPr>
              <w:t xml:space="preserve">An edition of a journal article that has undergone the peer review process </w:t>
            </w:r>
            <w:r w:rsidR="003B386F" w:rsidRPr="00BF06C2">
              <w:rPr>
                <w:rFonts w:ascii="EYInterstate Light" w:hAnsi="EYInterstate Light"/>
              </w:rPr>
              <w:t>but</w:t>
            </w:r>
            <w:r w:rsidRPr="00BF06C2">
              <w:rPr>
                <w:rFonts w:ascii="EYInterstate Light" w:hAnsi="EYInterstate Light"/>
              </w:rPr>
              <w:t xml:space="preserve"> has not been typeset and formatted by the journal.</w:t>
            </w:r>
          </w:p>
        </w:tc>
      </w:tr>
      <w:tr w:rsidR="00073ED2" w:rsidRPr="00BA73E2" w14:paraId="623D3AE3" w14:textId="77777777" w:rsidTr="000A1CAC">
        <w:trPr>
          <w:trHeight w:val="418"/>
        </w:trPr>
        <w:tc>
          <w:tcPr>
            <w:tcW w:w="1560" w:type="dxa"/>
          </w:tcPr>
          <w:p w14:paraId="0731BAF2" w14:textId="6E216CD5" w:rsidR="00073ED2" w:rsidRPr="00642A77" w:rsidRDefault="00073ED2" w:rsidP="00073ED2">
            <w:pPr>
              <w:spacing w:after="120"/>
              <w:rPr>
                <w:rFonts w:ascii="EYInterstate Light" w:hAnsi="EYInterstate Light"/>
              </w:rPr>
            </w:pPr>
            <w:proofErr w:type="spellStart"/>
            <w:r w:rsidRPr="00642A77">
              <w:rPr>
                <w:rFonts w:ascii="EYInterstate Light" w:hAnsi="EYInterstate Light"/>
              </w:rPr>
              <w:t>Bibliodiversity</w:t>
            </w:r>
            <w:proofErr w:type="spellEnd"/>
          </w:p>
        </w:tc>
        <w:tc>
          <w:tcPr>
            <w:tcW w:w="7683" w:type="dxa"/>
          </w:tcPr>
          <w:p w14:paraId="19DD84D2" w14:textId="4351D836" w:rsidR="00073ED2" w:rsidRPr="00BF06C2" w:rsidRDefault="00073ED2" w:rsidP="00073ED2">
            <w:pPr>
              <w:spacing w:after="120"/>
              <w:rPr>
                <w:rFonts w:ascii="EYInterstate Light" w:hAnsi="EYInterstate Light"/>
              </w:rPr>
            </w:pPr>
            <w:r w:rsidRPr="00BF06C2">
              <w:rPr>
                <w:rFonts w:ascii="EYInterstate Light" w:hAnsi="EYInterstate Light"/>
              </w:rPr>
              <w:t>The diversity of journals and publishers, services and platforms, funding mechanisms, and evaluation measures in scientific publishing and academic communications.</w:t>
            </w:r>
          </w:p>
        </w:tc>
      </w:tr>
      <w:tr w:rsidR="00F753EE" w:rsidRPr="00BA73E2" w14:paraId="1248A764" w14:textId="77777777" w:rsidTr="000A1CAC">
        <w:trPr>
          <w:trHeight w:val="418"/>
        </w:trPr>
        <w:tc>
          <w:tcPr>
            <w:tcW w:w="1560" w:type="dxa"/>
          </w:tcPr>
          <w:p w14:paraId="6C753F9C" w14:textId="0DE2A97F" w:rsidR="00F753EE" w:rsidRPr="00BF06C2" w:rsidRDefault="00F753EE" w:rsidP="00073ED2">
            <w:pPr>
              <w:spacing w:after="120"/>
            </w:pPr>
            <w:r w:rsidRPr="00BF06C2">
              <w:rPr>
                <w:rFonts w:ascii="EYInterstate Light" w:hAnsi="EYInterstate Light"/>
              </w:rPr>
              <w:t>CAUL</w:t>
            </w:r>
          </w:p>
        </w:tc>
        <w:tc>
          <w:tcPr>
            <w:tcW w:w="7683" w:type="dxa"/>
          </w:tcPr>
          <w:p w14:paraId="691629A6" w14:textId="14FF3753" w:rsidR="00F753EE" w:rsidRPr="00BF06C2" w:rsidRDefault="003A7F90" w:rsidP="00073ED2">
            <w:pPr>
              <w:spacing w:after="120"/>
            </w:pPr>
            <w:r w:rsidRPr="00BF06C2">
              <w:rPr>
                <w:rFonts w:ascii="EYInterstate Light" w:hAnsi="EYInterstate Light"/>
              </w:rPr>
              <w:t>Council of Australian University Librarians</w:t>
            </w:r>
          </w:p>
        </w:tc>
      </w:tr>
      <w:tr w:rsidR="00E4600B" w:rsidRPr="00BA73E2" w14:paraId="7DB55AF0" w14:textId="77777777" w:rsidTr="000A1CAC">
        <w:trPr>
          <w:trHeight w:val="418"/>
        </w:trPr>
        <w:tc>
          <w:tcPr>
            <w:tcW w:w="1560" w:type="dxa"/>
          </w:tcPr>
          <w:p w14:paraId="672BC05D" w14:textId="696A9C21" w:rsidR="00E4600B" w:rsidRPr="00642A77" w:rsidRDefault="00E4600B" w:rsidP="00073ED2">
            <w:pPr>
              <w:spacing w:after="120"/>
              <w:rPr>
                <w:rFonts w:ascii="EYInterstate Light" w:hAnsi="EYInterstate Light"/>
              </w:rPr>
            </w:pPr>
            <w:r w:rsidRPr="00642A77">
              <w:rPr>
                <w:rFonts w:ascii="EYInterstate Light" w:hAnsi="EYInterstate Light"/>
              </w:rPr>
              <w:t>Learned society</w:t>
            </w:r>
          </w:p>
        </w:tc>
        <w:tc>
          <w:tcPr>
            <w:tcW w:w="7683" w:type="dxa"/>
          </w:tcPr>
          <w:p w14:paraId="147F964A" w14:textId="4355E22C" w:rsidR="00E4600B" w:rsidRPr="00BF06C2" w:rsidRDefault="00E4600B" w:rsidP="00E4600B">
            <w:pPr>
              <w:spacing w:after="120"/>
              <w:rPr>
                <w:rFonts w:ascii="EYInterstate Light" w:hAnsi="EYInterstate Light"/>
              </w:rPr>
            </w:pPr>
            <w:r w:rsidRPr="00BF06C2">
              <w:rPr>
                <w:rFonts w:ascii="EYInterstate Light" w:hAnsi="EYInterstate Light"/>
              </w:rPr>
              <w:t>A</w:t>
            </w:r>
            <w:r w:rsidR="000B312C" w:rsidRPr="00BF06C2">
              <w:rPr>
                <w:rFonts w:ascii="EYInterstate Light" w:hAnsi="EYInterstate Light"/>
              </w:rPr>
              <w:t>n</w:t>
            </w:r>
            <w:r w:rsidRPr="00BF06C2">
              <w:rPr>
                <w:rFonts w:ascii="EYInterstate Light" w:hAnsi="EYInterstate Light"/>
              </w:rPr>
              <w:t xml:space="preserve"> organisation dedicated to scholarship and research, often focused on a particular discipline. Most societies are funded through membership fees, event registration fees, revenue from publications, and donations</w:t>
            </w:r>
            <w:r w:rsidR="000B312C" w:rsidRPr="00BF06C2">
              <w:rPr>
                <w:rFonts w:ascii="EYInterstate Light" w:hAnsi="EYInterstate Light"/>
              </w:rPr>
              <w:t xml:space="preserve"> and have restricted membership, with government support</w:t>
            </w:r>
            <w:r w:rsidRPr="00BF06C2">
              <w:rPr>
                <w:rFonts w:ascii="EYInterstate Light" w:hAnsi="EYInterstate Light"/>
              </w:rPr>
              <w:t>.</w:t>
            </w:r>
          </w:p>
        </w:tc>
      </w:tr>
      <w:tr w:rsidR="00073ED2" w:rsidRPr="00BA73E2" w14:paraId="6F18E996" w14:textId="77777777" w:rsidTr="000A1CAC">
        <w:trPr>
          <w:trHeight w:val="418"/>
        </w:trPr>
        <w:tc>
          <w:tcPr>
            <w:tcW w:w="1560" w:type="dxa"/>
          </w:tcPr>
          <w:p w14:paraId="0AA563D5" w14:textId="2EEE58D3" w:rsidR="00073ED2" w:rsidRPr="00642A77" w:rsidRDefault="00073ED2" w:rsidP="00073ED2">
            <w:pPr>
              <w:spacing w:after="120"/>
              <w:rPr>
                <w:rFonts w:ascii="EYInterstate Light" w:hAnsi="EYInterstate Light"/>
              </w:rPr>
            </w:pPr>
            <w:r w:rsidRPr="00642A77">
              <w:rPr>
                <w:rFonts w:ascii="EYInterstate Light" w:hAnsi="EYInterstate Light"/>
              </w:rPr>
              <w:t>Open access</w:t>
            </w:r>
          </w:p>
        </w:tc>
        <w:tc>
          <w:tcPr>
            <w:tcW w:w="7683" w:type="dxa"/>
          </w:tcPr>
          <w:p w14:paraId="05F3A54B" w14:textId="4391595F" w:rsidR="00073ED2" w:rsidRPr="00BF06C2" w:rsidRDefault="00073ED2" w:rsidP="00073ED2">
            <w:pPr>
              <w:spacing w:after="120"/>
              <w:rPr>
                <w:rFonts w:ascii="EYInterstate Light" w:hAnsi="EYInterstate Light"/>
              </w:rPr>
            </w:pPr>
            <w:r w:rsidRPr="00BF06C2">
              <w:rPr>
                <w:rFonts w:ascii="EYInterstate Light" w:hAnsi="EYInterstate Light"/>
              </w:rPr>
              <w:t>Literature that is freely available on the public internet, where any user is permitted to read, download, copy, distribute, print, search or link to the full texts of these articles, pass them as data to software, crawl them for indexing or use them for any other lawful purpose.</w:t>
            </w:r>
          </w:p>
        </w:tc>
      </w:tr>
      <w:tr w:rsidR="00032275" w:rsidRPr="00BA73E2" w14:paraId="3AA38047" w14:textId="77777777" w:rsidTr="000A1CAC">
        <w:trPr>
          <w:trHeight w:val="418"/>
        </w:trPr>
        <w:tc>
          <w:tcPr>
            <w:tcW w:w="1560" w:type="dxa"/>
          </w:tcPr>
          <w:p w14:paraId="7F71D795" w14:textId="56D265EF" w:rsidR="00032275" w:rsidRPr="00642A77" w:rsidRDefault="00032275" w:rsidP="00073ED2">
            <w:pPr>
              <w:spacing w:after="120"/>
              <w:rPr>
                <w:rFonts w:ascii="EYInterstate Light" w:hAnsi="EYInterstate Light"/>
              </w:rPr>
            </w:pPr>
            <w:r w:rsidRPr="00642A77">
              <w:rPr>
                <w:rFonts w:ascii="EYInterstate Light" w:hAnsi="EYInterstate Light"/>
              </w:rPr>
              <w:t>Open data</w:t>
            </w:r>
          </w:p>
        </w:tc>
        <w:tc>
          <w:tcPr>
            <w:tcW w:w="7683" w:type="dxa"/>
          </w:tcPr>
          <w:p w14:paraId="4D687028" w14:textId="2BAA099A" w:rsidR="00032275" w:rsidRPr="00BF06C2" w:rsidRDefault="00032275" w:rsidP="00032275">
            <w:pPr>
              <w:spacing w:after="120"/>
              <w:rPr>
                <w:rFonts w:ascii="EYInterstate Light" w:hAnsi="EYInterstate Light"/>
              </w:rPr>
            </w:pPr>
            <w:r w:rsidRPr="00BF06C2">
              <w:rPr>
                <w:rFonts w:ascii="EYInterstate Light" w:hAnsi="EYInterstate Light"/>
              </w:rPr>
              <w:t>Freely available, anonymous, and easily discoverable information that anyone can assess, explore, and reuse. The data must be provided under licensing terms that allow reuse and redistribution.</w:t>
            </w:r>
          </w:p>
        </w:tc>
      </w:tr>
      <w:tr w:rsidR="00073ED2" w:rsidRPr="00BA73E2" w14:paraId="17248AA8" w14:textId="77777777" w:rsidTr="000A1CAC">
        <w:trPr>
          <w:trHeight w:val="418"/>
        </w:trPr>
        <w:tc>
          <w:tcPr>
            <w:tcW w:w="1560" w:type="dxa"/>
          </w:tcPr>
          <w:p w14:paraId="03CCF161" w14:textId="1BD0604D" w:rsidR="00073ED2" w:rsidRPr="00642A77" w:rsidRDefault="00073ED2" w:rsidP="00073ED2">
            <w:pPr>
              <w:spacing w:after="120"/>
              <w:rPr>
                <w:rFonts w:ascii="EYInterstate Light" w:hAnsi="EYInterstate Light"/>
              </w:rPr>
            </w:pPr>
            <w:r w:rsidRPr="00642A77">
              <w:rPr>
                <w:rFonts w:ascii="EYInterstate Light" w:hAnsi="EYInterstate Light"/>
              </w:rPr>
              <w:t>Peer review</w:t>
            </w:r>
          </w:p>
        </w:tc>
        <w:tc>
          <w:tcPr>
            <w:tcW w:w="7683" w:type="dxa"/>
          </w:tcPr>
          <w:p w14:paraId="6854C55E" w14:textId="596CA010" w:rsidR="00073ED2" w:rsidRPr="00BF06C2" w:rsidRDefault="00073ED2" w:rsidP="00073ED2">
            <w:pPr>
              <w:spacing w:after="120"/>
              <w:rPr>
                <w:rFonts w:ascii="EYInterstate Light" w:hAnsi="EYInterstate Light"/>
              </w:rPr>
            </w:pPr>
            <w:r w:rsidRPr="00BF06C2">
              <w:rPr>
                <w:rFonts w:ascii="EYInterstate Light" w:hAnsi="EYInterstate Light"/>
              </w:rPr>
              <w:t xml:space="preserve">The process in which articles submitted for publication are reviewed by independent members of the research community to assess their quality, validity, and originality. Peer reviews are </w:t>
            </w:r>
            <w:r w:rsidRPr="0097245C">
              <w:rPr>
                <w:rFonts w:ascii="EYInterstate Light" w:hAnsi="EYInterstate Light"/>
              </w:rPr>
              <w:t xml:space="preserve">organised </w:t>
            </w:r>
            <w:r w:rsidR="009D667E" w:rsidRPr="0097245C">
              <w:rPr>
                <w:rFonts w:ascii="EYInterstate Light" w:hAnsi="EYInterstate Light"/>
              </w:rPr>
              <w:t xml:space="preserve">by </w:t>
            </w:r>
            <w:r w:rsidR="00166FBA" w:rsidRPr="0097245C">
              <w:rPr>
                <w:rFonts w:ascii="EYInterstate Light" w:hAnsi="EYInterstate Light"/>
              </w:rPr>
              <w:t xml:space="preserve">journal </w:t>
            </w:r>
            <w:r w:rsidR="00166FBA" w:rsidRPr="00BF06C2">
              <w:rPr>
                <w:rFonts w:ascii="EYInterstate Light" w:hAnsi="EYInterstate Light"/>
              </w:rPr>
              <w:t>editors</w:t>
            </w:r>
            <w:r w:rsidR="00CE2E41" w:rsidRPr="00BF06C2">
              <w:rPr>
                <w:rFonts w:ascii="EYInterstate Light" w:hAnsi="EYInterstate Light"/>
              </w:rPr>
              <w:t xml:space="preserve"> with publishers owning the business and managing the entire process. Peer </w:t>
            </w:r>
            <w:r w:rsidRPr="00BF06C2">
              <w:rPr>
                <w:rFonts w:ascii="EYInterstate Light" w:hAnsi="EYInterstate Light"/>
              </w:rPr>
              <w:t xml:space="preserve">reviewers </w:t>
            </w:r>
            <w:r w:rsidR="00CE2E41" w:rsidRPr="00BF06C2">
              <w:rPr>
                <w:rFonts w:ascii="EYInterstate Light" w:hAnsi="EYInterstate Light"/>
              </w:rPr>
              <w:t>are often not paid for these services.</w:t>
            </w:r>
          </w:p>
        </w:tc>
      </w:tr>
      <w:tr w:rsidR="00073ED2" w:rsidRPr="00BA73E2" w14:paraId="56C21046" w14:textId="77777777" w:rsidTr="000A1CAC">
        <w:trPr>
          <w:trHeight w:val="418"/>
        </w:trPr>
        <w:tc>
          <w:tcPr>
            <w:tcW w:w="1560" w:type="dxa"/>
          </w:tcPr>
          <w:p w14:paraId="7DA3EA37" w14:textId="2FBB2D2F" w:rsidR="00073ED2" w:rsidRPr="00642A77" w:rsidRDefault="00073ED2" w:rsidP="00073ED2">
            <w:pPr>
              <w:spacing w:after="120"/>
              <w:rPr>
                <w:rFonts w:ascii="EYInterstate Light" w:hAnsi="EYInterstate Light"/>
              </w:rPr>
            </w:pPr>
            <w:r w:rsidRPr="00642A77">
              <w:rPr>
                <w:rFonts w:ascii="EYInterstate Light" w:hAnsi="EYInterstate Light"/>
              </w:rPr>
              <w:t>Publish-and-read agreements</w:t>
            </w:r>
          </w:p>
        </w:tc>
        <w:tc>
          <w:tcPr>
            <w:tcW w:w="7683" w:type="dxa"/>
          </w:tcPr>
          <w:p w14:paraId="145D34DF" w14:textId="1EF92AD7" w:rsidR="00073ED2" w:rsidRPr="00BF06C2" w:rsidRDefault="00073ED2" w:rsidP="00073ED2">
            <w:pPr>
              <w:spacing w:after="120"/>
              <w:rPr>
                <w:rFonts w:ascii="EYInterstate Light" w:hAnsi="EYInterstate Light"/>
              </w:rPr>
            </w:pPr>
            <w:r w:rsidRPr="00BF06C2">
              <w:rPr>
                <w:rFonts w:ascii="EYInterstate Light" w:hAnsi="EYInterstate Light"/>
              </w:rPr>
              <w:t>Agreements in which a publisher is paid a fee per published open access article that includes a premium for read access to their catalogue of journals. This agreement places greater emphasis on open access publishing, compared to read-and-publish agreements.</w:t>
            </w:r>
            <w:r w:rsidR="00B45B2A" w:rsidRPr="00BF06C2">
              <w:rPr>
                <w:rFonts w:ascii="EYInterstate Light" w:hAnsi="EYInterstate Light"/>
              </w:rPr>
              <w:t xml:space="preserve"> This is also a type of transformative agreement</w:t>
            </w:r>
            <w:r w:rsidR="00F54444" w:rsidRPr="00BF06C2">
              <w:rPr>
                <w:rFonts w:ascii="EYInterstate Light" w:hAnsi="EYInterstate Light"/>
              </w:rPr>
              <w:t>.</w:t>
            </w:r>
          </w:p>
        </w:tc>
      </w:tr>
      <w:tr w:rsidR="00017A2B" w:rsidRPr="00BA73E2" w14:paraId="0E888F68" w14:textId="77777777" w:rsidTr="000A1CAC">
        <w:trPr>
          <w:trHeight w:val="418"/>
        </w:trPr>
        <w:tc>
          <w:tcPr>
            <w:tcW w:w="1560" w:type="dxa"/>
          </w:tcPr>
          <w:p w14:paraId="61C9956C" w14:textId="07CAE9A9" w:rsidR="00017A2B" w:rsidRPr="00642A77" w:rsidRDefault="00017A2B" w:rsidP="00017A2B">
            <w:pPr>
              <w:spacing w:after="120"/>
              <w:rPr>
                <w:rFonts w:ascii="EYInterstate Light" w:hAnsi="EYInterstate Light"/>
              </w:rPr>
            </w:pPr>
            <w:r w:rsidRPr="00642A77">
              <w:rPr>
                <w:rFonts w:ascii="EYInterstate Light" w:hAnsi="EYInterstate Light"/>
              </w:rPr>
              <w:t>Read-and-publish agreements</w:t>
            </w:r>
          </w:p>
        </w:tc>
        <w:tc>
          <w:tcPr>
            <w:tcW w:w="7683" w:type="dxa"/>
          </w:tcPr>
          <w:p w14:paraId="0D764D85" w14:textId="7740D4C3" w:rsidR="00017A2B" w:rsidRPr="00BF06C2" w:rsidRDefault="00017A2B" w:rsidP="00017A2B">
            <w:pPr>
              <w:spacing w:after="120"/>
              <w:rPr>
                <w:rFonts w:ascii="EYInterstate Light" w:hAnsi="EYInterstate Light"/>
              </w:rPr>
            </w:pPr>
            <w:r w:rsidRPr="00BF06C2">
              <w:rPr>
                <w:rFonts w:ascii="EYInterstate Light" w:hAnsi="EYInterstate Light"/>
              </w:rPr>
              <w:t xml:space="preserve">Agreements in which an institution pays a publisher for the rights to access journal content and to publish open access articles in their journals under a single payment. This agreement places </w:t>
            </w:r>
            <w:r w:rsidR="00F54444" w:rsidRPr="00BF06C2">
              <w:rPr>
                <w:rFonts w:ascii="EYInterstate Light" w:hAnsi="EYInterstate Light"/>
              </w:rPr>
              <w:t>particular focus</w:t>
            </w:r>
            <w:r w:rsidRPr="00BF06C2">
              <w:rPr>
                <w:rFonts w:ascii="EYInterstate Light" w:hAnsi="EYInterstate Light"/>
              </w:rPr>
              <w:t xml:space="preserve"> on access to publisher content compared to publish-and-read agreements.</w:t>
            </w:r>
            <w:r w:rsidR="002603B3" w:rsidRPr="00BF06C2">
              <w:rPr>
                <w:rFonts w:ascii="EYInterstate Light" w:hAnsi="EYInterstate Light"/>
              </w:rPr>
              <w:t xml:space="preserve"> This is also a type of transformative agreement.</w:t>
            </w:r>
          </w:p>
        </w:tc>
      </w:tr>
      <w:tr w:rsidR="00017A2B" w:rsidRPr="00BA73E2" w14:paraId="67C29D3B" w14:textId="77777777" w:rsidTr="000A1CAC">
        <w:trPr>
          <w:trHeight w:val="418"/>
        </w:trPr>
        <w:tc>
          <w:tcPr>
            <w:tcW w:w="1560" w:type="dxa"/>
          </w:tcPr>
          <w:p w14:paraId="7BC83ABE" w14:textId="3905C759" w:rsidR="00017A2B" w:rsidRPr="00642A77" w:rsidRDefault="00017A2B" w:rsidP="00017A2B">
            <w:pPr>
              <w:spacing w:after="120"/>
              <w:rPr>
                <w:rFonts w:ascii="EYInterstate Light" w:hAnsi="EYInterstate Light"/>
              </w:rPr>
            </w:pPr>
            <w:r w:rsidRPr="00642A77">
              <w:rPr>
                <w:rFonts w:ascii="EYInterstate Light" w:hAnsi="EYInterstate Light"/>
              </w:rPr>
              <w:t>Repository</w:t>
            </w:r>
          </w:p>
        </w:tc>
        <w:tc>
          <w:tcPr>
            <w:tcW w:w="7683" w:type="dxa"/>
          </w:tcPr>
          <w:p w14:paraId="4B827B57" w14:textId="14FE3C6C" w:rsidR="00017A2B" w:rsidRPr="00BF06C2" w:rsidRDefault="00017A2B" w:rsidP="00017A2B">
            <w:pPr>
              <w:spacing w:after="120"/>
              <w:rPr>
                <w:rFonts w:ascii="EYInterstate Light" w:hAnsi="EYInterstate Light"/>
              </w:rPr>
            </w:pPr>
            <w:r w:rsidRPr="00BF06C2">
              <w:rPr>
                <w:rFonts w:ascii="EYInterstate Light" w:hAnsi="EYInterstate Light"/>
              </w:rPr>
              <w:t>An archive in which research outputs are stored (including but not limited to journal articles). Repositories are commonly administered by research institutions, publishers, and other organisations. Institutional repositories may also contain an institution’s intellectual property and other assets.</w:t>
            </w:r>
          </w:p>
        </w:tc>
      </w:tr>
      <w:tr w:rsidR="00017A2B" w:rsidRPr="00BA73E2" w14:paraId="050AE313" w14:textId="77777777" w:rsidTr="000A1CAC">
        <w:trPr>
          <w:trHeight w:val="418"/>
        </w:trPr>
        <w:tc>
          <w:tcPr>
            <w:tcW w:w="1560" w:type="dxa"/>
          </w:tcPr>
          <w:p w14:paraId="46464506" w14:textId="1CDE0DF3" w:rsidR="00017A2B" w:rsidRPr="00642A77" w:rsidRDefault="00017A2B" w:rsidP="00017A2B">
            <w:pPr>
              <w:spacing w:after="120"/>
              <w:rPr>
                <w:rFonts w:ascii="EYInterstate Light" w:hAnsi="EYInterstate Light"/>
              </w:rPr>
            </w:pPr>
            <w:r w:rsidRPr="00642A77">
              <w:rPr>
                <w:rFonts w:ascii="EYInterstate Light" w:hAnsi="EYInterstate Light"/>
              </w:rPr>
              <w:t>Transformative agreement</w:t>
            </w:r>
          </w:p>
        </w:tc>
        <w:tc>
          <w:tcPr>
            <w:tcW w:w="7683" w:type="dxa"/>
          </w:tcPr>
          <w:p w14:paraId="10D2E0E8" w14:textId="3FC3D8A0" w:rsidR="00017A2B" w:rsidRPr="00BF06C2" w:rsidRDefault="00C43DFB" w:rsidP="00017A2B">
            <w:pPr>
              <w:spacing w:after="120"/>
              <w:rPr>
                <w:rFonts w:ascii="EYInterstate Light" w:hAnsi="EYInterstate Light"/>
              </w:rPr>
            </w:pPr>
            <w:r w:rsidRPr="00BF06C2">
              <w:rPr>
                <w:rFonts w:ascii="EYInterstate Light" w:hAnsi="EYInterstate Light"/>
              </w:rPr>
              <w:t xml:space="preserve">An agreement between publishers and subscribing institutions that aims to help subscription-based journals transition to an open access model. Transformative agreements typically allow the participating university or consortium to read all articles in the journal and to publish articles as open access in the journal. </w:t>
            </w:r>
          </w:p>
        </w:tc>
      </w:tr>
    </w:tbl>
    <w:p w14:paraId="19F2D8BF" w14:textId="7D58BB63" w:rsidR="00477AFA" w:rsidRDefault="00477AFA" w:rsidP="00477AFA">
      <w:pPr>
        <w:sectPr w:rsidR="00477AFA" w:rsidSect="00E1705E">
          <w:headerReference w:type="even" r:id="rId17"/>
          <w:headerReference w:type="default" r:id="rId18"/>
          <w:footerReference w:type="default" r:id="rId19"/>
          <w:pgSz w:w="11909" w:h="16834" w:code="9"/>
          <w:pgMar w:top="1440" w:right="1440" w:bottom="1440" w:left="1440" w:header="720" w:footer="720" w:gutter="0"/>
          <w:pgNumType w:fmt="lowerRoman" w:start="1"/>
          <w:cols w:space="720"/>
          <w:docGrid w:linePitch="360"/>
        </w:sectPr>
      </w:pPr>
    </w:p>
    <w:p w14:paraId="249773BB" w14:textId="7B7B5A39" w:rsidR="000C718F" w:rsidRDefault="000C718F" w:rsidP="00D72A10">
      <w:pPr>
        <w:pStyle w:val="EYHeading1"/>
        <w:numPr>
          <w:ilvl w:val="0"/>
          <w:numId w:val="0"/>
        </w:numPr>
        <w:ind w:left="851" w:hanging="851"/>
      </w:pPr>
      <w:bookmarkStart w:id="4" w:name="_Toc115717070"/>
      <w:proofErr w:type="gramStart"/>
      <w:r>
        <w:lastRenderedPageBreak/>
        <w:t>At a glance</w:t>
      </w:r>
      <w:bookmarkEnd w:id="4"/>
      <w:proofErr w:type="gramEnd"/>
    </w:p>
    <w:p w14:paraId="2F578292" w14:textId="3C828299" w:rsidR="00D80AE1" w:rsidRPr="00BF06C2" w:rsidRDefault="00D80AE1" w:rsidP="00376C7A">
      <w:pPr>
        <w:pStyle w:val="EYBulletnoparaspace"/>
        <w:ind w:hanging="357"/>
      </w:pPr>
      <w:bookmarkStart w:id="5" w:name="_Hlk112847105"/>
      <w:r>
        <w:t xml:space="preserve">A </w:t>
      </w:r>
      <w:r w:rsidRPr="00BF06C2">
        <w:t>skilled, educated and technologically astute workforce will be increasingly important as Australia’s economy becomes more knowledge intensive and dynamic. Most Australians and businesses outside of the research sector are unable to access academic papers due to paywalls. Locking so much research behind paywalls may limit the ability of industry and government to innovate, as well as hold</w:t>
      </w:r>
      <w:r w:rsidR="004F2E7A">
        <w:t>ing</w:t>
      </w:r>
      <w:r w:rsidRPr="00BF06C2">
        <w:t xml:space="preserve"> back broader community inquiry.</w:t>
      </w:r>
    </w:p>
    <w:p w14:paraId="4B38D70E" w14:textId="4B858BBD" w:rsidR="00D80AE1" w:rsidRPr="00BF06C2" w:rsidRDefault="00D80AE1" w:rsidP="00376C7A">
      <w:pPr>
        <w:pStyle w:val="EYBulletnoparaspace"/>
        <w:ind w:hanging="357"/>
      </w:pPr>
      <w:r w:rsidRPr="00BF06C2">
        <w:t xml:space="preserve">A national </w:t>
      </w:r>
      <w:r w:rsidR="00F54444" w:rsidRPr="00BF06C2">
        <w:t xml:space="preserve">open </w:t>
      </w:r>
      <w:r w:rsidRPr="00BF06C2">
        <w:t xml:space="preserve">access scheme would reform a major plank of Australia’s knowledge and innovation system by breaking down subscription-based access barriers to world-class science and </w:t>
      </w:r>
      <w:r w:rsidR="00B13A6C">
        <w:t>academic</w:t>
      </w:r>
      <w:r w:rsidRPr="00BF06C2">
        <w:t xml:space="preserve"> journals. It would provide access to academic journals for all Australians, businesses, and government agencies. The scheme could:</w:t>
      </w:r>
    </w:p>
    <w:p w14:paraId="5E9F20E1" w14:textId="3319C14D" w:rsidR="00D80AE1" w:rsidRPr="00BF06C2" w:rsidRDefault="00D80AE1" w:rsidP="00376C7A">
      <w:pPr>
        <w:pStyle w:val="EYBodytextwithparaspace"/>
        <w:numPr>
          <w:ilvl w:val="0"/>
          <w:numId w:val="25"/>
        </w:numPr>
        <w:spacing w:line="240" w:lineRule="auto"/>
        <w:ind w:hanging="357"/>
      </w:pPr>
      <w:r w:rsidRPr="00BF06C2">
        <w:t>Promote access to cutting-edge research allowing businesses to stay ahead of new developments and remain competitive</w:t>
      </w:r>
      <w:r w:rsidR="00F54444" w:rsidRPr="00BF06C2">
        <w:t>.</w:t>
      </w:r>
    </w:p>
    <w:p w14:paraId="19BD4E0D" w14:textId="7E198022" w:rsidR="00D80AE1" w:rsidRPr="00BF06C2" w:rsidRDefault="00D80AE1" w:rsidP="00376C7A">
      <w:pPr>
        <w:pStyle w:val="EYBodytextwithparaspace"/>
        <w:numPr>
          <w:ilvl w:val="0"/>
          <w:numId w:val="25"/>
        </w:numPr>
        <w:spacing w:line="240" w:lineRule="auto"/>
        <w:ind w:hanging="357"/>
      </w:pPr>
      <w:r w:rsidRPr="00BF06C2">
        <w:t xml:space="preserve">Help build the nation’s knowledge base and support </w:t>
      </w:r>
      <w:proofErr w:type="gramStart"/>
      <w:r w:rsidRPr="00BF06C2">
        <w:t>researchers,</w:t>
      </w:r>
      <w:proofErr w:type="gramEnd"/>
      <w:r w:rsidRPr="00BF06C2">
        <w:t xml:space="preserve"> businesses and citizens translate this knowledge into new ideas and innovations</w:t>
      </w:r>
      <w:r w:rsidR="00F54444" w:rsidRPr="00BF06C2">
        <w:t>.</w:t>
      </w:r>
    </w:p>
    <w:p w14:paraId="0E681B4C" w14:textId="33559E66" w:rsidR="00D80AE1" w:rsidRPr="00BF06C2" w:rsidRDefault="00D80AE1" w:rsidP="00376C7A">
      <w:pPr>
        <w:pStyle w:val="EYBodytextwithparaspace"/>
        <w:numPr>
          <w:ilvl w:val="0"/>
          <w:numId w:val="25"/>
        </w:numPr>
        <w:spacing w:line="240" w:lineRule="auto"/>
        <w:ind w:hanging="357"/>
      </w:pPr>
      <w:r w:rsidRPr="00BF06C2">
        <w:t>Support evidence-based policymaking to meet the country’s challenges, especially in science and technology-intensive areas like public health, climate change, agriculture and energy</w:t>
      </w:r>
      <w:r w:rsidR="00F54444" w:rsidRPr="00BF06C2">
        <w:t>.</w:t>
      </w:r>
    </w:p>
    <w:p w14:paraId="4AEBEC87" w14:textId="77777777" w:rsidR="00D80AE1" w:rsidRPr="00BF06C2" w:rsidRDefault="00D80AE1" w:rsidP="00376C7A">
      <w:pPr>
        <w:pStyle w:val="EYBodytextwithparaspace"/>
        <w:numPr>
          <w:ilvl w:val="0"/>
          <w:numId w:val="25"/>
        </w:numPr>
        <w:spacing w:line="240" w:lineRule="auto"/>
        <w:ind w:hanging="357"/>
      </w:pPr>
      <w:r w:rsidRPr="00BF06C2">
        <w:t>Develop a more engaged, inquiring and informed community by enabling access to world-class, peer-reviewed research.</w:t>
      </w:r>
    </w:p>
    <w:p w14:paraId="57DDE08A" w14:textId="103EAC5D" w:rsidR="00D80AE1" w:rsidRPr="00BF06C2" w:rsidRDefault="00D80AE1" w:rsidP="00376C7A">
      <w:pPr>
        <w:pStyle w:val="EYBulletnoparaspace"/>
        <w:ind w:hanging="357"/>
      </w:pPr>
      <w:r w:rsidRPr="00BF06C2">
        <w:t>Analysis suggests that the economic dividend from a national open access scheme could be large — potentially in the order of $</w:t>
      </w:r>
      <w:r w:rsidR="00313A5D">
        <w:rPr>
          <w:color w:val="000000" w:themeColor="background2"/>
          <w:sz w:val="18"/>
          <w:szCs w:val="18"/>
        </w:rPr>
        <w:t xml:space="preserve">36 </w:t>
      </w:r>
      <w:r w:rsidRPr="00BF06C2">
        <w:t>billion over the next few decades, as new economic and social opportunities for local industry and citizens are expanded.</w:t>
      </w:r>
    </w:p>
    <w:p w14:paraId="75FC04BE" w14:textId="15427F49" w:rsidR="00D80AE1" w:rsidRPr="00BF06C2" w:rsidRDefault="00D80AE1" w:rsidP="00376C7A">
      <w:pPr>
        <w:pStyle w:val="EYBulletnoparaspace"/>
        <w:ind w:hanging="357"/>
      </w:pPr>
      <w:r w:rsidRPr="00BF06C2">
        <w:t xml:space="preserve">A national open access scheme for Australia consolidates many functions and expenditures currently undertaken within Australia’s research sector to procure and manage access to academic journals. Under a proposed </w:t>
      </w:r>
      <w:r w:rsidR="00F54444" w:rsidRPr="00BF06C2">
        <w:t xml:space="preserve">open access </w:t>
      </w:r>
      <w:r w:rsidRPr="00BF06C2">
        <w:t>model, a central implementation body would enter new national-level commercial arrangements with publishers, covering the research community and broader community.</w:t>
      </w:r>
    </w:p>
    <w:p w14:paraId="604EDB77" w14:textId="77777777" w:rsidR="00D80AE1" w:rsidRPr="00BF06C2" w:rsidRDefault="00D80AE1" w:rsidP="00376C7A">
      <w:pPr>
        <w:pStyle w:val="EYBulletnoparaspace"/>
        <w:ind w:hanging="357"/>
      </w:pPr>
      <w:r w:rsidRPr="00BF06C2">
        <w:t>Implementing a national open access scheme would involve costs for the Australian Government, predominantly to establish a body to administer the scheme, as well as the costs of striking new commercial access arrangements with publishers.</w:t>
      </w:r>
    </w:p>
    <w:p w14:paraId="4C465A8B" w14:textId="4F620B10" w:rsidR="00D80AE1" w:rsidRPr="00BF06C2" w:rsidRDefault="00D80AE1" w:rsidP="00376C7A">
      <w:pPr>
        <w:pStyle w:val="EYBodytextwithparaspace"/>
        <w:numPr>
          <w:ilvl w:val="0"/>
          <w:numId w:val="25"/>
        </w:numPr>
        <w:spacing w:line="240" w:lineRule="auto"/>
        <w:ind w:hanging="357"/>
      </w:pPr>
      <w:r w:rsidRPr="00BF06C2">
        <w:t xml:space="preserve">High level estimates of the potential cost of the scheme are in the order of </w:t>
      </w:r>
      <w:r w:rsidRPr="00BF06C2">
        <w:rPr>
          <w:color w:val="auto"/>
        </w:rPr>
        <w:t>$420</w:t>
      </w:r>
      <w:r w:rsidR="00376C7A">
        <w:rPr>
          <w:color w:val="auto"/>
        </w:rPr>
        <w:t> </w:t>
      </w:r>
      <w:r w:rsidRPr="00BF06C2">
        <w:rPr>
          <w:color w:val="auto"/>
        </w:rPr>
        <w:t xml:space="preserve">million </w:t>
      </w:r>
      <w:r w:rsidRPr="00BF06C2">
        <w:t>per year.</w:t>
      </w:r>
    </w:p>
    <w:p w14:paraId="420C5911" w14:textId="35BAAFAF" w:rsidR="00D80AE1" w:rsidRPr="00BF06C2" w:rsidRDefault="00D80AE1" w:rsidP="00376C7A">
      <w:pPr>
        <w:pStyle w:val="EYBodytextwithparaspace"/>
        <w:numPr>
          <w:ilvl w:val="0"/>
          <w:numId w:val="25"/>
        </w:numPr>
        <w:spacing w:line="240" w:lineRule="auto"/>
        <w:ind w:hanging="357"/>
      </w:pPr>
      <w:r w:rsidRPr="00BF06C2">
        <w:t xml:space="preserve">However, there is significant potential to offset much of these costs through savings in current spending on journal subscriptions by universities </w:t>
      </w:r>
      <w:r w:rsidR="00CF7948" w:rsidRPr="00BF06C2">
        <w:t>as well as</w:t>
      </w:r>
      <w:r w:rsidRPr="00BF06C2">
        <w:t xml:space="preserve"> operational efficiencies </w:t>
      </w:r>
      <w:r w:rsidR="00CF7948" w:rsidRPr="00BF06C2">
        <w:t>in</w:t>
      </w:r>
      <w:r w:rsidRPr="00BF06C2">
        <w:t xml:space="preserve"> centralising administration of the scheme.</w:t>
      </w:r>
    </w:p>
    <w:p w14:paraId="6EC1C175" w14:textId="44C0C4D1" w:rsidR="00D80AE1" w:rsidRPr="00BF06C2" w:rsidRDefault="00D80AE1" w:rsidP="00376C7A">
      <w:pPr>
        <w:pStyle w:val="EYBulletnoparaspace"/>
        <w:ind w:hanging="357"/>
      </w:pPr>
      <w:r w:rsidRPr="00BF06C2">
        <w:t>The scheme could be established in around 18 months, with a</w:t>
      </w:r>
      <w:r w:rsidR="003D4FD8" w:rsidRPr="00BF06C2">
        <w:t>n</w:t>
      </w:r>
      <w:r w:rsidRPr="00BF06C2">
        <w:t xml:space="preserve"> ongoing phasing in period. A range of implementation issues would require consideration by government, including operational and governance structures for the administering entity and managing the transition of </w:t>
      </w:r>
      <w:r w:rsidR="00982AA4" w:rsidRPr="00BF06C2">
        <w:t xml:space="preserve">existing </w:t>
      </w:r>
      <w:r w:rsidRPr="00BF06C2">
        <w:t>journal access arrangements into the new system.</w:t>
      </w:r>
    </w:p>
    <w:bookmarkEnd w:id="5"/>
    <w:p w14:paraId="1EE399FE" w14:textId="77777777" w:rsidR="00D80AE1" w:rsidRPr="00970745" w:rsidRDefault="00D80AE1" w:rsidP="00A577AC">
      <w:pPr>
        <w:pStyle w:val="EYBodytextwithparaspace"/>
      </w:pPr>
    </w:p>
    <w:p w14:paraId="360DBA19" w14:textId="438D31F3" w:rsidR="00D72A10" w:rsidRDefault="00D72A10" w:rsidP="00D72A10">
      <w:pPr>
        <w:pStyle w:val="EYHeading1"/>
        <w:numPr>
          <w:ilvl w:val="0"/>
          <w:numId w:val="0"/>
        </w:numPr>
        <w:ind w:left="851" w:hanging="851"/>
      </w:pPr>
      <w:bookmarkStart w:id="6" w:name="_Toc115717071"/>
      <w:r>
        <w:lastRenderedPageBreak/>
        <w:t>Executive summary</w:t>
      </w:r>
      <w:bookmarkEnd w:id="6"/>
    </w:p>
    <w:p w14:paraId="41E9192E" w14:textId="609EBDD2" w:rsidR="00F855B5" w:rsidRPr="00353B3B" w:rsidRDefault="00FF3F47" w:rsidP="00353B3B">
      <w:pPr>
        <w:pStyle w:val="EYBodytextwithoutparaspace"/>
      </w:pPr>
      <w:r>
        <w:t xml:space="preserve">Academic research — and the progress it underpins — is crucial to building national prosperity and tackling Australia’s major challenges. The Australian Government currently provides significant funding for academic research to promote a range of economic, scientific, and social objectives. Direct investment into the research sector was more than $12.1 billion in 2020-21, with $4.7 billion channelled through the higher education sector and almost $3 billion for industry-led </w:t>
      </w:r>
      <w:r w:rsidR="00F67D9F" w:rsidRPr="00353B3B">
        <w:t>research.</w:t>
      </w:r>
      <w:r w:rsidR="00F67D9F" w:rsidRPr="000E439E">
        <w:rPr>
          <w:rStyle w:val="FootnoteReference"/>
        </w:rPr>
        <w:footnoteReference w:id="2"/>
      </w:r>
    </w:p>
    <w:p w14:paraId="474ADBEB" w14:textId="6F0DA142" w:rsidR="00B40870" w:rsidRDefault="00B40870" w:rsidP="00B40870">
      <w:pPr>
        <w:pStyle w:val="EYBodytextwithoutparaspace"/>
      </w:pPr>
      <w:r>
        <w:t xml:space="preserve">Most academic research is published in academic journals. The academic publishing industry, which is dominated by five global publishers (Elsevier, Springer Nature, Wiley, Taylor &amp; Francis and Sage), charges subscription fees to access their journals. Subscription fees are a major cost for universities and research </w:t>
      </w:r>
      <w:r w:rsidRPr="002A76E2">
        <w:t>institutions, often comprising around 30-40% of library budgets.</w:t>
      </w:r>
    </w:p>
    <w:p w14:paraId="3F6F35D6" w14:textId="066FBDF0" w:rsidR="00B40870" w:rsidRDefault="00B40870" w:rsidP="00B40870">
      <w:pPr>
        <w:pStyle w:val="EYBodytextwithoutparaspace"/>
      </w:pPr>
      <w:r>
        <w:t xml:space="preserve">While most research is funded by taxpayers either directly through grants or indirectly through university funding, the public is </w:t>
      </w:r>
      <w:r w:rsidRPr="001A69F9">
        <w:t>unable to access vast quantities of academic literature due to paywalls. Locking so much research behind paywalls may limit the ability of industry and government to innovate, as well as hold</w:t>
      </w:r>
      <w:r>
        <w:t>ing</w:t>
      </w:r>
      <w:r w:rsidRPr="001A69F9">
        <w:t xml:space="preserve"> back broader community inquiry.</w:t>
      </w:r>
    </w:p>
    <w:p w14:paraId="77753789" w14:textId="34025D64" w:rsidR="008520B4" w:rsidRPr="00353B3B" w:rsidRDefault="00B40870" w:rsidP="00B40870">
      <w:pPr>
        <w:pStyle w:val="EYBodytextwithoutparaspace"/>
      </w:pPr>
      <w:r w:rsidRPr="00BF06C2">
        <w:t>A national open access scheme would reform a major plank of Australia’s knowledge and innovation system by breaking down subscription-based access barriers to world-class science and scholarly journals. It would provide access to academic journals for all Australians, businesses, and government agencies</w:t>
      </w:r>
      <w:r>
        <w:t>, and support the distribution of Australian-led research through open access publishing.</w:t>
      </w:r>
    </w:p>
    <w:p w14:paraId="59FF9BCD" w14:textId="6BA66DE8" w:rsidR="00BF03D2" w:rsidRPr="001C3FF7" w:rsidRDefault="00415979" w:rsidP="00A577AC">
      <w:pPr>
        <w:pStyle w:val="EYBodytextwithparaspace"/>
        <w:rPr>
          <w:rFonts w:ascii="EYInterstate" w:hAnsi="EYInterstate"/>
          <w:sz w:val="24"/>
          <w:szCs w:val="24"/>
        </w:rPr>
      </w:pPr>
      <w:r w:rsidRPr="001C3FF7">
        <w:rPr>
          <w:rFonts w:ascii="EYInterstate" w:hAnsi="EYInterstate"/>
          <w:sz w:val="24"/>
          <w:szCs w:val="24"/>
        </w:rPr>
        <w:t xml:space="preserve">Why an </w:t>
      </w:r>
      <w:r w:rsidR="00BF03D2" w:rsidRPr="001C3FF7">
        <w:rPr>
          <w:rFonts w:ascii="EYInterstate" w:hAnsi="EYInterstate"/>
          <w:sz w:val="24"/>
          <w:szCs w:val="24"/>
        </w:rPr>
        <w:t>open access scheme</w:t>
      </w:r>
      <w:r w:rsidRPr="001C3FF7">
        <w:rPr>
          <w:rFonts w:ascii="EYInterstate" w:hAnsi="EYInterstate"/>
          <w:sz w:val="24"/>
          <w:szCs w:val="24"/>
        </w:rPr>
        <w:t xml:space="preserve"> for Australia?</w:t>
      </w:r>
    </w:p>
    <w:p w14:paraId="05F5F5D1" w14:textId="77777777" w:rsidR="006A2A60" w:rsidRDefault="001841FF" w:rsidP="001841FF">
      <w:pPr>
        <w:pStyle w:val="EYBodytextwithparaspace"/>
        <w:spacing w:line="240" w:lineRule="auto"/>
      </w:pPr>
      <w:r>
        <w:t xml:space="preserve">A national open access scheme would help position the country to better face future challenges. It would enable research to reach the </w:t>
      </w:r>
      <w:r w:rsidRPr="00FF2948">
        <w:t xml:space="preserve">widest audience and have the most impact to improve </w:t>
      </w:r>
      <w:r>
        <w:t>our</w:t>
      </w:r>
      <w:r w:rsidRPr="00FF2948">
        <w:t xml:space="preserve"> understanding of the world as quickly as possible</w:t>
      </w:r>
      <w:r>
        <w:t>.</w:t>
      </w:r>
    </w:p>
    <w:p w14:paraId="6B817452" w14:textId="5D4330C9" w:rsidR="00333093" w:rsidRDefault="006A2A60" w:rsidP="00AC3988">
      <w:pPr>
        <w:pStyle w:val="EYBodytextwithparaspace"/>
        <w:spacing w:before="120" w:after="240"/>
      </w:pPr>
      <w:r>
        <w:t>And why do this now?</w:t>
      </w:r>
    </w:p>
    <w:p w14:paraId="242E9F3B" w14:textId="77777777" w:rsidR="00333093" w:rsidRPr="009F6654" w:rsidRDefault="00333093" w:rsidP="00333093">
      <w:pPr>
        <w:pStyle w:val="EYBodytextwithoutparaspace"/>
        <w:numPr>
          <w:ilvl w:val="0"/>
          <w:numId w:val="42"/>
        </w:numPr>
        <w:ind w:left="426" w:hanging="426"/>
      </w:pPr>
      <w:r w:rsidRPr="009F6654">
        <w:t>Science and academic research can accomplish much more, much faster, in an environment of frictionless collaboration. More governments, institutions and funders are now requiring that the research they fund be made freely available through open access, immediately upon publication.</w:t>
      </w:r>
    </w:p>
    <w:p w14:paraId="2B9F6DAE" w14:textId="77777777" w:rsidR="00333093" w:rsidRDefault="00333093" w:rsidP="00333093">
      <w:pPr>
        <w:pStyle w:val="EYBodytextwithoutparaspace"/>
        <w:numPr>
          <w:ilvl w:val="0"/>
          <w:numId w:val="42"/>
        </w:numPr>
        <w:ind w:left="426" w:hanging="426"/>
      </w:pPr>
      <w:r w:rsidRPr="009F6654">
        <w:t xml:space="preserve">The global transition to open access is progressing, but gradually and unevenly. Australia can learn from international experience and get in front of the pack through a national </w:t>
      </w:r>
      <w:r>
        <w:t xml:space="preserve">open access </w:t>
      </w:r>
      <w:r w:rsidRPr="009F6654">
        <w:t xml:space="preserve">scheme. This would signal </w:t>
      </w:r>
      <w:r>
        <w:t>Australia’s science, technology and innovation agenda and help build a more robust knowledge economy.</w:t>
      </w:r>
    </w:p>
    <w:p w14:paraId="1E3F7E7C" w14:textId="77777777" w:rsidR="00333093" w:rsidRDefault="00333093" w:rsidP="00333093">
      <w:pPr>
        <w:pStyle w:val="EYBodytextwithoutparaspace"/>
        <w:numPr>
          <w:ilvl w:val="0"/>
          <w:numId w:val="42"/>
        </w:numPr>
        <w:ind w:left="426" w:hanging="426"/>
      </w:pPr>
      <w:r>
        <w:t xml:space="preserve">As a relatively small (about 4% of global research publications) but important member of the international research community, Australia is in an ideal position to make the transition to open access </w:t>
      </w:r>
      <w:r w:rsidRPr="00463240">
        <w:t>manageable and truly</w:t>
      </w:r>
      <w:r>
        <w:t xml:space="preserve"> </w:t>
      </w:r>
      <w:r w:rsidRPr="00463240">
        <w:t>national</w:t>
      </w:r>
      <w:r>
        <w:t>.</w:t>
      </w:r>
    </w:p>
    <w:p w14:paraId="442A77DA" w14:textId="4CB58A24" w:rsidR="00322657" w:rsidRPr="00482506" w:rsidRDefault="00322657" w:rsidP="00353B3B">
      <w:pPr>
        <w:pStyle w:val="EYBodytextwithoutparaspace"/>
        <w:numPr>
          <w:ilvl w:val="0"/>
          <w:numId w:val="42"/>
        </w:numPr>
        <w:ind w:left="426" w:hanging="426"/>
      </w:pPr>
      <w:r w:rsidRPr="00482506">
        <w:rPr>
          <w:rFonts w:ascii="EYInterstate" w:hAnsi="EYInterstate"/>
          <w:i/>
          <w:iCs/>
          <w:sz w:val="24"/>
        </w:rPr>
        <w:br w:type="page"/>
      </w:r>
    </w:p>
    <w:p w14:paraId="44507273" w14:textId="0C416774" w:rsidR="00A561BF" w:rsidRPr="00450A37" w:rsidRDefault="00A561BF" w:rsidP="00486231">
      <w:pPr>
        <w:pStyle w:val="EYBodytextwithparaspace"/>
        <w:spacing w:before="120"/>
        <w:rPr>
          <w:rFonts w:ascii="EYInterstate" w:hAnsi="EYInterstate"/>
          <w:sz w:val="24"/>
          <w:szCs w:val="24"/>
        </w:rPr>
      </w:pPr>
      <w:r w:rsidRPr="00450A37">
        <w:rPr>
          <w:rFonts w:ascii="EYInterstate" w:hAnsi="EYInterstate"/>
          <w:sz w:val="24"/>
          <w:szCs w:val="24"/>
        </w:rPr>
        <w:lastRenderedPageBreak/>
        <w:t>An open access scheme could generate broad-based economic gains for the country</w:t>
      </w:r>
    </w:p>
    <w:p w14:paraId="558CFEF4" w14:textId="77777777" w:rsidR="00E46529" w:rsidRDefault="00E46529" w:rsidP="00353B3B">
      <w:pPr>
        <w:pStyle w:val="EYBodytextwithoutparaspace"/>
      </w:pPr>
      <w:r>
        <w:t>B</w:t>
      </w:r>
      <w:r w:rsidRPr="00E65260">
        <w:t xml:space="preserve">y </w:t>
      </w:r>
      <w:r>
        <w:t xml:space="preserve">making </w:t>
      </w:r>
      <w:r w:rsidRPr="00EB4DDB">
        <w:t xml:space="preserve">science </w:t>
      </w:r>
      <w:r>
        <w:t xml:space="preserve">and research </w:t>
      </w:r>
      <w:r w:rsidRPr="00EB4DDB">
        <w:t>more transparent and accessible to all</w:t>
      </w:r>
      <w:r>
        <w:t xml:space="preserve">, not just academics and researchers, the scheme could provide a range of new economic and social </w:t>
      </w:r>
      <w:r w:rsidRPr="00E65260">
        <w:t>opportunities</w:t>
      </w:r>
      <w:r>
        <w:t xml:space="preserve"> for the country:</w:t>
      </w:r>
    </w:p>
    <w:p w14:paraId="1D1DC04B" w14:textId="28372693" w:rsidR="00E46529" w:rsidRDefault="00E46529" w:rsidP="00353B3B">
      <w:pPr>
        <w:pStyle w:val="EYBodytextwithoutparaspace"/>
        <w:numPr>
          <w:ilvl w:val="0"/>
          <w:numId w:val="42"/>
        </w:numPr>
        <w:ind w:left="426" w:hanging="426"/>
      </w:pPr>
      <w:r w:rsidRPr="00EE145C">
        <w:rPr>
          <w:b/>
          <w:bCs/>
        </w:rPr>
        <w:t>Enhancing productivity</w:t>
      </w:r>
      <w:r>
        <w:t xml:space="preserve"> — Australia’s productivity performance, which is critical to long-term living standards, has been growing more slowly than in decades prior. Increasing access to academic research for all Australian businesses, especially SMEs and innovation-intensive enterprises, can help drive greater research and development, and support </w:t>
      </w:r>
      <w:r w:rsidR="00123877">
        <w:t>b</w:t>
      </w:r>
      <w:r w:rsidR="00942B5D">
        <w:t>usinesses to</w:t>
      </w:r>
      <w:r>
        <w:t xml:space="preserve"> find faster, less costly and less resource-intensive ways of doing things. Access to cutting-edge research allows businesses to stay ahead of new developments and remain competitive.</w:t>
      </w:r>
    </w:p>
    <w:p w14:paraId="1966B512" w14:textId="01862881" w:rsidR="00E46529" w:rsidRDefault="00E46529" w:rsidP="00353B3B">
      <w:pPr>
        <w:pStyle w:val="EYBodytextwithoutparaspace"/>
        <w:numPr>
          <w:ilvl w:val="0"/>
          <w:numId w:val="42"/>
        </w:numPr>
        <w:ind w:left="426" w:hanging="426"/>
      </w:pPr>
      <w:r w:rsidRPr="00EE145C">
        <w:rPr>
          <w:b/>
          <w:bCs/>
        </w:rPr>
        <w:t>Driving our knowledge economy</w:t>
      </w:r>
      <w:r w:rsidRPr="00D5519C">
        <w:t xml:space="preserve"> </w:t>
      </w:r>
      <w:r>
        <w:t>— Australia’s economy, like much of the world, is becoming more knowledge-intensive.</w:t>
      </w:r>
      <w:r w:rsidRPr="006C456F">
        <w:t xml:space="preserve"> </w:t>
      </w:r>
      <w:r>
        <w:t xml:space="preserve">The ability to create, absorb and apply new knowledge is an increasingly important driver of business success and broader economic dynamism. An open access </w:t>
      </w:r>
      <w:r w:rsidR="0068087E">
        <w:t>scheme</w:t>
      </w:r>
      <w:r>
        <w:t xml:space="preserve"> would build the nation’s knowledge base and support researchers, businesses and citizens translate this knowledge into new ideas and innovations. </w:t>
      </w:r>
    </w:p>
    <w:p w14:paraId="143D3362" w14:textId="3E6D9A99" w:rsidR="00E46529" w:rsidRDefault="00E46529" w:rsidP="00353B3B">
      <w:pPr>
        <w:pStyle w:val="EYBodytextwithoutparaspace"/>
        <w:numPr>
          <w:ilvl w:val="0"/>
          <w:numId w:val="42"/>
        </w:numPr>
        <w:ind w:left="426" w:hanging="426"/>
      </w:pPr>
      <w:r w:rsidRPr="00EE145C">
        <w:rPr>
          <w:b/>
          <w:bCs/>
        </w:rPr>
        <w:t>Building capabilities for policymakers</w:t>
      </w:r>
      <w:r>
        <w:t xml:space="preserve"> — All levels of government typically face constraints accessing academic </w:t>
      </w:r>
      <w:r w:rsidR="00282876">
        <w:t>papers</w:t>
      </w:r>
      <w:r>
        <w:t xml:space="preserve"> and the underlying research and data. A national open access scheme would support evidence-based policymaking to meet the country’s challenges in areas such as public health, climate change, agriculture, energy and social inclusion</w:t>
      </w:r>
      <w:r w:rsidR="001718C0">
        <w:t xml:space="preserve">, </w:t>
      </w:r>
      <w:r>
        <w:t xml:space="preserve">many of which were highlighted in the CSIRO’s 2022 megatrends analysis. </w:t>
      </w:r>
      <w:r w:rsidRPr="00FE351E">
        <w:t xml:space="preserve">Moreover, access to academic journals </w:t>
      </w:r>
      <w:r>
        <w:t xml:space="preserve">is critical for </w:t>
      </w:r>
      <w:r w:rsidRPr="00FE351E">
        <w:t>Australia’s defen</w:t>
      </w:r>
      <w:r>
        <w:t>ce intelligence, with current h</w:t>
      </w:r>
      <w:r w:rsidRPr="00FE351E">
        <w:t>orizon scanning</w:t>
      </w:r>
      <w:r>
        <w:t xml:space="preserve"> of critical technologies and research reliant on meta-analysis of the world’s academic journals.</w:t>
      </w:r>
    </w:p>
    <w:p w14:paraId="0AE8E0CA" w14:textId="0DD0A6FE" w:rsidR="00E46529" w:rsidRPr="00A947A2" w:rsidRDefault="00E46529" w:rsidP="00353B3B">
      <w:pPr>
        <w:pStyle w:val="EYBodytextwithoutparaspace"/>
        <w:numPr>
          <w:ilvl w:val="0"/>
          <w:numId w:val="42"/>
        </w:numPr>
        <w:ind w:left="426" w:hanging="426"/>
      </w:pPr>
      <w:r w:rsidRPr="00EE145C">
        <w:rPr>
          <w:b/>
          <w:bCs/>
        </w:rPr>
        <w:t>Empowering citizens</w:t>
      </w:r>
      <w:r>
        <w:t xml:space="preserve"> — </w:t>
      </w:r>
      <w:r w:rsidRPr="00C73348">
        <w:t>Improv</w:t>
      </w:r>
      <w:r>
        <w:t>ing</w:t>
      </w:r>
      <w:r w:rsidRPr="00C73348">
        <w:t xml:space="preserve"> citizens’ access to quality research </w:t>
      </w:r>
      <w:r>
        <w:t xml:space="preserve">can lead to important social gains. It can help develop a more engaged, inquiring and informed community. For example, a national open access scheme can foster new areas of citizen science such as environmental observation and criminology. By providing access to peer-reviewed research, the scheme can also help address the growing problem of community misinformation which is often transmitted through social media. A survey from </w:t>
      </w:r>
      <w:r w:rsidRPr="00C73348">
        <w:t>Science and Technology Australia</w:t>
      </w:r>
      <w:r>
        <w:t xml:space="preserve"> indicates that Australians overwhelmingly value and trust science and there is a clear need for credible, accurate and verifiable sources of scientific information.</w:t>
      </w:r>
      <w:r w:rsidRPr="00353B3B">
        <w:rPr>
          <w:vertAlign w:val="superscript"/>
        </w:rPr>
        <w:footnoteReference w:id="3"/>
      </w:r>
      <w:r w:rsidRPr="00353B3B">
        <w:rPr>
          <w:vertAlign w:val="superscript"/>
        </w:rPr>
        <w:t xml:space="preserve"> </w:t>
      </w:r>
    </w:p>
    <w:p w14:paraId="49AF3EB0" w14:textId="133B71C8" w:rsidR="00A947A2" w:rsidRPr="00486231" w:rsidRDefault="00A561BF" w:rsidP="00353B3B">
      <w:pPr>
        <w:pStyle w:val="EYBodytextwithoutparaspace"/>
      </w:pPr>
      <w:r w:rsidRPr="00486231">
        <w:t>High-level estimates of the preferred national open access model suggest the initiative could deliver an economic dividend for the nation. Over the longer term, once the scheme is fully embedded as a national resource, it is estimated that national economic output could increase between $</w:t>
      </w:r>
      <w:r w:rsidR="00EA5B7F" w:rsidRPr="00486231">
        <w:t>18</w:t>
      </w:r>
      <w:r w:rsidRPr="00486231">
        <w:t xml:space="preserve"> billion and $</w:t>
      </w:r>
      <w:r w:rsidR="00EA5B7F" w:rsidRPr="00486231">
        <w:t>36</w:t>
      </w:r>
      <w:r w:rsidRPr="00486231">
        <w:t xml:space="preserve"> billion </w:t>
      </w:r>
      <w:r w:rsidR="00EA5B7F" w:rsidRPr="00486231">
        <w:t>by</w:t>
      </w:r>
      <w:r w:rsidRPr="00486231">
        <w:t xml:space="preserve"> 2050 (see </w:t>
      </w:r>
      <w:r w:rsidR="00434FA9">
        <w:fldChar w:fldCharType="begin"/>
      </w:r>
      <w:r w:rsidR="00434FA9">
        <w:instrText xml:space="preserve"> REF _Ref115691427 \h </w:instrText>
      </w:r>
      <w:r w:rsidR="00434FA9">
        <w:fldChar w:fldCharType="separate"/>
      </w:r>
      <w:r w:rsidR="008112E6">
        <w:t xml:space="preserve">Figure </w:t>
      </w:r>
      <w:r w:rsidR="008112E6">
        <w:rPr>
          <w:noProof/>
        </w:rPr>
        <w:t>1</w:t>
      </w:r>
      <w:r w:rsidR="00434FA9">
        <w:fldChar w:fldCharType="end"/>
      </w:r>
      <w:r w:rsidRPr="00486231">
        <w:t xml:space="preserve">). Further, open access could stimulate new investment and employment opportunities across all sectors. </w:t>
      </w:r>
    </w:p>
    <w:p w14:paraId="5D4391AC" w14:textId="2C44AE34" w:rsidR="00A561BF" w:rsidRPr="00486231" w:rsidRDefault="00A561BF" w:rsidP="00353B3B">
      <w:pPr>
        <w:pStyle w:val="EYBodytextwithoutparaspace"/>
      </w:pPr>
      <w:r w:rsidRPr="00486231">
        <w:t>Table 1 shows the potential gains to investment, employment and GDP over the next 30 years. The economic benefits from the scheme are likely to increase over time as businesses and individuals fully capitalise on their access to leading academic research.</w:t>
      </w:r>
    </w:p>
    <w:p w14:paraId="043862E8" w14:textId="69ADB0DB" w:rsidR="00A561BF" w:rsidRDefault="00A561BF" w:rsidP="00FA1452">
      <w:pPr>
        <w:pStyle w:val="Caption"/>
        <w:keepNext/>
      </w:pPr>
      <w:bookmarkStart w:id="7" w:name="_Ref115691427"/>
      <w:r>
        <w:lastRenderedPageBreak/>
        <w:t xml:space="preserve">Figure </w:t>
      </w:r>
      <w:r w:rsidR="0029059A">
        <w:fldChar w:fldCharType="begin"/>
      </w:r>
      <w:r w:rsidR="0029059A">
        <w:instrText xml:space="preserve"> SEQ Figure \* ARABIC </w:instrText>
      </w:r>
      <w:r w:rsidR="0029059A">
        <w:fldChar w:fldCharType="separate"/>
      </w:r>
      <w:r w:rsidR="008112E6">
        <w:rPr>
          <w:noProof/>
        </w:rPr>
        <w:t>1</w:t>
      </w:r>
      <w:r w:rsidR="0029059A">
        <w:fldChar w:fldCharType="end"/>
      </w:r>
      <w:bookmarkEnd w:id="7"/>
      <w:r>
        <w:t>: Potential increases in economic output gains from open access</w:t>
      </w:r>
    </w:p>
    <w:p w14:paraId="02371595" w14:textId="3AAAC3CE" w:rsidR="00A561BF" w:rsidRDefault="00FA1452" w:rsidP="00A577AC">
      <w:pPr>
        <w:pStyle w:val="EYBodytextwithparaspace"/>
      </w:pPr>
      <w:r>
        <w:rPr>
          <w:noProof/>
        </w:rPr>
        <w:drawing>
          <wp:inline distT="0" distB="0" distL="0" distR="0" wp14:anchorId="01415029" wp14:editId="68FFE3DA">
            <wp:extent cx="5683250" cy="3126740"/>
            <wp:effectExtent l="0" t="0" r="0" b="0"/>
            <wp:docPr id="682" name="Chart 682" descr="A line graph showing the potential increased economic output (GDP in millions of dollars) from 2020 to 2050 for both a low scenario and high scenario. ">
              <a:extLst xmlns:a="http://schemas.openxmlformats.org/drawingml/2006/main">
                <a:ext uri="{FF2B5EF4-FFF2-40B4-BE49-F238E27FC236}">
                  <a16:creationId xmlns:a16="http://schemas.microsoft.com/office/drawing/2014/main" id="{F86CCE46-F990-4C88-8094-AA7276AF93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3A35BC" w14:textId="7534EE5D" w:rsidR="00A561BF" w:rsidRDefault="00A561BF" w:rsidP="00CD71AD">
      <w:pPr>
        <w:pStyle w:val="Caption"/>
      </w:pPr>
      <w:r>
        <w:t>Source: EY analysis</w:t>
      </w:r>
    </w:p>
    <w:p w14:paraId="0B8E1585" w14:textId="77777777" w:rsidR="00CD71AD" w:rsidRDefault="00CD71AD" w:rsidP="00CD71AD"/>
    <w:p w14:paraId="574F8E0E" w14:textId="77777777" w:rsidR="00353B3B" w:rsidRPr="00CD71AD" w:rsidRDefault="00353B3B" w:rsidP="00CD71AD"/>
    <w:p w14:paraId="362C3C33" w14:textId="52982EA3" w:rsidR="00A561BF" w:rsidRDefault="00A561BF" w:rsidP="00A561BF">
      <w:pPr>
        <w:pStyle w:val="Caption"/>
        <w:keepNext/>
      </w:pPr>
      <w:r>
        <w:t xml:space="preserve">Table </w:t>
      </w:r>
      <w:r>
        <w:fldChar w:fldCharType="begin"/>
      </w:r>
      <w:r>
        <w:instrText xml:space="preserve"> SEQ Table \* ARABIC </w:instrText>
      </w:r>
      <w:r>
        <w:fldChar w:fldCharType="separate"/>
      </w:r>
      <w:r w:rsidR="008112E6">
        <w:rPr>
          <w:noProof/>
        </w:rPr>
        <w:t>1</w:t>
      </w:r>
      <w:r>
        <w:fldChar w:fldCharType="end"/>
      </w:r>
      <w:r>
        <w:t>: Potential economic benefits from a national open access scheme</w:t>
      </w:r>
    </w:p>
    <w:tbl>
      <w:tblPr>
        <w:tblStyle w:val="TableGrid"/>
        <w:tblW w:w="5000" w:type="pct"/>
        <w:tblBorders>
          <w:top w:val="none" w:sz="0" w:space="0" w:color="auto"/>
          <w:left w:val="none" w:sz="0" w:space="0" w:color="auto"/>
          <w:bottom w:val="none" w:sz="0" w:space="0" w:color="auto"/>
          <w:right w:val="none" w:sz="0" w:space="0" w:color="auto"/>
          <w:insideH w:val="single" w:sz="4" w:space="0" w:color="787890" w:themeColor="text1" w:themeTint="99"/>
          <w:insideV w:val="none" w:sz="0" w:space="0" w:color="auto"/>
        </w:tblBorders>
        <w:tblLook w:val="04A0" w:firstRow="1" w:lastRow="0" w:firstColumn="1" w:lastColumn="0" w:noHBand="0" w:noVBand="1"/>
      </w:tblPr>
      <w:tblGrid>
        <w:gridCol w:w="2248"/>
        <w:gridCol w:w="2261"/>
        <w:gridCol w:w="2261"/>
        <w:gridCol w:w="2259"/>
      </w:tblGrid>
      <w:tr w:rsidR="007F1D8C" w:rsidRPr="000A1CAC" w14:paraId="7B151BCE" w14:textId="77777777" w:rsidTr="000A1CAC">
        <w:trPr>
          <w:trHeight w:val="287"/>
        </w:trPr>
        <w:tc>
          <w:tcPr>
            <w:tcW w:w="1245" w:type="pct"/>
            <w:shd w:val="clear" w:color="auto" w:fill="787890" w:themeFill="text1" w:themeFillTint="99"/>
            <w:vAlign w:val="center"/>
          </w:tcPr>
          <w:p w14:paraId="5A0E2E44" w14:textId="77777777" w:rsidR="00A561BF" w:rsidRPr="000A1CAC" w:rsidRDefault="00A561BF" w:rsidP="00024522">
            <w:pPr>
              <w:spacing w:before="40" w:after="40" w:line="280" w:lineRule="atLeast"/>
              <w:rPr>
                <w:rFonts w:ascii="EYInterstate Light" w:hAnsi="EYInterstate Light"/>
                <w:b/>
                <w:color w:val="FFFFFF" w:themeColor="background1"/>
              </w:rPr>
            </w:pPr>
            <w:r w:rsidRPr="000A1CAC">
              <w:rPr>
                <w:rFonts w:ascii="EYInterstate Light" w:hAnsi="EYInterstate Light"/>
                <w:b/>
                <w:color w:val="FFFFFF" w:themeColor="background1"/>
              </w:rPr>
              <w:t>Year</w:t>
            </w:r>
          </w:p>
        </w:tc>
        <w:tc>
          <w:tcPr>
            <w:tcW w:w="1252" w:type="pct"/>
            <w:shd w:val="clear" w:color="auto" w:fill="787890" w:themeFill="text1" w:themeFillTint="99"/>
            <w:vAlign w:val="center"/>
          </w:tcPr>
          <w:p w14:paraId="6D11DA51" w14:textId="1D7B7CC7" w:rsidR="00A561BF" w:rsidRPr="000A1CAC" w:rsidRDefault="00A561BF" w:rsidP="002D4F33">
            <w:pPr>
              <w:spacing w:before="40" w:after="40" w:line="280" w:lineRule="atLeast"/>
              <w:jc w:val="right"/>
              <w:rPr>
                <w:rFonts w:ascii="EYInterstate Light" w:hAnsi="EYInterstate Light"/>
                <w:b/>
                <w:color w:val="FFFFFF" w:themeColor="background1"/>
              </w:rPr>
            </w:pPr>
            <w:r w:rsidRPr="000A1CAC">
              <w:rPr>
                <w:rFonts w:ascii="EYInterstate Light" w:hAnsi="EYInterstate Light"/>
                <w:b/>
                <w:color w:val="FFFFFF" w:themeColor="background1"/>
              </w:rPr>
              <w:t xml:space="preserve">GDP ($ </w:t>
            </w:r>
            <w:r w:rsidR="00E6166C" w:rsidRPr="000A1CAC">
              <w:rPr>
                <w:rFonts w:ascii="EYInterstate Light" w:hAnsi="EYInterstate Light"/>
                <w:b/>
                <w:color w:val="FFFFFF" w:themeColor="background1"/>
              </w:rPr>
              <w:t>m</w:t>
            </w:r>
            <w:r w:rsidR="002140D9" w:rsidRPr="000A1CAC">
              <w:rPr>
                <w:rFonts w:ascii="EYInterstate Light" w:hAnsi="EYInterstate Light"/>
                <w:b/>
                <w:color w:val="FFFFFF" w:themeColor="background1"/>
              </w:rPr>
              <w:t>illions</w:t>
            </w:r>
            <w:r w:rsidRPr="000A1CAC">
              <w:rPr>
                <w:rFonts w:ascii="EYInterstate Light" w:hAnsi="EYInterstate Light"/>
                <w:b/>
                <w:color w:val="FFFFFF" w:themeColor="background1"/>
              </w:rPr>
              <w:t>)</w:t>
            </w:r>
          </w:p>
        </w:tc>
        <w:tc>
          <w:tcPr>
            <w:tcW w:w="1252" w:type="pct"/>
            <w:shd w:val="clear" w:color="auto" w:fill="787890" w:themeFill="text1" w:themeFillTint="99"/>
            <w:vAlign w:val="center"/>
          </w:tcPr>
          <w:p w14:paraId="60F139AE" w14:textId="77777777" w:rsidR="00A561BF" w:rsidRPr="000A1CAC" w:rsidRDefault="00A561BF" w:rsidP="002D4F33">
            <w:pPr>
              <w:spacing w:before="40" w:after="40" w:line="280" w:lineRule="atLeast"/>
              <w:jc w:val="right"/>
              <w:rPr>
                <w:rFonts w:ascii="EYInterstate Light" w:hAnsi="EYInterstate Light"/>
                <w:b/>
                <w:color w:val="FFFFFF" w:themeColor="background1"/>
              </w:rPr>
            </w:pPr>
            <w:r w:rsidRPr="000A1CAC">
              <w:rPr>
                <w:rFonts w:ascii="EYInterstate Light" w:hAnsi="EYInterstate Light"/>
                <w:b/>
                <w:color w:val="FFFFFF" w:themeColor="background1"/>
              </w:rPr>
              <w:t>Investment ($ million)</w:t>
            </w:r>
          </w:p>
        </w:tc>
        <w:tc>
          <w:tcPr>
            <w:tcW w:w="1251" w:type="pct"/>
            <w:shd w:val="clear" w:color="auto" w:fill="787890" w:themeFill="text1" w:themeFillTint="99"/>
            <w:vAlign w:val="center"/>
          </w:tcPr>
          <w:p w14:paraId="213EA38D" w14:textId="77777777" w:rsidR="00A561BF" w:rsidRPr="000A1CAC" w:rsidRDefault="00A561BF" w:rsidP="002D4F33">
            <w:pPr>
              <w:spacing w:before="40" w:after="40" w:line="280" w:lineRule="atLeast"/>
              <w:jc w:val="right"/>
              <w:rPr>
                <w:rFonts w:ascii="EYInterstate Light" w:hAnsi="EYInterstate Light"/>
                <w:b/>
                <w:color w:val="FFFFFF" w:themeColor="background1"/>
              </w:rPr>
            </w:pPr>
            <w:r w:rsidRPr="000A1CAC">
              <w:rPr>
                <w:rFonts w:ascii="EYInterstate Light" w:hAnsi="EYInterstate Light"/>
                <w:b/>
                <w:color w:val="FFFFFF" w:themeColor="background1"/>
              </w:rPr>
              <w:t>Employment (FTE)</w:t>
            </w:r>
          </w:p>
        </w:tc>
      </w:tr>
      <w:tr w:rsidR="00A561BF" w:rsidRPr="00BC18B3" w14:paraId="6A8E28B2" w14:textId="77777777" w:rsidTr="007F1D8C">
        <w:trPr>
          <w:trHeight w:val="407"/>
        </w:trPr>
        <w:tc>
          <w:tcPr>
            <w:tcW w:w="1245" w:type="pct"/>
            <w:vAlign w:val="center"/>
          </w:tcPr>
          <w:p w14:paraId="73D8A7E4" w14:textId="77777777" w:rsidR="00A561BF" w:rsidRPr="000A1CAC" w:rsidRDefault="00A561BF" w:rsidP="00024522">
            <w:pPr>
              <w:spacing w:line="280" w:lineRule="atLeast"/>
              <w:rPr>
                <w:rFonts w:ascii="EYInterstate Light" w:hAnsi="EYInterstate Light"/>
                <w:color w:val="000000" w:themeColor="background2"/>
                <w:sz w:val="18"/>
                <w:szCs w:val="18"/>
              </w:rPr>
            </w:pPr>
            <w:r w:rsidRPr="000A1CAC">
              <w:rPr>
                <w:rFonts w:ascii="EYInterstate Light" w:hAnsi="EYInterstate Light"/>
                <w:color w:val="000000" w:themeColor="background2"/>
                <w:sz w:val="18"/>
                <w:szCs w:val="18"/>
              </w:rPr>
              <w:t xml:space="preserve">2030 </w:t>
            </w:r>
          </w:p>
        </w:tc>
        <w:tc>
          <w:tcPr>
            <w:tcW w:w="1252" w:type="pct"/>
            <w:vAlign w:val="center"/>
          </w:tcPr>
          <w:p w14:paraId="59ADD1FC" w14:textId="24DD0F51" w:rsidR="00A561BF" w:rsidRPr="00CC4FD6" w:rsidRDefault="00A561BF" w:rsidP="004845BB">
            <w:pPr>
              <w:spacing w:line="280" w:lineRule="atLeast"/>
              <w:jc w:val="right"/>
              <w:rPr>
                <w:rFonts w:ascii="EYInterstate Light" w:hAnsi="EYInterstate Light"/>
                <w:color w:val="000000" w:themeColor="background2"/>
                <w:sz w:val="18"/>
                <w:szCs w:val="18"/>
              </w:rPr>
            </w:pPr>
            <w:r w:rsidRPr="00CC4FD6">
              <w:rPr>
                <w:rFonts w:ascii="EYInterstate Light" w:hAnsi="EYInterstate Light"/>
                <w:color w:val="000000" w:themeColor="background2"/>
                <w:sz w:val="18"/>
                <w:szCs w:val="18"/>
              </w:rPr>
              <w:t>$</w:t>
            </w:r>
            <w:r w:rsidR="005570C7">
              <w:rPr>
                <w:rFonts w:ascii="EYInterstate Light" w:hAnsi="EYInterstate Light"/>
                <w:color w:val="000000" w:themeColor="background2"/>
                <w:sz w:val="18"/>
                <w:szCs w:val="18"/>
              </w:rPr>
              <w:t>1,</w:t>
            </w:r>
            <w:r w:rsidR="00D5144E">
              <w:rPr>
                <w:rFonts w:ascii="EYInterstate Light" w:hAnsi="EYInterstate Light"/>
                <w:color w:val="000000" w:themeColor="background2"/>
                <w:sz w:val="18"/>
                <w:szCs w:val="18"/>
              </w:rPr>
              <w:t>100 – $</w:t>
            </w:r>
            <w:r w:rsidR="00FC58F3">
              <w:rPr>
                <w:rFonts w:ascii="EYInterstate Light" w:hAnsi="EYInterstate Light"/>
                <w:color w:val="000000" w:themeColor="background2"/>
                <w:sz w:val="18"/>
                <w:szCs w:val="18"/>
              </w:rPr>
              <w:t>2,</w:t>
            </w:r>
            <w:r w:rsidR="00484C50">
              <w:rPr>
                <w:rFonts w:ascii="EYInterstate Light" w:hAnsi="EYInterstate Light"/>
                <w:color w:val="000000" w:themeColor="background2"/>
                <w:sz w:val="18"/>
                <w:szCs w:val="18"/>
              </w:rPr>
              <w:t>3</w:t>
            </w:r>
            <w:r w:rsidR="00FC58F3">
              <w:rPr>
                <w:rFonts w:ascii="EYInterstate Light" w:hAnsi="EYInterstate Light"/>
                <w:color w:val="000000" w:themeColor="background2"/>
                <w:sz w:val="18"/>
                <w:szCs w:val="18"/>
              </w:rPr>
              <w:t>00</w:t>
            </w:r>
            <w:r w:rsidRPr="00CC4FD6">
              <w:rPr>
                <w:rFonts w:ascii="EYInterstate Light" w:hAnsi="EYInterstate Light"/>
                <w:color w:val="000000" w:themeColor="background2"/>
                <w:sz w:val="18"/>
                <w:szCs w:val="18"/>
              </w:rPr>
              <w:t xml:space="preserve"> </w:t>
            </w:r>
          </w:p>
        </w:tc>
        <w:tc>
          <w:tcPr>
            <w:tcW w:w="1252" w:type="pct"/>
            <w:vAlign w:val="center"/>
          </w:tcPr>
          <w:p w14:paraId="7C5D89A2" w14:textId="4F18E89D" w:rsidR="00A561BF" w:rsidRPr="00CC4FD6" w:rsidRDefault="00A561BF" w:rsidP="004845BB">
            <w:pPr>
              <w:spacing w:line="280" w:lineRule="atLeast"/>
              <w:jc w:val="right"/>
              <w:rPr>
                <w:rFonts w:ascii="EYInterstate Light" w:hAnsi="EYInterstate Light"/>
                <w:color w:val="000000" w:themeColor="background2"/>
                <w:sz w:val="18"/>
                <w:szCs w:val="18"/>
              </w:rPr>
            </w:pPr>
            <w:r w:rsidRPr="00CC4FD6">
              <w:rPr>
                <w:rFonts w:ascii="EYInterstate Light" w:hAnsi="EYInterstate Light"/>
                <w:color w:val="000000" w:themeColor="background2"/>
                <w:sz w:val="18"/>
                <w:szCs w:val="18"/>
              </w:rPr>
              <w:t>$</w:t>
            </w:r>
            <w:r w:rsidR="00CF0A37">
              <w:rPr>
                <w:rFonts w:ascii="EYInterstate Light" w:hAnsi="EYInterstate Light"/>
                <w:color w:val="000000" w:themeColor="background2"/>
                <w:sz w:val="18"/>
                <w:szCs w:val="18"/>
              </w:rPr>
              <w:t>700 – $1,400</w:t>
            </w:r>
            <w:r w:rsidRPr="00CC4FD6">
              <w:rPr>
                <w:rFonts w:ascii="EYInterstate Light" w:hAnsi="EYInterstate Light"/>
                <w:color w:val="000000" w:themeColor="background2"/>
                <w:sz w:val="18"/>
                <w:szCs w:val="18"/>
              </w:rPr>
              <w:t xml:space="preserve"> </w:t>
            </w:r>
          </w:p>
        </w:tc>
        <w:tc>
          <w:tcPr>
            <w:tcW w:w="1251" w:type="pct"/>
            <w:vAlign w:val="center"/>
          </w:tcPr>
          <w:p w14:paraId="2B760AEE" w14:textId="5CE5985A" w:rsidR="00A561BF" w:rsidRPr="00CC4FD6" w:rsidRDefault="0079671A" w:rsidP="004845BB">
            <w:pPr>
              <w:spacing w:line="280" w:lineRule="atLeast"/>
              <w:jc w:val="right"/>
              <w:rPr>
                <w:rFonts w:ascii="EYInterstate Light" w:hAnsi="EYInterstate Light"/>
                <w:color w:val="000000" w:themeColor="background2"/>
                <w:sz w:val="18"/>
                <w:szCs w:val="18"/>
              </w:rPr>
            </w:pPr>
            <w:r>
              <w:rPr>
                <w:rFonts w:ascii="EYInterstate Light" w:hAnsi="EYInterstate Light"/>
                <w:color w:val="000000" w:themeColor="background2"/>
                <w:sz w:val="18"/>
                <w:szCs w:val="18"/>
              </w:rPr>
              <w:t>520 – 1,030</w:t>
            </w:r>
          </w:p>
        </w:tc>
      </w:tr>
      <w:tr w:rsidR="00A561BF" w:rsidRPr="00BC18B3" w14:paraId="0934534D" w14:textId="77777777" w:rsidTr="000A1CAC">
        <w:trPr>
          <w:trHeight w:val="407"/>
        </w:trPr>
        <w:tc>
          <w:tcPr>
            <w:tcW w:w="1245" w:type="pct"/>
            <w:tcBorders>
              <w:bottom w:val="single" w:sz="4" w:space="0" w:color="787890" w:themeColor="text1" w:themeTint="99"/>
            </w:tcBorders>
            <w:vAlign w:val="center"/>
          </w:tcPr>
          <w:p w14:paraId="6ABC2581" w14:textId="77777777" w:rsidR="00A561BF" w:rsidRPr="000A1CAC" w:rsidRDefault="00A561BF" w:rsidP="00024522">
            <w:pPr>
              <w:spacing w:line="280" w:lineRule="atLeast"/>
              <w:rPr>
                <w:rFonts w:ascii="EYInterstate Light" w:hAnsi="EYInterstate Light"/>
                <w:color w:val="000000" w:themeColor="background2"/>
                <w:sz w:val="18"/>
                <w:szCs w:val="18"/>
              </w:rPr>
            </w:pPr>
            <w:r w:rsidRPr="000A1CAC">
              <w:rPr>
                <w:rFonts w:ascii="EYInterstate Light" w:hAnsi="EYInterstate Light"/>
                <w:color w:val="000000" w:themeColor="background2"/>
                <w:sz w:val="18"/>
                <w:szCs w:val="18"/>
              </w:rPr>
              <w:t xml:space="preserve">2040 </w:t>
            </w:r>
          </w:p>
        </w:tc>
        <w:tc>
          <w:tcPr>
            <w:tcW w:w="1252" w:type="pct"/>
            <w:tcBorders>
              <w:bottom w:val="single" w:sz="4" w:space="0" w:color="787890" w:themeColor="text1" w:themeTint="99"/>
            </w:tcBorders>
            <w:vAlign w:val="center"/>
          </w:tcPr>
          <w:p w14:paraId="4EF7B4D5" w14:textId="7C7317A6" w:rsidR="00A561BF" w:rsidRPr="00CC4FD6" w:rsidRDefault="00A561BF" w:rsidP="004845BB">
            <w:pPr>
              <w:spacing w:line="280" w:lineRule="atLeast"/>
              <w:jc w:val="right"/>
              <w:rPr>
                <w:rFonts w:ascii="EYInterstate Light" w:hAnsi="EYInterstate Light"/>
                <w:color w:val="000000" w:themeColor="background2"/>
                <w:sz w:val="18"/>
                <w:szCs w:val="18"/>
              </w:rPr>
            </w:pPr>
            <w:r w:rsidRPr="00CC4FD6">
              <w:rPr>
                <w:rFonts w:ascii="EYInterstate Light" w:hAnsi="EYInterstate Light"/>
                <w:color w:val="000000" w:themeColor="background2"/>
                <w:sz w:val="18"/>
                <w:szCs w:val="18"/>
              </w:rPr>
              <w:t>$</w:t>
            </w:r>
            <w:r w:rsidR="00484C50">
              <w:rPr>
                <w:rFonts w:ascii="EYInterstate Light" w:hAnsi="EYInterstate Light"/>
                <w:color w:val="000000" w:themeColor="background2"/>
                <w:sz w:val="18"/>
                <w:szCs w:val="18"/>
              </w:rPr>
              <w:t>7,0</w:t>
            </w:r>
            <w:r>
              <w:rPr>
                <w:rFonts w:ascii="EYInterstate Light" w:hAnsi="EYInterstate Light"/>
                <w:color w:val="000000" w:themeColor="background2"/>
                <w:sz w:val="18"/>
                <w:szCs w:val="18"/>
              </w:rPr>
              <w:t>00</w:t>
            </w:r>
            <w:r w:rsidRPr="00CC4FD6">
              <w:rPr>
                <w:rFonts w:ascii="EYInterstate Light" w:hAnsi="EYInterstate Light"/>
                <w:color w:val="000000" w:themeColor="background2"/>
                <w:sz w:val="18"/>
                <w:szCs w:val="18"/>
              </w:rPr>
              <w:t xml:space="preserve"> </w:t>
            </w:r>
            <w:r w:rsidR="00484C50">
              <w:rPr>
                <w:rFonts w:ascii="EYInterstate Light" w:hAnsi="EYInterstate Light"/>
                <w:color w:val="000000" w:themeColor="background2"/>
                <w:sz w:val="18"/>
                <w:szCs w:val="18"/>
              </w:rPr>
              <w:t xml:space="preserve">– </w:t>
            </w:r>
            <w:r w:rsidRPr="00CC4FD6">
              <w:rPr>
                <w:rFonts w:ascii="EYInterstate Light" w:hAnsi="EYInterstate Light"/>
                <w:color w:val="000000" w:themeColor="background2"/>
                <w:sz w:val="18"/>
                <w:szCs w:val="18"/>
              </w:rPr>
              <w:t>$</w:t>
            </w:r>
            <w:r w:rsidR="00484C50">
              <w:rPr>
                <w:rFonts w:ascii="EYInterstate Light" w:hAnsi="EYInterstate Light"/>
                <w:color w:val="000000" w:themeColor="background2"/>
                <w:sz w:val="18"/>
                <w:szCs w:val="18"/>
              </w:rPr>
              <w:t>14,0</w:t>
            </w:r>
            <w:r>
              <w:rPr>
                <w:rFonts w:ascii="EYInterstate Light" w:hAnsi="EYInterstate Light"/>
                <w:color w:val="000000" w:themeColor="background2"/>
                <w:sz w:val="18"/>
                <w:szCs w:val="18"/>
              </w:rPr>
              <w:t>00</w:t>
            </w:r>
            <w:r w:rsidRPr="00CC4FD6">
              <w:rPr>
                <w:rFonts w:ascii="EYInterstate Light" w:hAnsi="EYInterstate Light"/>
                <w:color w:val="000000" w:themeColor="background2"/>
                <w:sz w:val="18"/>
                <w:szCs w:val="18"/>
              </w:rPr>
              <w:t xml:space="preserve"> </w:t>
            </w:r>
          </w:p>
        </w:tc>
        <w:tc>
          <w:tcPr>
            <w:tcW w:w="1252" w:type="pct"/>
            <w:tcBorders>
              <w:bottom w:val="single" w:sz="4" w:space="0" w:color="787890" w:themeColor="text1" w:themeTint="99"/>
            </w:tcBorders>
            <w:vAlign w:val="center"/>
          </w:tcPr>
          <w:p w14:paraId="0FE12999" w14:textId="467131C5" w:rsidR="00A561BF" w:rsidRPr="00CC4FD6" w:rsidRDefault="00A561BF" w:rsidP="004845BB">
            <w:pPr>
              <w:spacing w:line="280" w:lineRule="atLeast"/>
              <w:jc w:val="right"/>
              <w:rPr>
                <w:rFonts w:ascii="EYInterstate Light" w:hAnsi="EYInterstate Light"/>
                <w:color w:val="000000" w:themeColor="background2"/>
                <w:sz w:val="18"/>
                <w:szCs w:val="18"/>
              </w:rPr>
            </w:pPr>
            <w:r w:rsidRPr="00CC4FD6">
              <w:rPr>
                <w:rFonts w:ascii="EYInterstate Light" w:hAnsi="EYInterstate Light"/>
                <w:color w:val="000000" w:themeColor="background2"/>
                <w:sz w:val="18"/>
                <w:szCs w:val="18"/>
              </w:rPr>
              <w:t>$</w:t>
            </w:r>
            <w:r w:rsidR="00CF0A37">
              <w:rPr>
                <w:rFonts w:ascii="EYInterstate Light" w:hAnsi="EYInterstate Light"/>
                <w:color w:val="000000" w:themeColor="background2"/>
                <w:sz w:val="18"/>
                <w:szCs w:val="18"/>
              </w:rPr>
              <w:t>3,100</w:t>
            </w:r>
            <w:r w:rsidRPr="00CC4FD6">
              <w:rPr>
                <w:rFonts w:ascii="EYInterstate Light" w:hAnsi="EYInterstate Light"/>
                <w:color w:val="000000" w:themeColor="background2"/>
                <w:sz w:val="18"/>
                <w:szCs w:val="18"/>
              </w:rPr>
              <w:t xml:space="preserve"> – $</w:t>
            </w:r>
            <w:r w:rsidR="00CF0A37">
              <w:rPr>
                <w:rFonts w:ascii="EYInterstate Light" w:hAnsi="EYInterstate Light"/>
                <w:color w:val="000000" w:themeColor="background2"/>
                <w:sz w:val="18"/>
                <w:szCs w:val="18"/>
              </w:rPr>
              <w:t>6,200</w:t>
            </w:r>
          </w:p>
        </w:tc>
        <w:tc>
          <w:tcPr>
            <w:tcW w:w="1251" w:type="pct"/>
            <w:tcBorders>
              <w:bottom w:val="single" w:sz="4" w:space="0" w:color="787890" w:themeColor="text1" w:themeTint="99"/>
            </w:tcBorders>
            <w:vAlign w:val="center"/>
          </w:tcPr>
          <w:p w14:paraId="4C057A5E" w14:textId="1006B779" w:rsidR="00A561BF" w:rsidRPr="00CC4FD6" w:rsidRDefault="00372F9B" w:rsidP="004845BB">
            <w:pPr>
              <w:spacing w:line="280" w:lineRule="atLeast"/>
              <w:jc w:val="right"/>
              <w:rPr>
                <w:rFonts w:ascii="EYInterstate Light" w:hAnsi="EYInterstate Light"/>
                <w:color w:val="000000" w:themeColor="background2"/>
                <w:sz w:val="18"/>
                <w:szCs w:val="18"/>
              </w:rPr>
            </w:pPr>
            <w:r>
              <w:rPr>
                <w:rFonts w:ascii="EYInterstate Light" w:hAnsi="EYInterstate Light"/>
                <w:color w:val="000000" w:themeColor="background2"/>
                <w:sz w:val="18"/>
                <w:szCs w:val="18"/>
              </w:rPr>
              <w:t>1,450</w:t>
            </w:r>
            <w:r w:rsidR="004845BB">
              <w:rPr>
                <w:rFonts w:ascii="EYInterstate Light" w:hAnsi="EYInterstate Light"/>
                <w:color w:val="000000" w:themeColor="background2"/>
                <w:sz w:val="18"/>
                <w:szCs w:val="18"/>
              </w:rPr>
              <w:t xml:space="preserve"> – </w:t>
            </w:r>
            <w:r>
              <w:rPr>
                <w:rFonts w:ascii="EYInterstate Light" w:hAnsi="EYInterstate Light"/>
                <w:color w:val="000000" w:themeColor="background2"/>
                <w:sz w:val="18"/>
                <w:szCs w:val="18"/>
              </w:rPr>
              <w:t>2,900</w:t>
            </w:r>
          </w:p>
        </w:tc>
      </w:tr>
      <w:tr w:rsidR="00A561BF" w:rsidRPr="00BC18B3" w14:paraId="2E6F379E" w14:textId="77777777" w:rsidTr="000A1CAC">
        <w:trPr>
          <w:trHeight w:val="407"/>
        </w:trPr>
        <w:tc>
          <w:tcPr>
            <w:tcW w:w="1245" w:type="pct"/>
            <w:tcBorders>
              <w:top w:val="single" w:sz="4" w:space="0" w:color="787890" w:themeColor="text1" w:themeTint="99"/>
              <w:bottom w:val="single" w:sz="4" w:space="0" w:color="787890" w:themeColor="text1" w:themeTint="99"/>
            </w:tcBorders>
            <w:vAlign w:val="center"/>
          </w:tcPr>
          <w:p w14:paraId="376C5AB5" w14:textId="77777777" w:rsidR="00A561BF" w:rsidRPr="000A1CAC" w:rsidRDefault="00A561BF" w:rsidP="00024522">
            <w:pPr>
              <w:spacing w:line="280" w:lineRule="atLeast"/>
              <w:rPr>
                <w:rFonts w:ascii="EYInterstate Light" w:hAnsi="EYInterstate Light"/>
                <w:color w:val="000000" w:themeColor="background2"/>
                <w:sz w:val="18"/>
                <w:szCs w:val="18"/>
              </w:rPr>
            </w:pPr>
            <w:r w:rsidRPr="000A1CAC">
              <w:rPr>
                <w:rFonts w:ascii="EYInterstate Light" w:hAnsi="EYInterstate Light"/>
                <w:color w:val="000000" w:themeColor="background2"/>
                <w:sz w:val="18"/>
                <w:szCs w:val="18"/>
              </w:rPr>
              <w:t xml:space="preserve">2050 </w:t>
            </w:r>
          </w:p>
        </w:tc>
        <w:tc>
          <w:tcPr>
            <w:tcW w:w="1252" w:type="pct"/>
            <w:tcBorders>
              <w:top w:val="single" w:sz="4" w:space="0" w:color="787890" w:themeColor="text1" w:themeTint="99"/>
              <w:bottom w:val="single" w:sz="4" w:space="0" w:color="787890" w:themeColor="text1" w:themeTint="99"/>
            </w:tcBorders>
            <w:vAlign w:val="center"/>
          </w:tcPr>
          <w:p w14:paraId="52E0B243" w14:textId="59792DC5" w:rsidR="00A561BF" w:rsidRPr="00CC4FD6" w:rsidRDefault="00A561BF" w:rsidP="004845BB">
            <w:pPr>
              <w:spacing w:line="280" w:lineRule="atLeast"/>
              <w:jc w:val="right"/>
              <w:rPr>
                <w:rFonts w:ascii="EYInterstate Light" w:hAnsi="EYInterstate Light"/>
                <w:color w:val="000000" w:themeColor="background2"/>
                <w:sz w:val="18"/>
                <w:szCs w:val="18"/>
              </w:rPr>
            </w:pPr>
            <w:r w:rsidRPr="00CC4FD6">
              <w:rPr>
                <w:rFonts w:ascii="EYInterstate Light" w:hAnsi="EYInterstate Light"/>
                <w:color w:val="000000" w:themeColor="background2"/>
                <w:sz w:val="18"/>
                <w:szCs w:val="18"/>
              </w:rPr>
              <w:t>$1</w:t>
            </w:r>
            <w:r w:rsidR="00B37BA5">
              <w:rPr>
                <w:rFonts w:ascii="EYInterstate Light" w:hAnsi="EYInterstate Light"/>
                <w:color w:val="000000" w:themeColor="background2"/>
                <w:sz w:val="18"/>
                <w:szCs w:val="18"/>
              </w:rPr>
              <w:t>8,0</w:t>
            </w:r>
            <w:r>
              <w:rPr>
                <w:rFonts w:ascii="EYInterstate Light" w:hAnsi="EYInterstate Light"/>
                <w:color w:val="000000" w:themeColor="background2"/>
                <w:sz w:val="18"/>
                <w:szCs w:val="18"/>
              </w:rPr>
              <w:t>00</w:t>
            </w:r>
            <w:r w:rsidRPr="00CC4FD6">
              <w:rPr>
                <w:rFonts w:ascii="EYInterstate Light" w:hAnsi="EYInterstate Light"/>
                <w:color w:val="000000" w:themeColor="background2"/>
                <w:sz w:val="18"/>
                <w:szCs w:val="18"/>
              </w:rPr>
              <w:t xml:space="preserve"> – </w:t>
            </w:r>
            <w:r>
              <w:rPr>
                <w:rFonts w:ascii="EYInterstate Light" w:hAnsi="EYInterstate Light"/>
                <w:color w:val="000000" w:themeColor="background2"/>
                <w:sz w:val="18"/>
                <w:szCs w:val="18"/>
              </w:rPr>
              <w:t>$</w:t>
            </w:r>
            <w:r w:rsidR="00B37BA5">
              <w:rPr>
                <w:rFonts w:ascii="EYInterstate Light" w:hAnsi="EYInterstate Light"/>
                <w:color w:val="000000" w:themeColor="background2"/>
                <w:sz w:val="18"/>
                <w:szCs w:val="18"/>
              </w:rPr>
              <w:t>36,00</w:t>
            </w:r>
            <w:r>
              <w:rPr>
                <w:rFonts w:ascii="EYInterstate Light" w:hAnsi="EYInterstate Light"/>
                <w:color w:val="000000" w:themeColor="background2"/>
                <w:sz w:val="18"/>
                <w:szCs w:val="18"/>
              </w:rPr>
              <w:t>0</w:t>
            </w:r>
            <w:r w:rsidRPr="00CC4FD6">
              <w:rPr>
                <w:rFonts w:ascii="EYInterstate Light" w:hAnsi="EYInterstate Light"/>
                <w:color w:val="000000" w:themeColor="background2"/>
                <w:sz w:val="18"/>
                <w:szCs w:val="18"/>
              </w:rPr>
              <w:t xml:space="preserve"> </w:t>
            </w:r>
          </w:p>
        </w:tc>
        <w:tc>
          <w:tcPr>
            <w:tcW w:w="1252" w:type="pct"/>
            <w:tcBorders>
              <w:top w:val="single" w:sz="4" w:space="0" w:color="787890" w:themeColor="text1" w:themeTint="99"/>
              <w:bottom w:val="single" w:sz="4" w:space="0" w:color="787890" w:themeColor="text1" w:themeTint="99"/>
            </w:tcBorders>
            <w:vAlign w:val="center"/>
          </w:tcPr>
          <w:p w14:paraId="11238C62" w14:textId="7642D2D7" w:rsidR="00A561BF" w:rsidRPr="00CC4FD6" w:rsidRDefault="00A561BF" w:rsidP="004845BB">
            <w:pPr>
              <w:spacing w:line="280" w:lineRule="atLeast"/>
              <w:jc w:val="right"/>
              <w:rPr>
                <w:rFonts w:ascii="EYInterstate Light" w:hAnsi="EYInterstate Light"/>
                <w:color w:val="000000" w:themeColor="background2"/>
                <w:sz w:val="18"/>
                <w:szCs w:val="18"/>
              </w:rPr>
            </w:pPr>
            <w:r w:rsidRPr="00CC4FD6">
              <w:rPr>
                <w:rFonts w:ascii="EYInterstate Light" w:hAnsi="EYInterstate Light"/>
                <w:color w:val="000000" w:themeColor="background2"/>
                <w:sz w:val="18"/>
                <w:szCs w:val="18"/>
              </w:rPr>
              <w:t>$</w:t>
            </w:r>
            <w:r w:rsidR="00CF0A37">
              <w:rPr>
                <w:rFonts w:ascii="EYInterstate Light" w:hAnsi="EYInterstate Light"/>
                <w:color w:val="000000" w:themeColor="background2"/>
                <w:sz w:val="18"/>
                <w:szCs w:val="18"/>
              </w:rPr>
              <w:t>6,500</w:t>
            </w:r>
            <w:r w:rsidRPr="00CC4FD6">
              <w:rPr>
                <w:rFonts w:ascii="EYInterstate Light" w:hAnsi="EYInterstate Light"/>
                <w:color w:val="000000" w:themeColor="background2"/>
                <w:sz w:val="18"/>
                <w:szCs w:val="18"/>
              </w:rPr>
              <w:t xml:space="preserve"> – $</w:t>
            </w:r>
            <w:r w:rsidR="00CF0A37">
              <w:rPr>
                <w:rFonts w:ascii="EYInterstate Light" w:hAnsi="EYInterstate Light"/>
                <w:color w:val="000000" w:themeColor="background2"/>
                <w:sz w:val="18"/>
                <w:szCs w:val="18"/>
              </w:rPr>
              <w:t>12,900</w:t>
            </w:r>
            <w:r w:rsidRPr="00CC4FD6">
              <w:rPr>
                <w:rFonts w:ascii="EYInterstate Light" w:hAnsi="EYInterstate Light"/>
                <w:color w:val="000000" w:themeColor="background2"/>
                <w:sz w:val="18"/>
                <w:szCs w:val="18"/>
              </w:rPr>
              <w:t xml:space="preserve"> </w:t>
            </w:r>
          </w:p>
        </w:tc>
        <w:tc>
          <w:tcPr>
            <w:tcW w:w="1251" w:type="pct"/>
            <w:tcBorders>
              <w:top w:val="single" w:sz="4" w:space="0" w:color="787890" w:themeColor="text1" w:themeTint="99"/>
              <w:bottom w:val="single" w:sz="4" w:space="0" w:color="787890" w:themeColor="text1" w:themeTint="99"/>
            </w:tcBorders>
            <w:vAlign w:val="center"/>
          </w:tcPr>
          <w:p w14:paraId="1BCD4F7D" w14:textId="320134AA" w:rsidR="00A561BF" w:rsidRPr="00CC4FD6" w:rsidRDefault="00372F9B" w:rsidP="004845BB">
            <w:pPr>
              <w:keepNext/>
              <w:spacing w:line="280" w:lineRule="atLeast"/>
              <w:jc w:val="right"/>
              <w:rPr>
                <w:rFonts w:ascii="EYInterstate Light" w:hAnsi="EYInterstate Light"/>
                <w:color w:val="000000" w:themeColor="background2"/>
                <w:sz w:val="18"/>
                <w:szCs w:val="18"/>
              </w:rPr>
            </w:pPr>
            <w:r>
              <w:rPr>
                <w:rFonts w:ascii="EYInterstate Light" w:hAnsi="EYInterstate Light"/>
                <w:color w:val="000000" w:themeColor="background2"/>
                <w:sz w:val="18"/>
                <w:szCs w:val="18"/>
              </w:rPr>
              <w:t>2,65</w:t>
            </w:r>
            <w:r w:rsidR="00BE43C4">
              <w:rPr>
                <w:rFonts w:ascii="EYInterstate Light" w:hAnsi="EYInterstate Light"/>
                <w:color w:val="000000" w:themeColor="background2"/>
                <w:sz w:val="18"/>
                <w:szCs w:val="18"/>
              </w:rPr>
              <w:t>0</w:t>
            </w:r>
            <w:r w:rsidR="004845BB">
              <w:rPr>
                <w:rFonts w:ascii="EYInterstate Light" w:hAnsi="EYInterstate Light"/>
                <w:color w:val="000000" w:themeColor="background2"/>
                <w:sz w:val="18"/>
                <w:szCs w:val="18"/>
              </w:rPr>
              <w:t xml:space="preserve"> – </w:t>
            </w:r>
            <w:r>
              <w:rPr>
                <w:rFonts w:ascii="EYInterstate Light" w:hAnsi="EYInterstate Light"/>
                <w:color w:val="000000" w:themeColor="background2"/>
                <w:sz w:val="18"/>
                <w:szCs w:val="18"/>
              </w:rPr>
              <w:t>5,300</w:t>
            </w:r>
            <w:r w:rsidR="00A561BF" w:rsidRPr="00CC4FD6">
              <w:rPr>
                <w:rFonts w:ascii="EYInterstate Light" w:hAnsi="EYInterstate Light"/>
                <w:color w:val="000000" w:themeColor="background2"/>
                <w:sz w:val="18"/>
                <w:szCs w:val="18"/>
              </w:rPr>
              <w:t xml:space="preserve"> </w:t>
            </w:r>
          </w:p>
        </w:tc>
      </w:tr>
    </w:tbl>
    <w:p w14:paraId="7BB56DA1" w14:textId="0E9704E5" w:rsidR="00A561BF" w:rsidRPr="00E24A1B" w:rsidRDefault="00A561BF" w:rsidP="00376C7A">
      <w:pPr>
        <w:pStyle w:val="Caption"/>
        <w:spacing w:before="120" w:after="0"/>
        <w:ind w:left="1"/>
      </w:pPr>
      <w:r>
        <w:t>Note:</w:t>
      </w:r>
      <w:r w:rsidR="00E60685">
        <w:tab/>
      </w:r>
      <w:r w:rsidR="00376C7A">
        <w:t xml:space="preserve"> </w:t>
      </w:r>
      <w:r>
        <w:t xml:space="preserve">Dollar </w:t>
      </w:r>
      <w:r w:rsidRPr="00882BCE">
        <w:t xml:space="preserve">values reported in net present terms using a </w:t>
      </w:r>
      <w:r w:rsidR="00CD73DA">
        <w:t>3</w:t>
      </w:r>
      <w:r w:rsidRPr="00882BCE">
        <w:t>% discount rate.</w:t>
      </w:r>
      <w:r w:rsidR="00CF5C03">
        <w:t xml:space="preserve"> </w:t>
      </w:r>
      <w:r w:rsidR="005D6D26">
        <w:t>E</w:t>
      </w:r>
      <w:r w:rsidR="00CF5C03">
        <w:t xml:space="preserve">mployment reported as </w:t>
      </w:r>
      <w:r w:rsidR="0079671A">
        <w:t>maximum</w:t>
      </w:r>
      <w:r w:rsidR="005D6D26">
        <w:t xml:space="preserve"> </w:t>
      </w:r>
      <w:r w:rsidR="0079671A">
        <w:t xml:space="preserve">expected </w:t>
      </w:r>
      <w:r w:rsidR="005D6D26">
        <w:t>FTE for the period 2022-2030, 2022-2040 and 2022-2050</w:t>
      </w:r>
      <w:r w:rsidR="00376C7A">
        <w:t>.</w:t>
      </w:r>
    </w:p>
    <w:p w14:paraId="7A3BB365" w14:textId="39A7F639" w:rsidR="00A561BF" w:rsidRDefault="00A561BF" w:rsidP="00376C7A">
      <w:pPr>
        <w:pStyle w:val="Caption"/>
        <w:spacing w:before="120"/>
      </w:pPr>
      <w:r>
        <w:t>Source: EY analysis</w:t>
      </w:r>
    </w:p>
    <w:p w14:paraId="37C826FA" w14:textId="41F4AC7B" w:rsidR="00A561BF" w:rsidRPr="009F6654" w:rsidRDefault="00A561BF" w:rsidP="00AC3988">
      <w:pPr>
        <w:pStyle w:val="EYBodytextwithparaspace"/>
        <w:spacing w:before="240" w:after="240"/>
      </w:pPr>
      <w:r w:rsidRPr="009F6654">
        <w:t>The potential economic dividends from a national open access scheme include:</w:t>
      </w:r>
    </w:p>
    <w:p w14:paraId="5D77E272" w14:textId="77777777" w:rsidR="00353B3B" w:rsidRPr="009F6654" w:rsidRDefault="00353B3B" w:rsidP="00353B3B">
      <w:pPr>
        <w:pStyle w:val="EYBodytextwithparaspace"/>
        <w:numPr>
          <w:ilvl w:val="0"/>
          <w:numId w:val="21"/>
        </w:numPr>
        <w:spacing w:after="280" w:line="240" w:lineRule="auto"/>
      </w:pPr>
      <w:r w:rsidRPr="009F6654">
        <w:t>Science and academic research can accomplish much more, much faster, in an environment of frictionless collaboration. More governments, institutions and funders are now requiring that the research they fund be made freely available through open access, immediately upon publication.</w:t>
      </w:r>
    </w:p>
    <w:p w14:paraId="5B3711DE" w14:textId="77777777" w:rsidR="00353B3B" w:rsidRDefault="00353B3B" w:rsidP="00353B3B">
      <w:pPr>
        <w:pStyle w:val="EYBodytextwithparaspace"/>
        <w:numPr>
          <w:ilvl w:val="0"/>
          <w:numId w:val="21"/>
        </w:numPr>
        <w:spacing w:after="280" w:line="240" w:lineRule="auto"/>
      </w:pPr>
      <w:r w:rsidRPr="009F6654">
        <w:t xml:space="preserve">The global transition to open access is progressing, but gradually and unevenly. Australia can learn from international experience and get in front of the pack through a national </w:t>
      </w:r>
      <w:r>
        <w:t xml:space="preserve">open access </w:t>
      </w:r>
      <w:r w:rsidRPr="009F6654">
        <w:t xml:space="preserve">scheme. This would signal </w:t>
      </w:r>
      <w:r>
        <w:t>Australia’s science, technology and innovation agenda and help build a more robust knowledge economy.</w:t>
      </w:r>
    </w:p>
    <w:p w14:paraId="6AB56569" w14:textId="77777777" w:rsidR="00353B3B" w:rsidRDefault="00353B3B" w:rsidP="00353B3B">
      <w:pPr>
        <w:pStyle w:val="EYBodytextwithparaspace"/>
        <w:numPr>
          <w:ilvl w:val="0"/>
          <w:numId w:val="21"/>
        </w:numPr>
        <w:spacing w:after="280" w:line="240" w:lineRule="auto"/>
      </w:pPr>
      <w:r>
        <w:t xml:space="preserve">As a relatively small (about 4% of global research publications) but important member of the international research community, Australia is in an ideal position to make the transition to open access </w:t>
      </w:r>
      <w:r w:rsidRPr="00463240">
        <w:t>manageable and truly</w:t>
      </w:r>
      <w:r>
        <w:t xml:space="preserve"> </w:t>
      </w:r>
      <w:r w:rsidRPr="00463240">
        <w:t>national</w:t>
      </w:r>
      <w:r>
        <w:t>.</w:t>
      </w:r>
    </w:p>
    <w:p w14:paraId="3F5FDD45" w14:textId="77777777" w:rsidR="00376C7A" w:rsidRDefault="00376C7A">
      <w:pPr>
        <w:autoSpaceDE/>
        <w:autoSpaceDN/>
        <w:adjustRightInd/>
        <w:rPr>
          <w:rFonts w:ascii="EYInterstate" w:hAnsi="EYInterstate"/>
          <w:color w:val="000000" w:themeColor="background2"/>
          <w:sz w:val="24"/>
          <w:szCs w:val="24"/>
        </w:rPr>
      </w:pPr>
      <w:r>
        <w:rPr>
          <w:rFonts w:ascii="EYInterstate" w:hAnsi="EYInterstate"/>
          <w:sz w:val="24"/>
          <w:szCs w:val="24"/>
        </w:rPr>
        <w:br w:type="page"/>
      </w:r>
    </w:p>
    <w:p w14:paraId="0C8F030D" w14:textId="4D86971C" w:rsidR="00F0148B" w:rsidRPr="00450A37" w:rsidRDefault="000414C0" w:rsidP="00A577AC">
      <w:pPr>
        <w:pStyle w:val="EYBodytextwithparaspace"/>
        <w:rPr>
          <w:rFonts w:ascii="EYInterstate" w:hAnsi="EYInterstate"/>
          <w:sz w:val="24"/>
          <w:szCs w:val="24"/>
        </w:rPr>
      </w:pPr>
      <w:r w:rsidRPr="00450A37">
        <w:rPr>
          <w:rFonts w:ascii="EYInterstate" w:hAnsi="EYInterstate"/>
          <w:sz w:val="24"/>
          <w:szCs w:val="24"/>
        </w:rPr>
        <w:lastRenderedPageBreak/>
        <w:t xml:space="preserve">What could </w:t>
      </w:r>
      <w:r w:rsidR="0068256C" w:rsidRPr="00450A37">
        <w:rPr>
          <w:rFonts w:ascii="EYInterstate" w:hAnsi="EYInterstate"/>
          <w:sz w:val="24"/>
          <w:szCs w:val="24"/>
        </w:rPr>
        <w:t xml:space="preserve">an </w:t>
      </w:r>
      <w:r w:rsidRPr="00450A37">
        <w:rPr>
          <w:rFonts w:ascii="EYInterstate" w:hAnsi="EYInterstate"/>
          <w:sz w:val="24"/>
          <w:szCs w:val="24"/>
        </w:rPr>
        <w:t>Australia</w:t>
      </w:r>
      <w:r w:rsidR="0068256C" w:rsidRPr="00450A37">
        <w:rPr>
          <w:rFonts w:ascii="EYInterstate" w:hAnsi="EYInterstate"/>
          <w:sz w:val="24"/>
          <w:szCs w:val="24"/>
        </w:rPr>
        <w:t>n</w:t>
      </w:r>
      <w:r w:rsidRPr="00450A37">
        <w:rPr>
          <w:rFonts w:ascii="EYInterstate" w:hAnsi="EYInterstate"/>
          <w:sz w:val="24"/>
          <w:szCs w:val="24"/>
        </w:rPr>
        <w:t xml:space="preserve"> </w:t>
      </w:r>
      <w:r w:rsidR="004C22B3" w:rsidRPr="00450A37">
        <w:rPr>
          <w:rFonts w:ascii="EYInterstate" w:hAnsi="EYInterstate"/>
          <w:sz w:val="24"/>
          <w:szCs w:val="24"/>
        </w:rPr>
        <w:t>o</w:t>
      </w:r>
      <w:r w:rsidRPr="00450A37">
        <w:rPr>
          <w:rFonts w:ascii="EYInterstate" w:hAnsi="EYInterstate"/>
          <w:sz w:val="24"/>
          <w:szCs w:val="24"/>
        </w:rPr>
        <w:t xml:space="preserve">pen </w:t>
      </w:r>
      <w:r w:rsidR="004C22B3" w:rsidRPr="00450A37">
        <w:rPr>
          <w:rFonts w:ascii="EYInterstate" w:hAnsi="EYInterstate"/>
          <w:sz w:val="24"/>
          <w:szCs w:val="24"/>
        </w:rPr>
        <w:t>a</w:t>
      </w:r>
      <w:r w:rsidRPr="00450A37">
        <w:rPr>
          <w:rFonts w:ascii="EYInterstate" w:hAnsi="EYInterstate"/>
          <w:sz w:val="24"/>
          <w:szCs w:val="24"/>
        </w:rPr>
        <w:t xml:space="preserve">ccess </w:t>
      </w:r>
      <w:r w:rsidR="001307E5" w:rsidRPr="00450A37">
        <w:rPr>
          <w:rFonts w:ascii="EYInterstate" w:hAnsi="EYInterstate"/>
          <w:sz w:val="24"/>
          <w:szCs w:val="24"/>
        </w:rPr>
        <w:t>s</w:t>
      </w:r>
      <w:r w:rsidRPr="00450A37">
        <w:rPr>
          <w:rFonts w:ascii="EYInterstate" w:hAnsi="EYInterstate"/>
          <w:sz w:val="24"/>
          <w:szCs w:val="24"/>
        </w:rPr>
        <w:t>cheme look like?</w:t>
      </w:r>
    </w:p>
    <w:p w14:paraId="7D9E52BE" w14:textId="2EF8FE47" w:rsidR="000414C0" w:rsidRPr="007C6428" w:rsidRDefault="007C6428" w:rsidP="007C6428">
      <w:pPr>
        <w:pStyle w:val="EYBodytextwithoutparaspace"/>
      </w:pPr>
      <w:r w:rsidRPr="007A231D">
        <w:t>A national open access scheme could be implemented using different models</w:t>
      </w:r>
      <w:r>
        <w:t>, including funding mandates, repository based open access and a central implementation body</w:t>
      </w:r>
      <w:r w:rsidRPr="007A231D">
        <w:t xml:space="preserve">. </w:t>
      </w:r>
      <w:r>
        <w:t>These key</w:t>
      </w:r>
      <w:r w:rsidRPr="007A231D">
        <w:t xml:space="preserve"> models were assessed based on their ability to meet the needs of Australian researchers, industry, and the broader community, as well as </w:t>
      </w:r>
      <w:r>
        <w:t>their</w:t>
      </w:r>
      <w:r w:rsidRPr="007A231D">
        <w:t xml:space="preserve"> deliverability and costs</w:t>
      </w:r>
      <w:r>
        <w:t xml:space="preserve"> (a summary table is shown at the end)</w:t>
      </w:r>
      <w:r w:rsidRPr="007A231D">
        <w:t>.</w:t>
      </w:r>
    </w:p>
    <w:p w14:paraId="0B51F02F" w14:textId="792F6C58" w:rsidR="0084177A" w:rsidRPr="007A231D" w:rsidRDefault="0084177A" w:rsidP="005B37D4">
      <w:pPr>
        <w:pStyle w:val="EYBodytextwithoutparaspace"/>
        <w:spacing w:after="240"/>
      </w:pPr>
      <w:r w:rsidRPr="007A231D">
        <w:t xml:space="preserve">A national open access scheme </w:t>
      </w:r>
      <w:r w:rsidR="00DC51BB" w:rsidRPr="007A231D">
        <w:t>delivered</w:t>
      </w:r>
      <w:r w:rsidRPr="007A231D">
        <w:t xml:space="preserve"> through a central implementation body </w:t>
      </w:r>
      <w:r w:rsidR="0062662A">
        <w:t>(see</w:t>
      </w:r>
      <w:r w:rsidR="00B716F0">
        <w:t xml:space="preserve"> </w:t>
      </w:r>
      <w:r w:rsidR="00B716F0">
        <w:fldChar w:fldCharType="begin"/>
      </w:r>
      <w:r w:rsidR="00B716F0">
        <w:instrText xml:space="preserve"> REF _Ref112667736 \h </w:instrText>
      </w:r>
      <w:r w:rsidR="00B716F0">
        <w:fldChar w:fldCharType="separate"/>
      </w:r>
      <w:r w:rsidR="008112E6">
        <w:t xml:space="preserve">Figure </w:t>
      </w:r>
      <w:r w:rsidR="008112E6">
        <w:rPr>
          <w:noProof/>
        </w:rPr>
        <w:t>2</w:t>
      </w:r>
      <w:r w:rsidR="00B716F0">
        <w:fldChar w:fldCharType="end"/>
      </w:r>
      <w:r w:rsidR="00B716F0">
        <w:t xml:space="preserve">) </w:t>
      </w:r>
      <w:r w:rsidR="000C2A8D" w:rsidRPr="007A231D">
        <w:t>has some major advantages</w:t>
      </w:r>
      <w:r w:rsidRPr="007A231D">
        <w:t>:</w:t>
      </w:r>
    </w:p>
    <w:p w14:paraId="690E3206" w14:textId="77777777" w:rsidR="001F3092" w:rsidRPr="005904BC" w:rsidRDefault="001F3092" w:rsidP="005B37D4">
      <w:pPr>
        <w:pStyle w:val="EYBulletedText1"/>
        <w:numPr>
          <w:ilvl w:val="0"/>
          <w:numId w:val="21"/>
        </w:numPr>
        <w:spacing w:after="240"/>
        <w:ind w:left="357" w:hanging="357"/>
        <w:rPr>
          <w:color w:val="FF0000"/>
        </w:rPr>
      </w:pPr>
      <w:r w:rsidRPr="005904BC">
        <w:t xml:space="preserve">Through </w:t>
      </w:r>
      <w:r>
        <w:t xml:space="preserve">national </w:t>
      </w:r>
      <w:r w:rsidRPr="005904BC">
        <w:t xml:space="preserve">read-and-publish agreements with publishers, Australia would be able to access the world’s academic journals and increase the </w:t>
      </w:r>
      <w:r>
        <w:t>number</w:t>
      </w:r>
      <w:r w:rsidRPr="005904BC">
        <w:t xml:space="preserve"> of Australian-led peer-reviewed </w:t>
      </w:r>
      <w:r>
        <w:t>articles</w:t>
      </w:r>
      <w:r w:rsidRPr="005904BC">
        <w:t xml:space="preserve"> published in open access journals.</w:t>
      </w:r>
    </w:p>
    <w:p w14:paraId="60A1F1F6" w14:textId="77777777" w:rsidR="001F3092" w:rsidRPr="005904BC" w:rsidRDefault="001F3092" w:rsidP="005B37D4">
      <w:pPr>
        <w:pStyle w:val="EYBulletedText1"/>
        <w:numPr>
          <w:ilvl w:val="0"/>
          <w:numId w:val="21"/>
        </w:numPr>
        <w:spacing w:after="240"/>
        <w:ind w:left="357" w:hanging="357"/>
        <w:rPr>
          <w:color w:val="FF0000"/>
        </w:rPr>
      </w:pPr>
      <w:r>
        <w:t>It</w:t>
      </w:r>
      <w:r w:rsidRPr="005904BC">
        <w:t xml:space="preserve"> consolidates many </w:t>
      </w:r>
      <w:r>
        <w:t xml:space="preserve">current </w:t>
      </w:r>
      <w:r w:rsidRPr="005904BC">
        <w:t xml:space="preserve">functions and expenditures within Australia’s research sector to procure and manage access to academic journals. Combining current agreements </w:t>
      </w:r>
      <w:r>
        <w:t>with</w:t>
      </w:r>
      <w:r w:rsidRPr="005904BC">
        <w:t xml:space="preserve"> publishers under a single purchasing body has the potential to drive cost efficiencies which can benefit taxpayers and the research sector.</w:t>
      </w:r>
    </w:p>
    <w:p w14:paraId="3FCC45C8" w14:textId="77777777" w:rsidR="001F3092" w:rsidRPr="005904BC" w:rsidRDefault="001F3092" w:rsidP="005B37D4">
      <w:pPr>
        <w:pStyle w:val="EYBulletedText1"/>
        <w:numPr>
          <w:ilvl w:val="0"/>
          <w:numId w:val="21"/>
        </w:numPr>
        <w:spacing w:after="240"/>
        <w:ind w:left="357" w:hanging="357"/>
      </w:pPr>
      <w:r w:rsidRPr="005904BC">
        <w:t>It strongly aligns with a global movement toward open access.</w:t>
      </w:r>
    </w:p>
    <w:p w14:paraId="73C85FC0" w14:textId="7551D936" w:rsidR="001F3092" w:rsidRPr="005904BC" w:rsidRDefault="001F3092" w:rsidP="005B37D4">
      <w:pPr>
        <w:pStyle w:val="EYBulletedText1"/>
        <w:numPr>
          <w:ilvl w:val="0"/>
          <w:numId w:val="21"/>
        </w:numPr>
        <w:spacing w:after="240"/>
        <w:ind w:left="357" w:hanging="357"/>
      </w:pPr>
      <w:r w:rsidRPr="005904BC">
        <w:t>By increasing access to the world’s academic literature, it provides the highest potential for economic and productivity uplift, driving innovation and research across Australian industry, and generating key benefits for the community.</w:t>
      </w:r>
    </w:p>
    <w:p w14:paraId="1AFC972F" w14:textId="6E50A0FB" w:rsidR="000464E9" w:rsidRDefault="000464E9" w:rsidP="00822781">
      <w:pPr>
        <w:pStyle w:val="Caption"/>
        <w:keepNext/>
        <w:spacing w:before="360" w:after="240"/>
        <w:jc w:val="center"/>
      </w:pPr>
      <w:bookmarkStart w:id="8" w:name="_Ref112667736"/>
      <w:r>
        <w:t xml:space="preserve">Figure </w:t>
      </w:r>
      <w:r w:rsidR="0029059A">
        <w:fldChar w:fldCharType="begin"/>
      </w:r>
      <w:r w:rsidR="0029059A">
        <w:instrText xml:space="preserve"> SEQ Figure \* ARABIC </w:instrText>
      </w:r>
      <w:r w:rsidR="0029059A">
        <w:fldChar w:fldCharType="separate"/>
      </w:r>
      <w:r w:rsidR="008112E6">
        <w:rPr>
          <w:noProof/>
        </w:rPr>
        <w:t>2</w:t>
      </w:r>
      <w:r w:rsidR="0029059A">
        <w:fldChar w:fldCharType="end"/>
      </w:r>
      <w:bookmarkEnd w:id="8"/>
      <w:r>
        <w:t>: Proposed A</w:t>
      </w:r>
      <w:r w:rsidR="000D2C3F">
        <w:t>ustralian model for open access</w:t>
      </w:r>
    </w:p>
    <w:p w14:paraId="20AA9244" w14:textId="5DB900EE" w:rsidR="001F5BC3" w:rsidRPr="001F5BC3" w:rsidRDefault="001F5BC3" w:rsidP="001F5BC3">
      <w:pPr>
        <w:jc w:val="center"/>
      </w:pPr>
      <w:r>
        <w:rPr>
          <w:noProof/>
          <w:lang w:eastAsia="en-AU"/>
        </w:rPr>
        <w:drawing>
          <wp:inline distT="0" distB="0" distL="0" distR="0" wp14:anchorId="1D658042" wp14:editId="24C1CFE4">
            <wp:extent cx="3749501" cy="3027756"/>
            <wp:effectExtent l="0" t="0" r="3810" b="1270"/>
            <wp:docPr id="11" name="Picture 11" descr="Infographic detailing the relationship between the Australian research community, publishers and an implementation body for a public access model. The infographic shows a workflow where the Australian research community submits work to publishers and the implementation body provides funding. Publishers make all Australian peer reviewed journal articles open access to the world, and provide access to their full catalogues to people residing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fographic detailing the relationship between the Australian research community, publishers and an implementation body for a public access model. The infographic shows a workflow where the Australian research community submits work to publishers and the implementation body provides funding. Publishers make all Australian peer reviewed journal articles open access to the world, and provide access to their full catalogues to people residing in Australia."/>
                    <pic:cNvPicPr/>
                  </pic:nvPicPr>
                  <pic:blipFill>
                    <a:blip r:embed="rId21"/>
                    <a:stretch>
                      <a:fillRect/>
                    </a:stretch>
                  </pic:blipFill>
                  <pic:spPr>
                    <a:xfrm>
                      <a:off x="0" y="0"/>
                      <a:ext cx="3759561" cy="3035880"/>
                    </a:xfrm>
                    <a:prstGeom prst="rect">
                      <a:avLst/>
                    </a:prstGeom>
                  </pic:spPr>
                </pic:pic>
              </a:graphicData>
            </a:graphic>
          </wp:inline>
        </w:drawing>
      </w:r>
    </w:p>
    <w:p w14:paraId="65751E51" w14:textId="69BC850D" w:rsidR="000464E9" w:rsidRDefault="000464E9" w:rsidP="00A577AC">
      <w:pPr>
        <w:pStyle w:val="EYBodytextwithparaspace"/>
      </w:pPr>
    </w:p>
    <w:p w14:paraId="50295F71" w14:textId="77777777" w:rsidR="00376C7A" w:rsidRDefault="00376C7A">
      <w:pPr>
        <w:autoSpaceDE/>
        <w:autoSpaceDN/>
        <w:adjustRightInd/>
        <w:rPr>
          <w:rFonts w:ascii="EYInterstate" w:hAnsi="EYInterstate"/>
          <w:color w:val="000000" w:themeColor="background2"/>
          <w:sz w:val="24"/>
          <w:szCs w:val="24"/>
        </w:rPr>
      </w:pPr>
      <w:r>
        <w:rPr>
          <w:rFonts w:ascii="EYInterstate" w:hAnsi="EYInterstate"/>
          <w:sz w:val="24"/>
          <w:szCs w:val="24"/>
        </w:rPr>
        <w:br w:type="page"/>
      </w:r>
    </w:p>
    <w:p w14:paraId="195C30BC" w14:textId="5BB88093" w:rsidR="007172AB" w:rsidRPr="00D50F20" w:rsidRDefault="00A23473" w:rsidP="00A577AC">
      <w:pPr>
        <w:pStyle w:val="EYBodytextwithparaspace"/>
        <w:rPr>
          <w:rFonts w:ascii="EYInterstate" w:hAnsi="EYInterstate"/>
          <w:sz w:val="24"/>
          <w:szCs w:val="24"/>
        </w:rPr>
      </w:pPr>
      <w:r w:rsidRPr="00D50F20">
        <w:rPr>
          <w:rFonts w:ascii="EYInterstate" w:hAnsi="EYInterstate"/>
          <w:sz w:val="24"/>
          <w:szCs w:val="24"/>
        </w:rPr>
        <w:lastRenderedPageBreak/>
        <w:t xml:space="preserve">Implementing the </w:t>
      </w:r>
      <w:r w:rsidR="001908F2" w:rsidRPr="00D50F20">
        <w:rPr>
          <w:rFonts w:ascii="EYInterstate" w:hAnsi="EYInterstate"/>
          <w:sz w:val="24"/>
          <w:szCs w:val="24"/>
        </w:rPr>
        <w:t>s</w:t>
      </w:r>
      <w:r w:rsidRPr="00D50F20">
        <w:rPr>
          <w:rFonts w:ascii="EYInterstate" w:hAnsi="EYInterstate"/>
          <w:sz w:val="24"/>
          <w:szCs w:val="24"/>
        </w:rPr>
        <w:t>cheme</w:t>
      </w:r>
    </w:p>
    <w:p w14:paraId="34337455" w14:textId="77777777" w:rsidR="00A90AA5" w:rsidRDefault="00A90AA5" w:rsidP="00A90AA5">
      <w:pPr>
        <w:pStyle w:val="EYBodytextwithoutparaspace"/>
      </w:pPr>
      <w:r w:rsidRPr="0085545E">
        <w:t xml:space="preserve">Education, industry, and research stakeholders strongly support a national open access scheme and consider </w:t>
      </w:r>
      <w:r>
        <w:t xml:space="preserve">that </w:t>
      </w:r>
      <w:r w:rsidRPr="0085545E">
        <w:t>the challenges for government in delivering it are manageable and unlikely to involve excessive costs and risks.</w:t>
      </w:r>
    </w:p>
    <w:p w14:paraId="147EB42A" w14:textId="69EDD1B6" w:rsidR="00072259" w:rsidRDefault="00A90AA5" w:rsidP="005B37D4">
      <w:pPr>
        <w:pStyle w:val="EYBodytextwithoutparaspace"/>
        <w:spacing w:after="240"/>
      </w:pPr>
      <w:r>
        <w:t>A major advantage of an Australian open access scheme is that it could be implemented using off-the-shelf technology platforms such as commercial academic literature aggregators and search engines. However, there are some important challenges in designing the scheme, including:</w:t>
      </w:r>
    </w:p>
    <w:p w14:paraId="7741C255" w14:textId="77777777" w:rsidR="00EE36CC" w:rsidRDefault="00EE36CC" w:rsidP="00EE36CC">
      <w:pPr>
        <w:pStyle w:val="EYBodytextwithparaspace"/>
        <w:numPr>
          <w:ilvl w:val="0"/>
          <w:numId w:val="21"/>
        </w:numPr>
        <w:spacing w:after="280" w:line="240" w:lineRule="auto"/>
      </w:pPr>
      <w:r>
        <w:t>Agreements with publishers will need to be negotiated as existing university-led agreements expire. This is a major commercial endeavour, and the central implementation body will require access to specialist resources to execute these agreements, especially with major publishers.</w:t>
      </w:r>
    </w:p>
    <w:p w14:paraId="30C92600" w14:textId="77777777" w:rsidR="00EE36CC" w:rsidRDefault="00EE36CC" w:rsidP="00EE36CC">
      <w:pPr>
        <w:pStyle w:val="EYBodytextwithparaspace"/>
        <w:numPr>
          <w:ilvl w:val="0"/>
          <w:numId w:val="21"/>
        </w:numPr>
        <w:spacing w:after="280" w:line="240" w:lineRule="auto"/>
      </w:pPr>
      <w:r>
        <w:t>The community-wide expansion of users under a national open access scheme needs to be supported by a robust central authentication system which restricts use to Australians and local businesses. This is a key issue for publishers which have noted their concern about the potential for ‘leakage’ of academic journal material to unauthorised users outside of Australia.</w:t>
      </w:r>
    </w:p>
    <w:p w14:paraId="744E3485" w14:textId="43A5CF44" w:rsidR="00EE36CC" w:rsidRDefault="00EE36CC" w:rsidP="00EE36CC">
      <w:pPr>
        <w:pStyle w:val="EYBodytextwithparaspace"/>
        <w:numPr>
          <w:ilvl w:val="0"/>
          <w:numId w:val="21"/>
        </w:numPr>
        <w:spacing w:after="280" w:line="240" w:lineRule="auto"/>
      </w:pPr>
      <w:r>
        <w:t>While universities welcome the scheme, they emphasised their concern about the loss of public funding and how this might be drawn down to fund a national open access scheme.</w:t>
      </w:r>
    </w:p>
    <w:p w14:paraId="7264AEE4" w14:textId="77777777" w:rsidR="003A1301" w:rsidRPr="00450A37" w:rsidRDefault="003A1301" w:rsidP="00A577AC">
      <w:pPr>
        <w:pStyle w:val="EYBodytextwithparaspace"/>
        <w:rPr>
          <w:rFonts w:ascii="EYInterstate" w:hAnsi="EYInterstate"/>
          <w:sz w:val="24"/>
          <w:szCs w:val="24"/>
        </w:rPr>
      </w:pPr>
      <w:r w:rsidRPr="00450A37">
        <w:rPr>
          <w:rFonts w:ascii="EYInterstate" w:hAnsi="EYInterstate"/>
          <w:sz w:val="24"/>
          <w:szCs w:val="24"/>
        </w:rPr>
        <w:t>Preliminary estimates of the costs of a national open access scheme</w:t>
      </w:r>
    </w:p>
    <w:p w14:paraId="01A20A36" w14:textId="5C832459" w:rsidR="00634993" w:rsidRPr="00F74D8E" w:rsidRDefault="000A0642" w:rsidP="000A0642">
      <w:pPr>
        <w:pStyle w:val="EYBodytextwithoutparaspace"/>
      </w:pPr>
      <w:r w:rsidRPr="00F6489E">
        <w:t xml:space="preserve">A preliminary assessment of the scheme's costs was undertaken using a building block methodology. The approach, which was based on current </w:t>
      </w:r>
      <w:r>
        <w:t xml:space="preserve">spending on </w:t>
      </w:r>
      <w:r w:rsidRPr="00F6489E">
        <w:t xml:space="preserve">journal access and subscription management, adopted industry-tested assumptions related to </w:t>
      </w:r>
      <w:r>
        <w:t>providing national</w:t>
      </w:r>
      <w:r w:rsidRPr="00F6489E">
        <w:t xml:space="preserve"> access to journals, the potential for volume discounts, and the availability of cost savings </w:t>
      </w:r>
      <w:r>
        <w:t xml:space="preserve">as </w:t>
      </w:r>
      <w:r w:rsidRPr="00F6489E">
        <w:t xml:space="preserve">access </w:t>
      </w:r>
      <w:r>
        <w:t xml:space="preserve">arrangements </w:t>
      </w:r>
      <w:r w:rsidRPr="00F6489E">
        <w:t>are centralised.</w:t>
      </w:r>
    </w:p>
    <w:p w14:paraId="72CD64F5" w14:textId="2FE6EE7F" w:rsidR="003A1301" w:rsidRDefault="003A1301" w:rsidP="003A1301">
      <w:pPr>
        <w:pStyle w:val="Caption"/>
        <w:keepNext/>
      </w:pPr>
      <w:bookmarkStart w:id="9" w:name="_Ref115691553"/>
      <w:r>
        <w:t xml:space="preserve">Figure </w:t>
      </w:r>
      <w:r w:rsidR="0029059A">
        <w:fldChar w:fldCharType="begin"/>
      </w:r>
      <w:r w:rsidR="0029059A">
        <w:instrText xml:space="preserve"> SEQ Figure \* ARABIC </w:instrText>
      </w:r>
      <w:r w:rsidR="0029059A">
        <w:fldChar w:fldCharType="separate"/>
      </w:r>
      <w:r w:rsidR="008112E6">
        <w:rPr>
          <w:noProof/>
        </w:rPr>
        <w:t>3</w:t>
      </w:r>
      <w:r w:rsidR="0029059A">
        <w:fldChar w:fldCharType="end"/>
      </w:r>
      <w:bookmarkEnd w:id="9"/>
      <w:r>
        <w:t>: Estimated costs of Australia's open access scheme</w:t>
      </w:r>
    </w:p>
    <w:p w14:paraId="4CA70CA1" w14:textId="77777777" w:rsidR="003A1301" w:rsidRDefault="003A1301" w:rsidP="00A577AC">
      <w:pPr>
        <w:pStyle w:val="EYBodytextwithparaspace"/>
      </w:pPr>
      <w:r>
        <w:rPr>
          <w:noProof/>
        </w:rPr>
        <w:drawing>
          <wp:inline distT="0" distB="0" distL="0" distR="0" wp14:anchorId="533919CE" wp14:editId="5A733FBF">
            <wp:extent cx="5733415" cy="2876550"/>
            <wp:effectExtent l="0" t="0" r="635" b="0"/>
            <wp:docPr id="22" name="Picture 22" descr="A graph showing the estimated cost of Australia's open access scheme by year on the X axis and cost in millions of dollars on the Y axis. The graph charts out the lower bound, estimated and upper bound costs of implementing the scheme from its initial implementation to the full implementation of th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showing the estimated cost of Australia's open access scheme by year on the X axis and cost in millions of dollars on the Y axis. The graph charts out the lower bound, estimated and upper bound costs of implementing the scheme from its initial implementation to the full implementation of the scheme."/>
                    <pic:cNvPicPr/>
                  </pic:nvPicPr>
                  <pic:blipFill>
                    <a:blip r:embed="rId22"/>
                    <a:stretch>
                      <a:fillRect/>
                    </a:stretch>
                  </pic:blipFill>
                  <pic:spPr>
                    <a:xfrm>
                      <a:off x="0" y="0"/>
                      <a:ext cx="5733415" cy="2876550"/>
                    </a:xfrm>
                    <a:prstGeom prst="rect">
                      <a:avLst/>
                    </a:prstGeom>
                  </pic:spPr>
                </pic:pic>
              </a:graphicData>
            </a:graphic>
          </wp:inline>
        </w:drawing>
      </w:r>
    </w:p>
    <w:p w14:paraId="3F9C5F9E" w14:textId="77777777" w:rsidR="003A1301" w:rsidRDefault="003A1301" w:rsidP="003A1301">
      <w:pPr>
        <w:pStyle w:val="Caption"/>
        <w:spacing w:after="240"/>
      </w:pPr>
      <w:r>
        <w:t>Source: EY analysis</w:t>
      </w:r>
    </w:p>
    <w:p w14:paraId="6D0D1626" w14:textId="6BF3461B" w:rsidR="003A1301" w:rsidRPr="00F6489E" w:rsidRDefault="00523AFC" w:rsidP="00523AFC">
      <w:pPr>
        <w:pStyle w:val="EYBodytextwithoutparaspace"/>
      </w:pPr>
      <w:r w:rsidRPr="00F6489E">
        <w:t xml:space="preserve">The costs of the scheme, once fully established, are estimated at approximately $420 million per year. The estimates cover costs for read-and-publish agreements and operating expenses for the central implementation body and supporting IT infrastructure (see </w:t>
      </w:r>
      <w:r w:rsidR="005B37D4">
        <w:fldChar w:fldCharType="begin"/>
      </w:r>
      <w:r w:rsidR="005B37D4">
        <w:instrText xml:space="preserve"> REF _Ref115691553 \h </w:instrText>
      </w:r>
      <w:r w:rsidR="005B37D4">
        <w:fldChar w:fldCharType="separate"/>
      </w:r>
      <w:r w:rsidR="008112E6">
        <w:t xml:space="preserve">Figure </w:t>
      </w:r>
      <w:r w:rsidR="008112E6">
        <w:rPr>
          <w:noProof/>
        </w:rPr>
        <w:t>3</w:t>
      </w:r>
      <w:r w:rsidR="005B37D4">
        <w:fldChar w:fldCharType="end"/>
      </w:r>
      <w:r w:rsidRPr="00F6489E">
        <w:t>).</w:t>
      </w:r>
    </w:p>
    <w:p w14:paraId="5346996B" w14:textId="77777777" w:rsidR="005A7CBD" w:rsidRPr="00F6489E" w:rsidRDefault="005A7CBD" w:rsidP="000125A6">
      <w:pPr>
        <w:pStyle w:val="EYBulletedText1"/>
        <w:numPr>
          <w:ilvl w:val="0"/>
          <w:numId w:val="21"/>
        </w:numPr>
      </w:pPr>
      <w:r w:rsidRPr="00F6489E">
        <w:lastRenderedPageBreak/>
        <w:t>To manage continuity of access for core research and education users, the costs of the scheme are likely to ramp up over three years as existing commercial agreements roll off. Once the scheme is fully implemented, its costs are expected to stabilise and increase broadly in line with inflation.</w:t>
      </w:r>
    </w:p>
    <w:p w14:paraId="567876F6" w14:textId="77777777" w:rsidR="005A7CBD" w:rsidRPr="00F6489E" w:rsidRDefault="005A7CBD" w:rsidP="000125A6">
      <w:pPr>
        <w:pStyle w:val="EYBulletedText1"/>
        <w:numPr>
          <w:ilvl w:val="0"/>
          <w:numId w:val="21"/>
        </w:numPr>
      </w:pPr>
      <w:r w:rsidRPr="00F6489E">
        <w:t>A review of international experience and industry consultations indicate that publishers typically negotiate transformative agreements on a cost-neutral basis, in which the value of individual contracts is based on the sum of existing expenditure. This would suggest the cost of the open access scheme would be, at a minimum, in the order of $320 million per year.</w:t>
      </w:r>
      <w:r w:rsidRPr="00F6489E">
        <w:rPr>
          <w:rStyle w:val="FootnoteReference"/>
        </w:rPr>
        <w:footnoteReference w:id="4"/>
      </w:r>
      <w:r w:rsidRPr="00F6489E">
        <w:t xml:space="preserve"> This represents the lower bound of the cost estimate.</w:t>
      </w:r>
    </w:p>
    <w:p w14:paraId="66789415" w14:textId="77777777" w:rsidR="00C3719B" w:rsidRDefault="005A7CBD" w:rsidP="000125A6">
      <w:pPr>
        <w:pStyle w:val="EYBulletedText1"/>
        <w:numPr>
          <w:ilvl w:val="0"/>
          <w:numId w:val="21"/>
        </w:numPr>
      </w:pPr>
      <w:r w:rsidRPr="00F6489E">
        <w:t>The scheme's costs are also likely to be influenced by increasing access to academic journals on a national scale, including to individuals and businesses that do not currently have access. While publishers indicated that the future price of agreements would need to reflect community-level expansion, the value of additional users outside the research sector is highly uncertain. Prevailing costs likely to depend on the ability of the central implementation body to minimise additional costs of access to users which have little commercial value to publishers, as well as to recognise the in-kind contributions made by the research community to publishers for peer review (which are conservatively estimated at around $32 million per year).</w:t>
      </w:r>
      <w:r w:rsidRPr="00F6489E">
        <w:rPr>
          <w:rStyle w:val="FootnoteReference"/>
        </w:rPr>
        <w:footnoteReference w:id="5"/>
      </w:r>
      <w:r w:rsidRPr="00F6489E">
        <w:t xml:space="preserve"> </w:t>
      </w:r>
    </w:p>
    <w:p w14:paraId="3F0D0AD0" w14:textId="330E31C0" w:rsidR="003A1301" w:rsidRDefault="00C3719B" w:rsidP="003824FD">
      <w:pPr>
        <w:pStyle w:val="EYBodytextwithoutparaspace"/>
      </w:pPr>
      <w:r w:rsidRPr="00C3719B">
        <w:t>In highlighting the potential costs of a national access scheme for the Australian Government, it is important to note there will also be significant opportunities for cost offsets. Predominantly, research institutions will no longer need to negotiate and subscribe to academic journals and could reduce the need to invest in repositories. The potential for cost offsets would need to be considered as part of broader institutional funding arrangements.</w:t>
      </w:r>
    </w:p>
    <w:p w14:paraId="04D404EE" w14:textId="795ACAAB" w:rsidR="00705074" w:rsidRPr="00450A37" w:rsidRDefault="00705074" w:rsidP="00A577AC">
      <w:pPr>
        <w:pStyle w:val="EYBodytextwithparaspace"/>
        <w:rPr>
          <w:rFonts w:ascii="EYInterstate" w:hAnsi="EYInterstate"/>
          <w:sz w:val="24"/>
          <w:szCs w:val="24"/>
        </w:rPr>
      </w:pPr>
      <w:r w:rsidRPr="00450A37">
        <w:rPr>
          <w:rFonts w:ascii="EYInterstate" w:hAnsi="EYInterstate"/>
          <w:sz w:val="24"/>
          <w:szCs w:val="24"/>
        </w:rPr>
        <w:t xml:space="preserve">A sequenced </w:t>
      </w:r>
      <w:r w:rsidR="00AC734F" w:rsidRPr="00450A37">
        <w:rPr>
          <w:rFonts w:ascii="EYInterstate" w:hAnsi="EYInterstate"/>
          <w:sz w:val="24"/>
          <w:szCs w:val="24"/>
        </w:rPr>
        <w:t xml:space="preserve">approach to </w:t>
      </w:r>
      <w:r w:rsidRPr="00450A37">
        <w:rPr>
          <w:rFonts w:ascii="EYInterstate" w:hAnsi="EYInterstate"/>
          <w:sz w:val="24"/>
          <w:szCs w:val="24"/>
        </w:rPr>
        <w:t>implementatio</w:t>
      </w:r>
      <w:r w:rsidR="00AC734F" w:rsidRPr="00450A37">
        <w:rPr>
          <w:rFonts w:ascii="EYInterstate" w:hAnsi="EYInterstate"/>
          <w:sz w:val="24"/>
          <w:szCs w:val="24"/>
        </w:rPr>
        <w:t>n</w:t>
      </w:r>
      <w:r w:rsidRPr="00450A37">
        <w:rPr>
          <w:rFonts w:ascii="EYInterstate" w:hAnsi="EYInterstate"/>
          <w:sz w:val="24"/>
          <w:szCs w:val="24"/>
        </w:rPr>
        <w:t xml:space="preserve"> </w:t>
      </w:r>
    </w:p>
    <w:p w14:paraId="45B63F27" w14:textId="77777777" w:rsidR="00A76D62" w:rsidRDefault="00F60735" w:rsidP="00610A15">
      <w:pPr>
        <w:pStyle w:val="EYBodytextwithparaspace"/>
        <w:spacing w:line="240" w:lineRule="auto"/>
        <w:rPr>
          <w:color w:val="auto"/>
        </w:rPr>
      </w:pPr>
      <w:r w:rsidRPr="00F6489E">
        <w:rPr>
          <w:color w:val="auto"/>
        </w:rPr>
        <w:t>Developing a national open access scheme would require a lead time of around two years.</w:t>
      </w:r>
    </w:p>
    <w:p w14:paraId="7FBF676A" w14:textId="1206CA5F" w:rsidR="00556AFC" w:rsidRPr="00610A15" w:rsidRDefault="00F60735" w:rsidP="00610A15">
      <w:pPr>
        <w:pStyle w:val="EYBodytextwithparaspace"/>
        <w:spacing w:line="240" w:lineRule="auto"/>
        <w:rPr>
          <w:color w:val="auto"/>
        </w:rPr>
      </w:pPr>
      <w:r w:rsidRPr="00F6489E">
        <w:rPr>
          <w:color w:val="auto"/>
        </w:rPr>
        <w:t xml:space="preserve">Under a potential implementation timeline (see </w:t>
      </w:r>
      <w:r w:rsidR="00B716F0">
        <w:rPr>
          <w:color w:val="auto"/>
        </w:rPr>
        <w:fldChar w:fldCharType="begin"/>
      </w:r>
      <w:r w:rsidR="00B716F0">
        <w:rPr>
          <w:color w:val="auto"/>
        </w:rPr>
        <w:instrText xml:space="preserve"> REF _Ref115697407 \h </w:instrText>
      </w:r>
      <w:r w:rsidR="00B716F0">
        <w:rPr>
          <w:color w:val="auto"/>
        </w:rPr>
      </w:r>
      <w:r w:rsidR="00B716F0">
        <w:rPr>
          <w:color w:val="auto"/>
        </w:rPr>
        <w:fldChar w:fldCharType="separate"/>
      </w:r>
      <w:r w:rsidR="008112E6">
        <w:t xml:space="preserve">Figure </w:t>
      </w:r>
      <w:r w:rsidR="008112E6">
        <w:rPr>
          <w:noProof/>
        </w:rPr>
        <w:t>4</w:t>
      </w:r>
      <w:r w:rsidR="00B716F0">
        <w:rPr>
          <w:color w:val="auto"/>
        </w:rPr>
        <w:fldChar w:fldCharType="end"/>
      </w:r>
      <w:r w:rsidRPr="00F6489E">
        <w:rPr>
          <w:color w:val="auto"/>
        </w:rPr>
        <w:t>), the first journals could become available after 18 months, with another 18 months to build out and incorporate all journals.</w:t>
      </w:r>
    </w:p>
    <w:p w14:paraId="6CEF3847" w14:textId="1A054ABE" w:rsidR="00556AFC" w:rsidRDefault="00556AFC" w:rsidP="002864D3">
      <w:pPr>
        <w:pStyle w:val="Caption"/>
        <w:keepNext/>
      </w:pPr>
      <w:bookmarkStart w:id="10" w:name="_Ref115697407"/>
      <w:r>
        <w:t xml:space="preserve">Figure </w:t>
      </w:r>
      <w:r w:rsidR="0029059A">
        <w:fldChar w:fldCharType="begin"/>
      </w:r>
      <w:r w:rsidR="0029059A">
        <w:instrText xml:space="preserve"> SEQ Figure \* ARABIC </w:instrText>
      </w:r>
      <w:r w:rsidR="0029059A">
        <w:fldChar w:fldCharType="separate"/>
      </w:r>
      <w:r w:rsidR="008112E6">
        <w:rPr>
          <w:noProof/>
        </w:rPr>
        <w:t>4</w:t>
      </w:r>
      <w:r w:rsidR="0029059A">
        <w:fldChar w:fldCharType="end"/>
      </w:r>
      <w:bookmarkEnd w:id="10"/>
      <w:r>
        <w:t xml:space="preserve">: </w:t>
      </w:r>
      <w:r w:rsidR="002F0942">
        <w:t xml:space="preserve">Potential </w:t>
      </w:r>
      <w:r>
        <w:t>timeline</w:t>
      </w:r>
    </w:p>
    <w:p w14:paraId="304EF5DA" w14:textId="0E64941D" w:rsidR="00556AFC" w:rsidRDefault="00C63C1E" w:rsidP="00A577AC">
      <w:pPr>
        <w:pStyle w:val="EYBodytextwithparaspace"/>
      </w:pPr>
      <w:r>
        <w:rPr>
          <w:noProof/>
          <w:lang w:eastAsia="en-AU"/>
        </w:rPr>
        <w:drawing>
          <wp:inline distT="0" distB="0" distL="0" distR="0" wp14:anchorId="4392D2EF" wp14:editId="3E07F79B">
            <wp:extent cx="5733415" cy="1951355"/>
            <wp:effectExtent l="0" t="0" r="635" b="0"/>
            <wp:docPr id="17" name="Picture 17" descr="The figure is an infographic outlining a potential timeline for an open access scheme. This timeline is as follows, September 2022 to 2023, Business case. 2023 to June 2024, implementing planning, funding approvals and setup (Approximately 15-18 months). June 2024 to June 2026, building out journal coverage into 'long tail' (Approximately 12-18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figure is an infographic outlining a potential timeline for an open access scheme. This timeline is as follows, September 2022 to 2023, Business case. 2023 to June 2024, implementing planning, funding approvals and setup (Approximately 15-18 months). June 2024 to June 2026, building out journal coverage into 'long tail' (Approximately 12-18 months)."/>
                    <pic:cNvPicPr/>
                  </pic:nvPicPr>
                  <pic:blipFill>
                    <a:blip r:embed="rId23"/>
                    <a:stretch>
                      <a:fillRect/>
                    </a:stretch>
                  </pic:blipFill>
                  <pic:spPr>
                    <a:xfrm>
                      <a:off x="0" y="0"/>
                      <a:ext cx="5733415" cy="1951355"/>
                    </a:xfrm>
                    <a:prstGeom prst="rect">
                      <a:avLst/>
                    </a:prstGeom>
                  </pic:spPr>
                </pic:pic>
              </a:graphicData>
            </a:graphic>
          </wp:inline>
        </w:drawing>
      </w:r>
    </w:p>
    <w:p w14:paraId="10C6CD86" w14:textId="63D4C94C" w:rsidR="00B27ABB" w:rsidRPr="006119F9" w:rsidRDefault="00CC136D" w:rsidP="00A577AC">
      <w:pPr>
        <w:pStyle w:val="EYBodytextwithparaspace"/>
      </w:pPr>
      <w:r>
        <w:t>D</w:t>
      </w:r>
      <w:r w:rsidR="00B27ABB" w:rsidRPr="006119F9">
        <w:t>elivery of the open access scheme</w:t>
      </w:r>
      <w:r w:rsidR="00D74509">
        <w:t xml:space="preserve"> could </w:t>
      </w:r>
      <w:r w:rsidR="00676A47">
        <w:t>occur</w:t>
      </w:r>
      <w:r w:rsidR="00B27ABB" w:rsidRPr="006119F9">
        <w:t xml:space="preserve"> over </w:t>
      </w:r>
      <w:r w:rsidR="00B27ABB">
        <w:t xml:space="preserve">three </w:t>
      </w:r>
      <w:r w:rsidR="00B27ABB" w:rsidRPr="006119F9">
        <w:t>phases</w:t>
      </w:r>
      <w:r>
        <w:t>:</w:t>
      </w:r>
    </w:p>
    <w:p w14:paraId="079B5846" w14:textId="754A0FF0" w:rsidR="00BC5EB9" w:rsidRPr="002F73A0" w:rsidRDefault="00BC5EB9" w:rsidP="00BC5EB9">
      <w:pPr>
        <w:pStyle w:val="EYBodytextwithparaspace"/>
        <w:numPr>
          <w:ilvl w:val="0"/>
          <w:numId w:val="30"/>
        </w:numPr>
        <w:spacing w:after="280" w:line="240" w:lineRule="auto"/>
        <w:ind w:left="360"/>
      </w:pPr>
      <w:r>
        <w:rPr>
          <w:rStyle w:val="Strong"/>
          <w:color w:val="0E101A"/>
        </w:rPr>
        <w:t>Implementation planning, funding approvals and setup (18 months)</w:t>
      </w:r>
      <w:r>
        <w:t xml:space="preserve"> — </w:t>
      </w:r>
      <w:r w:rsidRPr="002F73A0">
        <w:t xml:space="preserve">This phase builds on the foundation of this </w:t>
      </w:r>
      <w:r w:rsidR="007C722E">
        <w:t>paper</w:t>
      </w:r>
      <w:r w:rsidRPr="002F73A0">
        <w:t xml:space="preserve"> and progresses to detailed design of the open access scheme. This includes structuring read-and-publish agreements, developing a negotiation strategy and transition planning. This phase also involves securing funding approvals, implementing a preferred governance structure, and acquiring IT solutions.</w:t>
      </w:r>
    </w:p>
    <w:p w14:paraId="6D962382" w14:textId="77777777" w:rsidR="00BC5EB9" w:rsidRPr="002F73A0" w:rsidRDefault="00BC5EB9" w:rsidP="00BC5EB9">
      <w:pPr>
        <w:pStyle w:val="EYBodytextwithparaspace"/>
        <w:numPr>
          <w:ilvl w:val="0"/>
          <w:numId w:val="30"/>
        </w:numPr>
        <w:spacing w:after="280" w:line="240" w:lineRule="auto"/>
        <w:ind w:left="360"/>
      </w:pPr>
      <w:r w:rsidRPr="002F73A0">
        <w:rPr>
          <w:rStyle w:val="Strong"/>
          <w:color w:val="0E101A"/>
        </w:rPr>
        <w:lastRenderedPageBreak/>
        <w:t>Build out journal coverage (18 months)</w:t>
      </w:r>
      <w:r w:rsidRPr="002F73A0">
        <w:t xml:space="preserve"> — This phase involves the scheme going live, enabling Australian stakeholders to access and publish journal articles under a centralised system. This phase will also expand journal coverage through continuous onboarding of publishers and transitioning Australian stakeholders from existing arrangements.</w:t>
      </w:r>
    </w:p>
    <w:p w14:paraId="4541C7D0" w14:textId="2BC972C4" w:rsidR="00BC5EB9" w:rsidRDefault="00BC5EB9" w:rsidP="00BC5EB9">
      <w:pPr>
        <w:pStyle w:val="EYBodytextwithparaspace"/>
        <w:numPr>
          <w:ilvl w:val="0"/>
          <w:numId w:val="30"/>
        </w:numPr>
        <w:spacing w:after="280" w:line="240" w:lineRule="auto"/>
        <w:ind w:left="360"/>
      </w:pPr>
      <w:r>
        <w:rPr>
          <w:rStyle w:val="Strong"/>
          <w:color w:val="0E101A"/>
        </w:rPr>
        <w:t>Full scheme (</w:t>
      </w:r>
      <w:r w:rsidRPr="002F73A0">
        <w:rPr>
          <w:rStyle w:val="Strong"/>
          <w:color w:val="0E101A"/>
        </w:rPr>
        <w:t>continuing)</w:t>
      </w:r>
      <w:r w:rsidRPr="002F73A0">
        <w:t xml:space="preserve"> — </w:t>
      </w:r>
      <w:r w:rsidR="00A76D62">
        <w:t>A</w:t>
      </w:r>
      <w:r>
        <w:t xml:space="preserve">t this stage, all </w:t>
      </w:r>
      <w:r w:rsidRPr="002F73A0">
        <w:t xml:space="preserve">Australian stakeholders </w:t>
      </w:r>
      <w:r>
        <w:t xml:space="preserve">will have </w:t>
      </w:r>
      <w:r w:rsidRPr="002F73A0">
        <w:t>transition</w:t>
      </w:r>
      <w:r w:rsidR="006C25CB">
        <w:t>ed</w:t>
      </w:r>
      <w:r w:rsidRPr="002F73A0">
        <w:t xml:space="preserve"> from existing arrangements and would </w:t>
      </w:r>
      <w:r>
        <w:t xml:space="preserve">continue </w:t>
      </w:r>
      <w:r w:rsidRPr="002F73A0">
        <w:t>access and publish journal articles through the central implementation body.</w:t>
      </w:r>
    </w:p>
    <w:p w14:paraId="5226CC61" w14:textId="097FD94D" w:rsidR="00610A15" w:rsidRDefault="00610A15" w:rsidP="00610A15">
      <w:pPr>
        <w:pStyle w:val="EYBodytextwithparaspace"/>
        <w:spacing w:after="280" w:line="240" w:lineRule="auto"/>
      </w:pPr>
      <w:r w:rsidRPr="00610A15">
        <w:t>There are major economic and social dividends as access to academic journals is expanded beyond core research and educational activities to businesses and citizens. These economic gains are likely to be significantly higher than the direct costs of the scheme and represent a significant social return on investment.</w:t>
      </w:r>
    </w:p>
    <w:p w14:paraId="00E675DD" w14:textId="3E3F44F0" w:rsidR="00610A15" w:rsidRDefault="00610A15" w:rsidP="00A577AC">
      <w:pPr>
        <w:pStyle w:val="EYBodytextwithparaspace"/>
        <w:sectPr w:rsidR="00610A15" w:rsidSect="006045AF">
          <w:footerReference w:type="default" r:id="rId24"/>
          <w:pgSz w:w="11909" w:h="16834" w:code="9"/>
          <w:pgMar w:top="1440" w:right="1440" w:bottom="1440" w:left="1440" w:header="720" w:footer="720" w:gutter="0"/>
          <w:cols w:space="720"/>
          <w:docGrid w:linePitch="360"/>
        </w:sectPr>
      </w:pPr>
    </w:p>
    <w:p w14:paraId="68166CD6" w14:textId="417BE526" w:rsidR="00024522" w:rsidRDefault="00D43F62" w:rsidP="00A577AC">
      <w:pPr>
        <w:pStyle w:val="EYBodytextwithparaspace"/>
      </w:pPr>
      <w:r>
        <w:rPr>
          <w:noProof/>
        </w:rPr>
        <w:lastRenderedPageBreak/>
        <mc:AlternateContent>
          <mc:Choice Requires="wps">
            <w:drawing>
              <wp:anchor distT="0" distB="0" distL="114300" distR="114300" simplePos="0" relativeHeight="251658242" behindDoc="0" locked="0" layoutInCell="1" allowOverlap="1" wp14:anchorId="4912BA52" wp14:editId="16501E9C">
                <wp:simplePos x="0" y="0"/>
                <wp:positionH relativeFrom="margin">
                  <wp:align>left</wp:align>
                </wp:positionH>
                <wp:positionV relativeFrom="paragraph">
                  <wp:posOffset>-419100</wp:posOffset>
                </wp:positionV>
                <wp:extent cx="4442604" cy="388188"/>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442604" cy="388188"/>
                        </a:xfrm>
                        <a:prstGeom prst="rect">
                          <a:avLst/>
                        </a:prstGeom>
                        <a:solidFill>
                          <a:schemeClr val="lt1"/>
                        </a:solidFill>
                        <a:ln w="6350">
                          <a:noFill/>
                        </a:ln>
                      </wps:spPr>
                      <wps:txbx>
                        <w:txbxContent>
                          <w:p w14:paraId="58CDC65B" w14:textId="77777777" w:rsidR="00D43F62" w:rsidRPr="00B6057A" w:rsidRDefault="00D43F62" w:rsidP="00D43F62">
                            <w:pPr>
                              <w:rPr>
                                <w:b/>
                                <w:bCs/>
                                <w:sz w:val="28"/>
                                <w:szCs w:val="28"/>
                              </w:rPr>
                            </w:pPr>
                            <w:r w:rsidRPr="00B6057A">
                              <w:rPr>
                                <w:b/>
                                <w:bCs/>
                                <w:sz w:val="28"/>
                                <w:szCs w:val="28"/>
                              </w:rPr>
                              <w:t>Summary of key open access models for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12BA52" id="Text Box 18" o:spid="_x0000_s1027" type="#_x0000_t202" style="position:absolute;margin-left:0;margin-top:-33pt;width:349.8pt;height:30.55pt;z-index:25165824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" fillcolor="white [3201]" stroked="f" strokeweight=".5pt">
                <v:textbox>
                  <w:txbxContent>
                    <w:p w14:paraId="58CDC65B" w14:textId="77777777" w:rsidR="00D43F62" w:rsidRPr="00B6057A" w:rsidRDefault="00D43F62" w:rsidP="00D43F62">
                      <w:pPr>
                        <w:rPr>
                          <w:b/>
                          <w:bCs/>
                          <w:sz w:val="28"/>
                          <w:szCs w:val="28"/>
                        </w:rPr>
                      </w:pPr>
                      <w:r w:rsidRPr="00B6057A">
                        <w:rPr>
                          <w:b/>
                          <w:bCs/>
                          <w:sz w:val="28"/>
                          <w:szCs w:val="28"/>
                        </w:rPr>
                        <w:t>Summary of key open access models for Australia</w:t>
                      </w:r>
                    </w:p>
                  </w:txbxContent>
                </v:textbox>
                <w10:wrap anchorx="margin"/>
              </v:shape>
            </w:pict>
          </mc:Fallback>
        </mc:AlternateContent>
      </w:r>
    </w:p>
    <w:tbl>
      <w:tblPr>
        <w:tblStyle w:val="TableGrid"/>
        <w:tblW w:w="14227" w:type="dxa"/>
        <w:tblBorders>
          <w:top w:val="none" w:sz="0" w:space="0" w:color="auto"/>
          <w:left w:val="none" w:sz="0" w:space="0" w:color="auto"/>
          <w:bottom w:val="none" w:sz="0" w:space="0" w:color="auto"/>
          <w:right w:val="none" w:sz="0" w:space="0" w:color="auto"/>
          <w:insideH w:val="single" w:sz="4" w:space="0" w:color="787890" w:themeColor="text1" w:themeTint="99"/>
          <w:insideV w:val="none" w:sz="0" w:space="0" w:color="auto"/>
        </w:tblBorders>
        <w:tblLook w:val="04A0" w:firstRow="1" w:lastRow="0" w:firstColumn="1" w:lastColumn="0" w:noHBand="0" w:noVBand="1"/>
      </w:tblPr>
      <w:tblGrid>
        <w:gridCol w:w="2391"/>
        <w:gridCol w:w="3943"/>
        <w:gridCol w:w="3943"/>
        <w:gridCol w:w="3950"/>
      </w:tblGrid>
      <w:tr w:rsidR="00337A1D" w:rsidRPr="000A1CAC" w14:paraId="75F31AFB" w14:textId="77777777" w:rsidTr="002511A6">
        <w:trPr>
          <w:trHeight w:val="499"/>
        </w:trPr>
        <w:tc>
          <w:tcPr>
            <w:tcW w:w="2391" w:type="dxa"/>
            <w:shd w:val="clear" w:color="auto" w:fill="787890" w:themeFill="text1" w:themeFillTint="99"/>
          </w:tcPr>
          <w:p w14:paraId="1C0F0BBE" w14:textId="77777777" w:rsidR="00337A1D" w:rsidRPr="000A1CAC" w:rsidRDefault="00337A1D" w:rsidP="002511A6">
            <w:pPr>
              <w:pStyle w:val="EYBodytextwithparaspace"/>
              <w:spacing w:before="120" w:line="240" w:lineRule="auto"/>
              <w:rPr>
                <w:rFonts w:ascii="EYInterstate Light" w:hAnsi="EYInterstate Light"/>
                <w:b/>
                <w:color w:val="FFFFFF" w:themeColor="background1"/>
                <w:sz w:val="18"/>
                <w:szCs w:val="18"/>
              </w:rPr>
            </w:pPr>
          </w:p>
        </w:tc>
        <w:tc>
          <w:tcPr>
            <w:tcW w:w="3943" w:type="dxa"/>
            <w:shd w:val="clear" w:color="auto" w:fill="787890" w:themeFill="text1" w:themeFillTint="99"/>
          </w:tcPr>
          <w:p w14:paraId="08423F5C" w14:textId="77777777" w:rsidR="00337A1D" w:rsidRPr="000A1CAC" w:rsidRDefault="00337A1D" w:rsidP="002511A6">
            <w:pPr>
              <w:pStyle w:val="EYBodytextwithparaspace"/>
              <w:spacing w:before="120" w:line="240" w:lineRule="auto"/>
              <w:rPr>
                <w:rFonts w:ascii="EYInterstate Light" w:hAnsi="EYInterstate Light"/>
                <w:b/>
                <w:color w:val="FFFFFF" w:themeColor="background1"/>
                <w:sz w:val="18"/>
                <w:szCs w:val="18"/>
              </w:rPr>
            </w:pPr>
            <w:r w:rsidRPr="000A1CAC">
              <w:rPr>
                <w:rFonts w:ascii="EYInterstate Light" w:hAnsi="EYInterstate Light"/>
                <w:b/>
                <w:color w:val="FFFFFF" w:themeColor="background1"/>
                <w:sz w:val="18"/>
                <w:szCs w:val="18"/>
              </w:rPr>
              <w:t>Central implementation body</w:t>
            </w:r>
          </w:p>
        </w:tc>
        <w:tc>
          <w:tcPr>
            <w:tcW w:w="3943" w:type="dxa"/>
            <w:shd w:val="clear" w:color="auto" w:fill="787890" w:themeFill="text1" w:themeFillTint="99"/>
          </w:tcPr>
          <w:p w14:paraId="70855CE6" w14:textId="77777777" w:rsidR="00337A1D" w:rsidRPr="000A1CAC" w:rsidRDefault="00337A1D" w:rsidP="002511A6">
            <w:pPr>
              <w:pStyle w:val="EYBodytextwithparaspace"/>
              <w:spacing w:before="120" w:line="240" w:lineRule="auto"/>
              <w:rPr>
                <w:rFonts w:ascii="EYInterstate Light" w:hAnsi="EYInterstate Light"/>
                <w:b/>
                <w:color w:val="FFFFFF" w:themeColor="background1"/>
                <w:sz w:val="18"/>
                <w:szCs w:val="18"/>
              </w:rPr>
            </w:pPr>
            <w:r w:rsidRPr="000A1CAC">
              <w:rPr>
                <w:rFonts w:ascii="EYInterstate Light" w:hAnsi="EYInterstate Light"/>
                <w:b/>
                <w:color w:val="FFFFFF" w:themeColor="background1"/>
                <w:sz w:val="18"/>
                <w:szCs w:val="18"/>
              </w:rPr>
              <w:t>Repository based open access</w:t>
            </w:r>
          </w:p>
        </w:tc>
        <w:tc>
          <w:tcPr>
            <w:tcW w:w="3950" w:type="dxa"/>
            <w:shd w:val="clear" w:color="auto" w:fill="787890" w:themeFill="text1" w:themeFillTint="99"/>
          </w:tcPr>
          <w:p w14:paraId="4749D166" w14:textId="77777777" w:rsidR="00337A1D" w:rsidRPr="000A1CAC" w:rsidRDefault="00337A1D" w:rsidP="002511A6">
            <w:pPr>
              <w:pStyle w:val="EYBodytextwithparaspace"/>
              <w:spacing w:before="120" w:line="240" w:lineRule="auto"/>
              <w:rPr>
                <w:rFonts w:ascii="EYInterstate Light" w:hAnsi="EYInterstate Light"/>
                <w:b/>
                <w:color w:val="FFFFFF" w:themeColor="background1"/>
                <w:sz w:val="18"/>
                <w:szCs w:val="18"/>
              </w:rPr>
            </w:pPr>
            <w:r w:rsidRPr="000A1CAC">
              <w:rPr>
                <w:rFonts w:ascii="EYInterstate Light" w:hAnsi="EYInterstate Light"/>
                <w:b/>
                <w:color w:val="FFFFFF" w:themeColor="background1"/>
                <w:sz w:val="18"/>
                <w:szCs w:val="18"/>
              </w:rPr>
              <w:t>Funding mandates</w:t>
            </w:r>
          </w:p>
        </w:tc>
      </w:tr>
      <w:tr w:rsidR="00337A1D" w:rsidRPr="00923257" w14:paraId="24BD4508" w14:textId="77777777" w:rsidTr="002511A6">
        <w:trPr>
          <w:trHeight w:val="1374"/>
        </w:trPr>
        <w:tc>
          <w:tcPr>
            <w:tcW w:w="2391" w:type="dxa"/>
          </w:tcPr>
          <w:p w14:paraId="0A5F02BA" w14:textId="77777777" w:rsidR="00337A1D" w:rsidRPr="009E259C" w:rsidRDefault="00337A1D" w:rsidP="002511A6">
            <w:pPr>
              <w:pStyle w:val="EYBodytextwithparaspace"/>
              <w:spacing w:before="60" w:after="60" w:line="240" w:lineRule="auto"/>
              <w:rPr>
                <w:rFonts w:ascii="EYInterstate Light" w:hAnsi="EYInterstate Light"/>
                <w:b/>
                <w:sz w:val="18"/>
                <w:szCs w:val="18"/>
              </w:rPr>
            </w:pPr>
            <w:r w:rsidRPr="009E259C">
              <w:rPr>
                <w:rFonts w:ascii="EYInterstate Light" w:hAnsi="EYInterstate Light"/>
                <w:b/>
                <w:sz w:val="18"/>
                <w:szCs w:val="18"/>
              </w:rPr>
              <w:t>Key features</w:t>
            </w:r>
          </w:p>
        </w:tc>
        <w:tc>
          <w:tcPr>
            <w:tcW w:w="3943" w:type="dxa"/>
          </w:tcPr>
          <w:p w14:paraId="79F850A4" w14:textId="77777777" w:rsidR="00337A1D" w:rsidRDefault="00337A1D" w:rsidP="002511A6">
            <w:pPr>
              <w:pStyle w:val="EYBodytextwithparaspace"/>
              <w:spacing w:before="60" w:after="60" w:line="240" w:lineRule="auto"/>
              <w:rPr>
                <w:rFonts w:ascii="EYInterstate Light" w:hAnsi="EYInterstate Light"/>
                <w:sz w:val="18"/>
                <w:szCs w:val="18"/>
              </w:rPr>
            </w:pPr>
            <w:r>
              <w:rPr>
                <w:rFonts w:ascii="EYInterstate Light" w:hAnsi="EYInterstate Light"/>
                <w:sz w:val="18"/>
                <w:szCs w:val="18"/>
              </w:rPr>
              <w:t xml:space="preserve">National </w:t>
            </w:r>
            <w:r w:rsidRPr="006652E4">
              <w:rPr>
                <w:rFonts w:ascii="EYInterstate Light" w:hAnsi="EYInterstate Light"/>
                <w:sz w:val="18"/>
                <w:szCs w:val="18"/>
              </w:rPr>
              <w:t>read-and-publish agreements</w:t>
            </w:r>
            <w:r>
              <w:rPr>
                <w:rFonts w:ascii="EYInterstate Light" w:hAnsi="EYInterstate Light"/>
                <w:sz w:val="18"/>
                <w:szCs w:val="18"/>
              </w:rPr>
              <w:t>.</w:t>
            </w:r>
          </w:p>
          <w:p w14:paraId="463A90D3"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Pr>
                <w:rFonts w:ascii="EYInterstate Light" w:hAnsi="EYInterstate Light"/>
                <w:sz w:val="18"/>
                <w:szCs w:val="18"/>
              </w:rPr>
              <w:t>Single body</w:t>
            </w:r>
            <w:r w:rsidRPr="006652E4">
              <w:rPr>
                <w:rFonts w:ascii="EYInterstate Light" w:hAnsi="EYInterstate Light"/>
                <w:sz w:val="18"/>
                <w:szCs w:val="18"/>
              </w:rPr>
              <w:t xml:space="preserve"> represent</w:t>
            </w:r>
            <w:r>
              <w:rPr>
                <w:rFonts w:ascii="EYInterstate Light" w:hAnsi="EYInterstate Light"/>
                <w:sz w:val="18"/>
                <w:szCs w:val="18"/>
              </w:rPr>
              <w:t>s</w:t>
            </w:r>
            <w:r w:rsidRPr="006652E4">
              <w:rPr>
                <w:rFonts w:ascii="EYInterstate Light" w:hAnsi="EYInterstate Light"/>
                <w:sz w:val="18"/>
                <w:szCs w:val="18"/>
              </w:rPr>
              <w:t xml:space="preserve"> the entire Australian community </w:t>
            </w:r>
            <w:r>
              <w:rPr>
                <w:rFonts w:ascii="EYInterstate Light" w:hAnsi="EYInterstate Light"/>
                <w:sz w:val="18"/>
                <w:szCs w:val="18"/>
              </w:rPr>
              <w:t xml:space="preserve">in agreements </w:t>
            </w:r>
            <w:r w:rsidRPr="006652E4">
              <w:rPr>
                <w:rFonts w:ascii="EYInterstate Light" w:hAnsi="EYInterstate Light"/>
                <w:sz w:val="18"/>
                <w:szCs w:val="18"/>
              </w:rPr>
              <w:t>with publishers</w:t>
            </w:r>
            <w:r>
              <w:rPr>
                <w:rFonts w:ascii="EYInterstate Light" w:hAnsi="EYInterstate Light"/>
                <w:sz w:val="18"/>
                <w:szCs w:val="18"/>
              </w:rPr>
              <w:t>.</w:t>
            </w:r>
          </w:p>
        </w:tc>
        <w:tc>
          <w:tcPr>
            <w:tcW w:w="3943" w:type="dxa"/>
          </w:tcPr>
          <w:p w14:paraId="4FD2C232"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Pr>
                <w:rFonts w:ascii="EYInterstate Light" w:hAnsi="EYInterstate Light"/>
                <w:sz w:val="18"/>
                <w:szCs w:val="18"/>
              </w:rPr>
              <w:t xml:space="preserve">The Australian </w:t>
            </w:r>
            <w:r w:rsidRPr="006652E4">
              <w:rPr>
                <w:rFonts w:ascii="EYInterstate Light" w:hAnsi="EYInterstate Light"/>
                <w:sz w:val="18"/>
                <w:szCs w:val="18"/>
              </w:rPr>
              <w:t xml:space="preserve">Government </w:t>
            </w:r>
            <w:r>
              <w:rPr>
                <w:rFonts w:ascii="EYInterstate Light" w:hAnsi="EYInterstate Light"/>
                <w:sz w:val="18"/>
                <w:szCs w:val="18"/>
              </w:rPr>
              <w:t>establishes</w:t>
            </w:r>
            <w:r w:rsidRPr="006652E4">
              <w:rPr>
                <w:rFonts w:ascii="EYInterstate Light" w:hAnsi="EYInterstate Light"/>
                <w:sz w:val="18"/>
                <w:szCs w:val="18"/>
              </w:rPr>
              <w:t xml:space="preserve"> a central </w:t>
            </w:r>
            <w:r>
              <w:rPr>
                <w:rFonts w:ascii="EYInterstate Light" w:hAnsi="EYInterstate Light"/>
                <w:sz w:val="18"/>
                <w:szCs w:val="18"/>
              </w:rPr>
              <w:t>(</w:t>
            </w:r>
            <w:r w:rsidRPr="006652E4">
              <w:rPr>
                <w:rFonts w:ascii="EYInterstate Light" w:hAnsi="EYInterstate Light"/>
                <w:sz w:val="18"/>
                <w:szCs w:val="18"/>
              </w:rPr>
              <w:t>or virtual</w:t>
            </w:r>
            <w:r>
              <w:rPr>
                <w:rFonts w:ascii="EYInterstate Light" w:hAnsi="EYInterstate Light"/>
                <w:sz w:val="18"/>
                <w:szCs w:val="18"/>
              </w:rPr>
              <w:t>ly linked)</w:t>
            </w:r>
            <w:r w:rsidRPr="006652E4">
              <w:rPr>
                <w:rFonts w:ascii="EYInterstate Light" w:hAnsi="EYInterstate Light"/>
                <w:sz w:val="18"/>
                <w:szCs w:val="18"/>
              </w:rPr>
              <w:t xml:space="preserve"> repository </w:t>
            </w:r>
            <w:r>
              <w:rPr>
                <w:rFonts w:ascii="EYInterstate Light" w:hAnsi="EYInterstate Light"/>
                <w:sz w:val="18"/>
                <w:szCs w:val="18"/>
              </w:rPr>
              <w:t>of</w:t>
            </w:r>
            <w:r w:rsidRPr="006652E4">
              <w:rPr>
                <w:rFonts w:ascii="EYInterstate Light" w:hAnsi="EYInterstate Light"/>
                <w:sz w:val="18"/>
                <w:szCs w:val="18"/>
              </w:rPr>
              <w:t xml:space="preserve"> existing Australian academic repositories</w:t>
            </w:r>
            <w:r>
              <w:rPr>
                <w:rFonts w:ascii="EYInterstate Light" w:hAnsi="EYInterstate Light"/>
                <w:sz w:val="18"/>
                <w:szCs w:val="18"/>
              </w:rPr>
              <w:t>.</w:t>
            </w:r>
          </w:p>
          <w:p w14:paraId="6370E64F"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sidRPr="006652E4">
              <w:rPr>
                <w:rFonts w:ascii="EYInterstate Light" w:hAnsi="EYInterstate Light"/>
                <w:sz w:val="18"/>
                <w:szCs w:val="18"/>
              </w:rPr>
              <w:t>Enables individuals to access author-submitted versions of academic journal articles</w:t>
            </w:r>
            <w:r>
              <w:rPr>
                <w:rFonts w:ascii="EYInterstate Light" w:hAnsi="EYInterstate Light"/>
                <w:sz w:val="18"/>
                <w:szCs w:val="18"/>
              </w:rPr>
              <w:t>.</w:t>
            </w:r>
          </w:p>
        </w:tc>
        <w:tc>
          <w:tcPr>
            <w:tcW w:w="3950" w:type="dxa"/>
          </w:tcPr>
          <w:p w14:paraId="7D403EFC"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Pr>
                <w:rFonts w:ascii="EYInterstate Light" w:hAnsi="EYInterstate Light"/>
                <w:sz w:val="18"/>
                <w:szCs w:val="18"/>
              </w:rPr>
              <w:t xml:space="preserve">All publicly funded research </w:t>
            </w:r>
            <w:r w:rsidRPr="006652E4">
              <w:rPr>
                <w:rFonts w:ascii="EYInterstate Light" w:hAnsi="EYInterstate Light"/>
                <w:sz w:val="18"/>
                <w:szCs w:val="18"/>
              </w:rPr>
              <w:t>(</w:t>
            </w:r>
            <w:r>
              <w:rPr>
                <w:rFonts w:ascii="EYInterstate Light" w:hAnsi="EYInterstate Light"/>
                <w:sz w:val="18"/>
                <w:szCs w:val="18"/>
              </w:rPr>
              <w:t xml:space="preserve">e.g. </w:t>
            </w:r>
            <w:r w:rsidRPr="006652E4">
              <w:rPr>
                <w:rFonts w:ascii="EYInterstate Light" w:hAnsi="EYInterstate Light"/>
                <w:sz w:val="18"/>
                <w:szCs w:val="18"/>
              </w:rPr>
              <w:t xml:space="preserve">ARC, NHMRC) </w:t>
            </w:r>
            <w:r>
              <w:rPr>
                <w:rFonts w:ascii="EYInterstate Light" w:hAnsi="EYInterstate Light"/>
                <w:sz w:val="18"/>
                <w:szCs w:val="18"/>
              </w:rPr>
              <w:t>to be published on an open access platform.</w:t>
            </w:r>
          </w:p>
        </w:tc>
      </w:tr>
      <w:tr w:rsidR="00337A1D" w:rsidRPr="00923257" w14:paraId="243958A8" w14:textId="77777777" w:rsidTr="002511A6">
        <w:trPr>
          <w:trHeight w:val="1123"/>
        </w:trPr>
        <w:tc>
          <w:tcPr>
            <w:tcW w:w="2391" w:type="dxa"/>
          </w:tcPr>
          <w:p w14:paraId="0C0E0493" w14:textId="77777777" w:rsidR="00337A1D" w:rsidRPr="009E259C" w:rsidRDefault="00337A1D" w:rsidP="002511A6">
            <w:pPr>
              <w:pStyle w:val="EYBodytextwithparaspace"/>
              <w:spacing w:before="60" w:after="60" w:line="240" w:lineRule="auto"/>
              <w:rPr>
                <w:rFonts w:ascii="EYInterstate Light" w:hAnsi="EYInterstate Light"/>
                <w:b/>
                <w:sz w:val="18"/>
                <w:szCs w:val="18"/>
              </w:rPr>
            </w:pPr>
            <w:r w:rsidRPr="009E259C">
              <w:rPr>
                <w:rFonts w:ascii="EYInterstate Light" w:hAnsi="EYInterstate Light"/>
                <w:b/>
                <w:sz w:val="18"/>
                <w:szCs w:val="18"/>
              </w:rPr>
              <w:t>Level of open access</w:t>
            </w:r>
          </w:p>
        </w:tc>
        <w:tc>
          <w:tcPr>
            <w:tcW w:w="3943" w:type="dxa"/>
          </w:tcPr>
          <w:p w14:paraId="10D22584"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sidRPr="006652E4">
              <w:rPr>
                <w:rFonts w:ascii="EYInterstate Light" w:hAnsi="EYInterstate Light"/>
                <w:sz w:val="18"/>
                <w:szCs w:val="18"/>
              </w:rPr>
              <w:t>All individuals and organisations in Australia can access paywalled articles</w:t>
            </w:r>
            <w:r>
              <w:rPr>
                <w:rFonts w:ascii="EYInterstate Light" w:hAnsi="EYInterstate Light"/>
                <w:sz w:val="18"/>
                <w:szCs w:val="18"/>
              </w:rPr>
              <w:t>.</w:t>
            </w:r>
          </w:p>
          <w:p w14:paraId="68F5EF93"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sidRPr="006652E4">
              <w:rPr>
                <w:rFonts w:ascii="EYInterstate Light" w:hAnsi="EYInterstate Light"/>
                <w:sz w:val="18"/>
                <w:szCs w:val="18"/>
              </w:rPr>
              <w:t>Supports gold, hybrid and platinum open access publishing</w:t>
            </w:r>
            <w:r>
              <w:rPr>
                <w:rFonts w:ascii="EYInterstate Light" w:hAnsi="EYInterstate Light"/>
                <w:sz w:val="18"/>
                <w:szCs w:val="18"/>
              </w:rPr>
              <w:t>.</w:t>
            </w:r>
          </w:p>
        </w:tc>
        <w:tc>
          <w:tcPr>
            <w:tcW w:w="3943" w:type="dxa"/>
          </w:tcPr>
          <w:p w14:paraId="3DF4C434"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sidRPr="006652E4">
              <w:rPr>
                <w:rFonts w:ascii="EYInterstate Light" w:hAnsi="EYInterstate Light"/>
                <w:sz w:val="18"/>
                <w:szCs w:val="18"/>
              </w:rPr>
              <w:t>Individual</w:t>
            </w:r>
            <w:r>
              <w:rPr>
                <w:rFonts w:ascii="EYInterstate Light" w:hAnsi="EYInterstate Light"/>
                <w:sz w:val="18"/>
                <w:szCs w:val="18"/>
              </w:rPr>
              <w:t>s</w:t>
            </w:r>
            <w:r w:rsidRPr="006652E4">
              <w:rPr>
                <w:rFonts w:ascii="EYInterstate Light" w:hAnsi="EYInterstate Light"/>
                <w:sz w:val="18"/>
                <w:szCs w:val="18"/>
              </w:rPr>
              <w:t xml:space="preserve"> can access articles deposited in Australian repositories</w:t>
            </w:r>
            <w:r>
              <w:rPr>
                <w:rFonts w:ascii="EYInterstate Light" w:hAnsi="EYInterstate Light"/>
                <w:sz w:val="18"/>
                <w:szCs w:val="18"/>
              </w:rPr>
              <w:t>.</w:t>
            </w:r>
          </w:p>
          <w:p w14:paraId="7217C4A5"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sidRPr="006652E4">
              <w:rPr>
                <w:rFonts w:ascii="EYInterstate Light" w:hAnsi="EYInterstate Light"/>
                <w:sz w:val="18"/>
                <w:szCs w:val="18"/>
              </w:rPr>
              <w:t>Supports green open access publishing</w:t>
            </w:r>
            <w:r>
              <w:rPr>
                <w:rFonts w:ascii="EYInterstate Light" w:hAnsi="EYInterstate Light"/>
                <w:sz w:val="18"/>
                <w:szCs w:val="18"/>
              </w:rPr>
              <w:t>.</w:t>
            </w:r>
          </w:p>
        </w:tc>
        <w:tc>
          <w:tcPr>
            <w:tcW w:w="3950" w:type="dxa"/>
          </w:tcPr>
          <w:p w14:paraId="14DFF245"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sidRPr="006652E4">
              <w:rPr>
                <w:rFonts w:ascii="EYInterstate Light" w:hAnsi="EYInterstate Light"/>
                <w:sz w:val="18"/>
                <w:szCs w:val="18"/>
              </w:rPr>
              <w:t xml:space="preserve">Individuals </w:t>
            </w:r>
            <w:r>
              <w:rPr>
                <w:rFonts w:ascii="EYInterstate Light" w:hAnsi="EYInterstate Light"/>
                <w:sz w:val="18"/>
                <w:szCs w:val="18"/>
              </w:rPr>
              <w:t xml:space="preserve">and businesses </w:t>
            </w:r>
            <w:r w:rsidRPr="006652E4">
              <w:rPr>
                <w:rFonts w:ascii="EYInterstate Light" w:hAnsi="EYInterstate Light"/>
                <w:sz w:val="18"/>
                <w:szCs w:val="18"/>
              </w:rPr>
              <w:t>can access Australian authored journal articles</w:t>
            </w:r>
            <w:r>
              <w:rPr>
                <w:rFonts w:ascii="EYInterstate Light" w:hAnsi="EYInterstate Light"/>
                <w:sz w:val="18"/>
                <w:szCs w:val="18"/>
              </w:rPr>
              <w:t>.</w:t>
            </w:r>
          </w:p>
          <w:p w14:paraId="6E5DEC26"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sidRPr="006652E4">
              <w:rPr>
                <w:rFonts w:ascii="EYInterstate Light" w:hAnsi="EYInterstate Light"/>
                <w:sz w:val="18"/>
                <w:szCs w:val="18"/>
              </w:rPr>
              <w:t>Supports gold, platinum, hybrid, and green open access publishing</w:t>
            </w:r>
            <w:r>
              <w:rPr>
                <w:rFonts w:ascii="EYInterstate Light" w:hAnsi="EYInterstate Light"/>
                <w:sz w:val="18"/>
                <w:szCs w:val="18"/>
              </w:rPr>
              <w:t>.</w:t>
            </w:r>
          </w:p>
        </w:tc>
      </w:tr>
      <w:tr w:rsidR="00337A1D" w:rsidRPr="00923257" w14:paraId="1E602926" w14:textId="77777777" w:rsidTr="002511A6">
        <w:trPr>
          <w:trHeight w:val="667"/>
        </w:trPr>
        <w:tc>
          <w:tcPr>
            <w:tcW w:w="2391" w:type="dxa"/>
          </w:tcPr>
          <w:p w14:paraId="470AD968" w14:textId="5218349F" w:rsidR="00337A1D" w:rsidRPr="009E259C" w:rsidRDefault="00895651" w:rsidP="002511A6">
            <w:pPr>
              <w:pStyle w:val="EYBodytextwithparaspace"/>
              <w:spacing w:before="60" w:after="60" w:line="240" w:lineRule="auto"/>
              <w:rPr>
                <w:rFonts w:ascii="EYInterstate Light" w:hAnsi="EYInterstate Light"/>
                <w:b/>
                <w:sz w:val="18"/>
                <w:szCs w:val="18"/>
              </w:rPr>
            </w:pPr>
            <w:r>
              <w:rPr>
                <w:rFonts w:ascii="EYInterstate Light" w:hAnsi="EYInterstate Light"/>
                <w:b/>
                <w:sz w:val="18"/>
                <w:szCs w:val="18"/>
              </w:rPr>
              <w:t xml:space="preserve">Comparative cost </w:t>
            </w:r>
          </w:p>
        </w:tc>
        <w:tc>
          <w:tcPr>
            <w:tcW w:w="3943" w:type="dxa"/>
          </w:tcPr>
          <w:p w14:paraId="0643435A" w14:textId="77777777" w:rsidR="00337A1D" w:rsidRDefault="00337A1D" w:rsidP="002511A6">
            <w:pPr>
              <w:pStyle w:val="EYBodytextwithparaspace"/>
              <w:spacing w:before="60" w:after="60" w:line="240" w:lineRule="auto"/>
              <w:rPr>
                <w:rFonts w:ascii="EYInterstate Light" w:hAnsi="EYInterstate Light"/>
                <w:sz w:val="18"/>
                <w:szCs w:val="18"/>
              </w:rPr>
            </w:pPr>
            <w:r w:rsidRPr="006652E4">
              <w:rPr>
                <w:rFonts w:ascii="EYInterstate Light" w:hAnsi="EYInterstate Light"/>
                <w:sz w:val="18"/>
                <w:szCs w:val="18"/>
              </w:rPr>
              <w:t>$420 million per year</w:t>
            </w:r>
          </w:p>
          <w:p w14:paraId="5D7B7BA1"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Pr>
                <w:rFonts w:ascii="EYInterstate Light" w:hAnsi="EYInterstate Light"/>
                <w:sz w:val="18"/>
                <w:szCs w:val="18"/>
              </w:rPr>
              <w:t>Substantial potential for cost offsets from current spending on academic journals.</w:t>
            </w:r>
          </w:p>
        </w:tc>
        <w:tc>
          <w:tcPr>
            <w:tcW w:w="3943" w:type="dxa"/>
          </w:tcPr>
          <w:p w14:paraId="6542C892" w14:textId="0F42E776" w:rsidR="00337A1D" w:rsidRDefault="00337A1D" w:rsidP="002511A6">
            <w:pPr>
              <w:pStyle w:val="EYBodytextwithparaspace"/>
              <w:spacing w:before="60" w:after="60" w:line="240" w:lineRule="auto"/>
              <w:rPr>
                <w:rFonts w:ascii="EYInterstate Light" w:hAnsi="EYInterstate Light"/>
                <w:sz w:val="18"/>
                <w:szCs w:val="18"/>
              </w:rPr>
            </w:pPr>
            <w:r w:rsidRPr="006652E4">
              <w:rPr>
                <w:rFonts w:ascii="EYInterstate Light" w:hAnsi="EYInterstate Light"/>
                <w:sz w:val="18"/>
                <w:szCs w:val="18"/>
              </w:rPr>
              <w:t>$</w:t>
            </w:r>
            <w:r w:rsidR="00936DBA">
              <w:rPr>
                <w:rFonts w:ascii="EYInterstate Light" w:hAnsi="EYInterstate Light"/>
                <w:sz w:val="18"/>
                <w:szCs w:val="18"/>
              </w:rPr>
              <w:t>50</w:t>
            </w:r>
            <w:r w:rsidRPr="006652E4">
              <w:rPr>
                <w:rFonts w:ascii="EYInterstate Light" w:hAnsi="EYInterstate Light"/>
                <w:sz w:val="18"/>
                <w:szCs w:val="18"/>
              </w:rPr>
              <w:t xml:space="preserve"> million</w:t>
            </w:r>
            <w:r>
              <w:rPr>
                <w:rFonts w:ascii="EYInterstate Light" w:hAnsi="EYInterstate Light"/>
                <w:sz w:val="18"/>
                <w:szCs w:val="18"/>
              </w:rPr>
              <w:t xml:space="preserve"> in up-front establishment costs, with relatively low operational costs (approx. $</w:t>
            </w:r>
            <w:r w:rsidR="00A9341D">
              <w:rPr>
                <w:rFonts w:ascii="EYInterstate Light" w:hAnsi="EYInterstate Light"/>
                <w:sz w:val="18"/>
                <w:szCs w:val="18"/>
              </w:rPr>
              <w:t>1</w:t>
            </w:r>
            <w:r>
              <w:rPr>
                <w:rFonts w:ascii="EYInterstate Light" w:hAnsi="EYInterstate Light"/>
                <w:sz w:val="18"/>
                <w:szCs w:val="18"/>
              </w:rPr>
              <w:t xml:space="preserve"> million per year).</w:t>
            </w:r>
          </w:p>
          <w:p w14:paraId="4E157742"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Pr>
                <w:rFonts w:ascii="EYInterstate Light" w:hAnsi="EYInterstate Light"/>
                <w:sz w:val="18"/>
                <w:szCs w:val="18"/>
              </w:rPr>
              <w:t>Minimal potential for cost offsets from current spending on academic journals.</w:t>
            </w:r>
          </w:p>
        </w:tc>
        <w:tc>
          <w:tcPr>
            <w:tcW w:w="3950" w:type="dxa"/>
          </w:tcPr>
          <w:p w14:paraId="288D003C" w14:textId="77777777" w:rsidR="00337A1D" w:rsidRDefault="00337A1D" w:rsidP="002511A6">
            <w:pPr>
              <w:pStyle w:val="EYBodytextwithparaspace"/>
              <w:spacing w:before="60" w:after="60" w:line="240" w:lineRule="auto"/>
              <w:rPr>
                <w:rFonts w:ascii="EYInterstate Light" w:hAnsi="EYInterstate Light"/>
                <w:sz w:val="18"/>
                <w:szCs w:val="18"/>
              </w:rPr>
            </w:pPr>
            <w:r>
              <w:rPr>
                <w:rFonts w:ascii="EYInterstate Light" w:hAnsi="EYInterstate Light"/>
                <w:sz w:val="18"/>
                <w:szCs w:val="18"/>
              </w:rPr>
              <w:t>Neg</w:t>
            </w:r>
            <w:r w:rsidRPr="00455A04">
              <w:rPr>
                <w:rFonts w:ascii="EYInterstate Light" w:hAnsi="EYInterstate Light"/>
                <w:sz w:val="18"/>
                <w:szCs w:val="18"/>
              </w:rPr>
              <w:t>ligible</w:t>
            </w:r>
            <w:r>
              <w:rPr>
                <w:rFonts w:ascii="EYInterstate Light" w:hAnsi="EYInterstate Light"/>
                <w:sz w:val="18"/>
                <w:szCs w:val="18"/>
              </w:rPr>
              <w:t xml:space="preserve"> additional funding requirements, </w:t>
            </w:r>
            <w:r w:rsidRPr="006652E4">
              <w:rPr>
                <w:rFonts w:ascii="EYInterstate Light" w:hAnsi="EYInterstate Light"/>
                <w:sz w:val="18"/>
                <w:szCs w:val="18"/>
              </w:rPr>
              <w:t>$0.5 million</w:t>
            </w:r>
            <w:r>
              <w:rPr>
                <w:rFonts w:ascii="EYInterstate Light" w:hAnsi="EYInterstate Light"/>
                <w:sz w:val="18"/>
                <w:szCs w:val="18"/>
              </w:rPr>
              <w:t>.</w:t>
            </w:r>
          </w:p>
          <w:p w14:paraId="444ECECB"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Pr>
                <w:rFonts w:ascii="EYInterstate Light" w:hAnsi="EYInterstate Light"/>
                <w:sz w:val="18"/>
                <w:szCs w:val="18"/>
              </w:rPr>
              <w:t>No potential for cost offsets from current spending on academic journals.</w:t>
            </w:r>
          </w:p>
        </w:tc>
      </w:tr>
      <w:tr w:rsidR="00337A1D" w:rsidRPr="00923257" w14:paraId="636AFDCA" w14:textId="77777777" w:rsidTr="002511A6">
        <w:trPr>
          <w:trHeight w:val="1374"/>
        </w:trPr>
        <w:tc>
          <w:tcPr>
            <w:tcW w:w="2391" w:type="dxa"/>
          </w:tcPr>
          <w:p w14:paraId="6A1763C1" w14:textId="77777777" w:rsidR="00337A1D" w:rsidRPr="009E259C" w:rsidRDefault="00337A1D" w:rsidP="002511A6">
            <w:pPr>
              <w:pStyle w:val="EYBodytextwithparaspace"/>
              <w:spacing w:before="60" w:after="60" w:line="240" w:lineRule="auto"/>
              <w:rPr>
                <w:rFonts w:ascii="EYInterstate Light" w:hAnsi="EYInterstate Light"/>
                <w:b/>
                <w:sz w:val="18"/>
                <w:szCs w:val="18"/>
              </w:rPr>
            </w:pPr>
            <w:r w:rsidRPr="009E259C">
              <w:rPr>
                <w:rFonts w:ascii="EYInterstate Light" w:hAnsi="EYInterstate Light"/>
                <w:b/>
                <w:sz w:val="18"/>
                <w:szCs w:val="18"/>
              </w:rPr>
              <w:t>Scale of economic uplift</w:t>
            </w:r>
          </w:p>
        </w:tc>
        <w:tc>
          <w:tcPr>
            <w:tcW w:w="3943" w:type="dxa"/>
          </w:tcPr>
          <w:p w14:paraId="1E5AD1DC"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Pr>
                <w:rFonts w:ascii="EYInterstate Light" w:hAnsi="EYInterstate Light"/>
                <w:sz w:val="18"/>
                <w:szCs w:val="18"/>
              </w:rPr>
              <w:t>C</w:t>
            </w:r>
            <w:r w:rsidRPr="006652E4">
              <w:rPr>
                <w:rFonts w:ascii="EYInterstate Light" w:hAnsi="EYInterstate Light"/>
                <w:sz w:val="18"/>
                <w:szCs w:val="18"/>
              </w:rPr>
              <w:t>ould deliver</w:t>
            </w:r>
            <w:r>
              <w:rPr>
                <w:rFonts w:ascii="EYInterstate Light" w:hAnsi="EYInterstate Light"/>
                <w:sz w:val="18"/>
                <w:szCs w:val="18"/>
              </w:rPr>
              <w:t xml:space="preserve"> </w:t>
            </w:r>
            <w:r w:rsidRPr="006652E4">
              <w:rPr>
                <w:rFonts w:ascii="EYInterstate Light" w:hAnsi="EYInterstate Light"/>
                <w:sz w:val="18"/>
                <w:szCs w:val="18"/>
              </w:rPr>
              <w:t xml:space="preserve">nearly $3.3 billion to the Australian economy over the next </w:t>
            </w:r>
            <w:r>
              <w:rPr>
                <w:rFonts w:ascii="EYInterstate Light" w:hAnsi="EYInterstate Light"/>
                <w:sz w:val="18"/>
                <w:szCs w:val="18"/>
              </w:rPr>
              <w:t>30 years.</w:t>
            </w:r>
          </w:p>
        </w:tc>
        <w:tc>
          <w:tcPr>
            <w:tcW w:w="3943" w:type="dxa"/>
          </w:tcPr>
          <w:p w14:paraId="1D31AA3C" w14:textId="77777777" w:rsidR="00337A1D" w:rsidRDefault="00337A1D" w:rsidP="002511A6">
            <w:pPr>
              <w:pStyle w:val="EYBodytextwithparaspace"/>
              <w:spacing w:before="60" w:after="60" w:line="240" w:lineRule="auto"/>
              <w:rPr>
                <w:rFonts w:ascii="EYInterstate Light" w:hAnsi="EYInterstate Light"/>
                <w:sz w:val="18"/>
                <w:szCs w:val="18"/>
              </w:rPr>
            </w:pPr>
            <w:r>
              <w:rPr>
                <w:rFonts w:ascii="EYInterstate Light" w:hAnsi="EYInterstate Light"/>
                <w:sz w:val="18"/>
                <w:szCs w:val="18"/>
              </w:rPr>
              <w:t>As the model provides a much lower level of access, the economic uplift is limited.</w:t>
            </w:r>
          </w:p>
          <w:p w14:paraId="155C73F3" w14:textId="77777777" w:rsidR="00337A1D" w:rsidRPr="007F4F1A" w:rsidRDefault="00337A1D" w:rsidP="002511A6">
            <w:pPr>
              <w:pStyle w:val="EYBodytextwithparaspace"/>
              <w:spacing w:before="60" w:after="60" w:line="240" w:lineRule="auto"/>
              <w:rPr>
                <w:rFonts w:ascii="EYInterstate Light" w:hAnsi="EYInterstate Light"/>
                <w:sz w:val="18"/>
                <w:szCs w:val="18"/>
              </w:rPr>
            </w:pPr>
            <w:r>
              <w:rPr>
                <w:rFonts w:ascii="EYInterstate Light" w:hAnsi="EYInterstate Light"/>
                <w:sz w:val="18"/>
                <w:szCs w:val="18"/>
              </w:rPr>
              <w:t xml:space="preserve">The model could provide economic benefits of around </w:t>
            </w:r>
            <w:r w:rsidRPr="007F4F1A">
              <w:rPr>
                <w:rFonts w:ascii="EYInterstate Light" w:hAnsi="EYInterstate Light"/>
                <w:sz w:val="18"/>
                <w:szCs w:val="18"/>
              </w:rPr>
              <w:t>$400 million over the next 20</w:t>
            </w:r>
            <w:r w:rsidRPr="00455A04">
              <w:rPr>
                <w:rFonts w:ascii="EYInterstate Light" w:hAnsi="EYInterstate Light"/>
                <w:sz w:val="18"/>
                <w:szCs w:val="18"/>
              </w:rPr>
              <w:t> </w:t>
            </w:r>
            <w:r w:rsidRPr="007F4F1A">
              <w:rPr>
                <w:rFonts w:ascii="EYInterstate Light" w:hAnsi="EYInterstate Light"/>
                <w:sz w:val="18"/>
                <w:szCs w:val="18"/>
              </w:rPr>
              <w:t>years</w:t>
            </w:r>
            <w:r>
              <w:rPr>
                <w:rFonts w:ascii="EYInterstate Light" w:hAnsi="EYInterstate Light"/>
                <w:sz w:val="18"/>
                <w:szCs w:val="18"/>
              </w:rPr>
              <w:t>.</w:t>
            </w:r>
          </w:p>
        </w:tc>
        <w:tc>
          <w:tcPr>
            <w:tcW w:w="3950" w:type="dxa"/>
          </w:tcPr>
          <w:p w14:paraId="16D8F4F1" w14:textId="77777777" w:rsidR="00337A1D" w:rsidRDefault="00337A1D" w:rsidP="002511A6">
            <w:pPr>
              <w:pStyle w:val="EYBodytextwithparaspace"/>
              <w:spacing w:before="60" w:after="60" w:line="240" w:lineRule="auto"/>
              <w:rPr>
                <w:rFonts w:ascii="EYInterstate Light" w:hAnsi="EYInterstate Light"/>
                <w:sz w:val="18"/>
                <w:szCs w:val="18"/>
              </w:rPr>
            </w:pPr>
            <w:r>
              <w:rPr>
                <w:rFonts w:ascii="EYInterstate Light" w:hAnsi="EYInterstate Light"/>
                <w:sz w:val="18"/>
                <w:szCs w:val="18"/>
              </w:rPr>
              <w:t>Model is restricted to new Australian-led research. It does not cover paywalled articles by international resear</w:t>
            </w:r>
            <w:r w:rsidRPr="00455A04">
              <w:rPr>
                <w:rFonts w:ascii="EYInterstate Light" w:hAnsi="EYInterstate Light"/>
                <w:sz w:val="18"/>
                <w:szCs w:val="18"/>
              </w:rPr>
              <w:t>chers</w:t>
            </w:r>
            <w:r>
              <w:rPr>
                <w:rFonts w:ascii="EYInterstate Light" w:hAnsi="EYInterstate Light"/>
                <w:sz w:val="18"/>
                <w:szCs w:val="18"/>
              </w:rPr>
              <w:t>.</w:t>
            </w:r>
          </w:p>
          <w:p w14:paraId="1C3975DA"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Pr>
                <w:rFonts w:ascii="EYInterstate Light" w:hAnsi="EYInterstate Light"/>
                <w:sz w:val="18"/>
                <w:szCs w:val="18"/>
              </w:rPr>
              <w:t>Limited economic gains, potentially in the order of $</w:t>
            </w:r>
            <w:r w:rsidRPr="006652E4">
              <w:rPr>
                <w:rFonts w:ascii="EYInterstate Light" w:hAnsi="EYInterstate Light"/>
                <w:sz w:val="18"/>
                <w:szCs w:val="18"/>
              </w:rPr>
              <w:t xml:space="preserve">300 million over the </w:t>
            </w:r>
            <w:r>
              <w:rPr>
                <w:rFonts w:ascii="EYInterstate Light" w:hAnsi="EYInterstate Light"/>
                <w:sz w:val="18"/>
                <w:szCs w:val="18"/>
              </w:rPr>
              <w:t>next few decades.</w:t>
            </w:r>
          </w:p>
        </w:tc>
      </w:tr>
      <w:tr w:rsidR="00337A1D" w:rsidRPr="00923257" w14:paraId="79A76A52" w14:textId="77777777" w:rsidTr="002511A6">
        <w:trPr>
          <w:trHeight w:val="1490"/>
        </w:trPr>
        <w:tc>
          <w:tcPr>
            <w:tcW w:w="2391" w:type="dxa"/>
            <w:tcBorders>
              <w:bottom w:val="single" w:sz="4" w:space="0" w:color="787890" w:themeColor="text1" w:themeTint="99"/>
            </w:tcBorders>
          </w:tcPr>
          <w:p w14:paraId="1A97272B" w14:textId="77777777" w:rsidR="00337A1D" w:rsidRPr="009E259C" w:rsidRDefault="00337A1D" w:rsidP="002511A6">
            <w:pPr>
              <w:pStyle w:val="EYBodytextwithparaspace"/>
              <w:spacing w:before="60" w:after="60" w:line="240" w:lineRule="auto"/>
              <w:rPr>
                <w:rFonts w:ascii="EYInterstate Light" w:hAnsi="EYInterstate Light"/>
                <w:b/>
                <w:sz w:val="18"/>
                <w:szCs w:val="18"/>
              </w:rPr>
            </w:pPr>
            <w:r w:rsidRPr="009E259C">
              <w:rPr>
                <w:rFonts w:ascii="EYInterstate Light" w:hAnsi="EYInterstate Light"/>
                <w:b/>
                <w:sz w:val="18"/>
                <w:szCs w:val="18"/>
              </w:rPr>
              <w:t>Delivery and risk</w:t>
            </w:r>
          </w:p>
        </w:tc>
        <w:tc>
          <w:tcPr>
            <w:tcW w:w="3943" w:type="dxa"/>
            <w:tcBorders>
              <w:bottom w:val="single" w:sz="4" w:space="0" w:color="787890" w:themeColor="text1" w:themeTint="99"/>
            </w:tcBorders>
          </w:tcPr>
          <w:p w14:paraId="33C66EF8"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sidRPr="006652E4">
              <w:rPr>
                <w:rFonts w:ascii="EYInterstate Light" w:hAnsi="EYInterstate Light"/>
                <w:sz w:val="18"/>
                <w:szCs w:val="18"/>
              </w:rPr>
              <w:t>Delivering t</w:t>
            </w:r>
            <w:r>
              <w:rPr>
                <w:rFonts w:ascii="EYInterstate Light" w:hAnsi="EYInterstate Light"/>
                <w:sz w:val="18"/>
                <w:szCs w:val="18"/>
              </w:rPr>
              <w:t>his model could be completed</w:t>
            </w:r>
            <w:r w:rsidRPr="006652E4">
              <w:rPr>
                <w:rFonts w:ascii="EYInterstate Light" w:hAnsi="EYInterstate Light"/>
                <w:sz w:val="18"/>
                <w:szCs w:val="18"/>
              </w:rPr>
              <w:t xml:space="preserve"> over three years with a</w:t>
            </w:r>
            <w:r>
              <w:rPr>
                <w:rFonts w:ascii="EYInterstate Light" w:hAnsi="EYInterstate Light"/>
                <w:sz w:val="18"/>
                <w:szCs w:val="18"/>
              </w:rPr>
              <w:t>n initial</w:t>
            </w:r>
            <w:r w:rsidRPr="006652E4">
              <w:rPr>
                <w:rFonts w:ascii="EYInterstate Light" w:hAnsi="EYInterstate Light"/>
                <w:sz w:val="18"/>
                <w:szCs w:val="18"/>
              </w:rPr>
              <w:t xml:space="preserve"> go live stage within 18 months</w:t>
            </w:r>
            <w:r>
              <w:rPr>
                <w:rFonts w:ascii="EYInterstate Light" w:hAnsi="EYInterstate Light"/>
                <w:sz w:val="18"/>
                <w:szCs w:val="18"/>
              </w:rPr>
              <w:t>.</w:t>
            </w:r>
          </w:p>
          <w:p w14:paraId="5E9BEB78"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Pr>
                <w:rFonts w:ascii="EYInterstate Light" w:hAnsi="EYInterstate Light"/>
                <w:sz w:val="18"/>
                <w:szCs w:val="18"/>
              </w:rPr>
              <w:t xml:space="preserve">Involves some major delivery challenges </w:t>
            </w:r>
            <w:r w:rsidRPr="006652E4">
              <w:rPr>
                <w:rFonts w:ascii="EYInterstate Light" w:hAnsi="EYInterstate Light"/>
                <w:sz w:val="18"/>
                <w:szCs w:val="18"/>
              </w:rPr>
              <w:t xml:space="preserve">due to the substantial shift in </w:t>
            </w:r>
            <w:r>
              <w:rPr>
                <w:rFonts w:ascii="EYInterstate Light" w:hAnsi="EYInterstate Light"/>
                <w:sz w:val="18"/>
                <w:szCs w:val="18"/>
              </w:rPr>
              <w:t>access arrangements and standing up a new body.</w:t>
            </w:r>
          </w:p>
        </w:tc>
        <w:tc>
          <w:tcPr>
            <w:tcW w:w="3943" w:type="dxa"/>
            <w:tcBorders>
              <w:bottom w:val="single" w:sz="4" w:space="0" w:color="787890" w:themeColor="text1" w:themeTint="99"/>
            </w:tcBorders>
          </w:tcPr>
          <w:p w14:paraId="1EA55075"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sidRPr="006652E4">
              <w:rPr>
                <w:rFonts w:ascii="EYInterstate Light" w:hAnsi="EYInterstate Light"/>
                <w:sz w:val="18"/>
                <w:szCs w:val="18"/>
              </w:rPr>
              <w:t xml:space="preserve">Delivering a virtually linked repository </w:t>
            </w:r>
            <w:r>
              <w:rPr>
                <w:rFonts w:ascii="EYInterstate Light" w:hAnsi="EYInterstate Light"/>
                <w:sz w:val="18"/>
                <w:szCs w:val="18"/>
              </w:rPr>
              <w:t>could take around two</w:t>
            </w:r>
            <w:r w:rsidRPr="006652E4">
              <w:rPr>
                <w:rFonts w:ascii="EYInterstate Light" w:hAnsi="EYInterstate Light"/>
                <w:sz w:val="18"/>
                <w:szCs w:val="18"/>
              </w:rPr>
              <w:t xml:space="preserve"> years</w:t>
            </w:r>
            <w:r>
              <w:rPr>
                <w:rFonts w:ascii="EYInterstate Light" w:hAnsi="EYInterstate Light"/>
                <w:sz w:val="18"/>
                <w:szCs w:val="18"/>
              </w:rPr>
              <w:t>.</w:t>
            </w:r>
          </w:p>
          <w:p w14:paraId="470C67A1"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Pr>
                <w:rFonts w:ascii="EYInterstate Light" w:hAnsi="EYInterstate Light"/>
                <w:sz w:val="18"/>
                <w:szCs w:val="18"/>
              </w:rPr>
              <w:t>There will be delivery challenges in migrating and consolidating many Australian</w:t>
            </w:r>
            <w:r w:rsidRPr="006652E4">
              <w:rPr>
                <w:rFonts w:ascii="EYInterstate Light" w:hAnsi="EYInterstate Light"/>
                <w:sz w:val="18"/>
                <w:szCs w:val="18"/>
              </w:rPr>
              <w:t xml:space="preserve"> university repositories</w:t>
            </w:r>
            <w:r>
              <w:rPr>
                <w:rFonts w:ascii="EYInterstate Light" w:hAnsi="EYInterstate Light"/>
                <w:sz w:val="18"/>
                <w:szCs w:val="18"/>
              </w:rPr>
              <w:t>.</w:t>
            </w:r>
          </w:p>
        </w:tc>
        <w:tc>
          <w:tcPr>
            <w:tcW w:w="3950" w:type="dxa"/>
            <w:tcBorders>
              <w:bottom w:val="single" w:sz="4" w:space="0" w:color="787890" w:themeColor="text1" w:themeTint="99"/>
            </w:tcBorders>
          </w:tcPr>
          <w:p w14:paraId="41F05E22"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sidRPr="006652E4">
              <w:rPr>
                <w:rFonts w:ascii="EYInterstate Light" w:hAnsi="EYInterstate Light"/>
                <w:sz w:val="18"/>
                <w:szCs w:val="18"/>
              </w:rPr>
              <w:t>Funding mandates could be implemented in less than a year</w:t>
            </w:r>
            <w:r>
              <w:rPr>
                <w:rFonts w:ascii="EYInterstate Light" w:hAnsi="EYInterstate Light"/>
                <w:sz w:val="18"/>
                <w:szCs w:val="18"/>
              </w:rPr>
              <w:t>.</w:t>
            </w:r>
          </w:p>
          <w:p w14:paraId="3D58259A" w14:textId="77777777" w:rsidR="00337A1D" w:rsidRPr="006652E4" w:rsidRDefault="00337A1D" w:rsidP="002511A6">
            <w:pPr>
              <w:pStyle w:val="EYBodytextwithparaspace"/>
              <w:spacing w:before="60" w:after="60" w:line="240" w:lineRule="auto"/>
              <w:rPr>
                <w:rFonts w:ascii="EYInterstate Light" w:hAnsi="EYInterstate Light"/>
                <w:sz w:val="18"/>
                <w:szCs w:val="18"/>
              </w:rPr>
            </w:pPr>
            <w:r w:rsidRPr="006652E4">
              <w:rPr>
                <w:rFonts w:ascii="EYInterstate Light" w:hAnsi="EYInterstate Light"/>
                <w:sz w:val="18"/>
                <w:szCs w:val="18"/>
              </w:rPr>
              <w:t>Low delivery risk with research funders already starting to deliver this model</w:t>
            </w:r>
            <w:r>
              <w:rPr>
                <w:rFonts w:ascii="EYInterstate Light" w:hAnsi="EYInterstate Light"/>
                <w:sz w:val="18"/>
                <w:szCs w:val="18"/>
              </w:rPr>
              <w:t>.</w:t>
            </w:r>
          </w:p>
        </w:tc>
      </w:tr>
      <w:tr w:rsidR="00337A1D" w:rsidRPr="00923257" w14:paraId="00125CC2" w14:textId="77777777" w:rsidTr="002511A6">
        <w:trPr>
          <w:trHeight w:val="1134"/>
        </w:trPr>
        <w:tc>
          <w:tcPr>
            <w:tcW w:w="2391" w:type="dxa"/>
            <w:tcBorders>
              <w:top w:val="single" w:sz="4" w:space="0" w:color="787890" w:themeColor="text1" w:themeTint="99"/>
              <w:bottom w:val="single" w:sz="4" w:space="0" w:color="787890" w:themeColor="text1" w:themeTint="99"/>
            </w:tcBorders>
            <w:shd w:val="clear" w:color="auto" w:fill="D2D2DA" w:themeFill="text1" w:themeFillTint="33"/>
          </w:tcPr>
          <w:p w14:paraId="26A6C2C7" w14:textId="77777777" w:rsidR="00337A1D" w:rsidRPr="009E259C" w:rsidRDefault="00337A1D" w:rsidP="002511A6">
            <w:pPr>
              <w:pStyle w:val="EYBodytextwithparaspace"/>
              <w:spacing w:before="120" w:line="240" w:lineRule="auto"/>
              <w:rPr>
                <w:rFonts w:ascii="EYInterstate Light" w:hAnsi="EYInterstate Light"/>
                <w:b/>
                <w:sz w:val="18"/>
                <w:szCs w:val="18"/>
              </w:rPr>
            </w:pPr>
            <w:r w:rsidRPr="009E259C">
              <w:rPr>
                <w:rFonts w:ascii="EYInterstate Light" w:hAnsi="EYInterstate Light"/>
                <w:b/>
                <w:bCs/>
                <w:sz w:val="18"/>
                <w:szCs w:val="18"/>
              </w:rPr>
              <w:t>Conclusion</w:t>
            </w:r>
          </w:p>
        </w:tc>
        <w:tc>
          <w:tcPr>
            <w:tcW w:w="11836" w:type="dxa"/>
            <w:gridSpan w:val="3"/>
            <w:tcBorders>
              <w:top w:val="single" w:sz="4" w:space="0" w:color="787890" w:themeColor="text1" w:themeTint="99"/>
              <w:bottom w:val="single" w:sz="4" w:space="0" w:color="787890" w:themeColor="text1" w:themeTint="99"/>
            </w:tcBorders>
            <w:shd w:val="clear" w:color="auto" w:fill="D2D2DA" w:themeFill="text1" w:themeFillTint="33"/>
          </w:tcPr>
          <w:p w14:paraId="668B10DA" w14:textId="77777777" w:rsidR="00337A1D" w:rsidRPr="006652E4" w:rsidRDefault="00337A1D" w:rsidP="002511A6">
            <w:pPr>
              <w:pStyle w:val="EYBodytextwithparaspace"/>
              <w:spacing w:before="120" w:line="240" w:lineRule="auto"/>
              <w:rPr>
                <w:rFonts w:ascii="EYInterstate Light" w:hAnsi="EYInterstate Light"/>
                <w:sz w:val="18"/>
                <w:szCs w:val="18"/>
              </w:rPr>
            </w:pPr>
            <w:r>
              <w:rPr>
                <w:rFonts w:ascii="EYInterstate Light" w:hAnsi="EYInterstate Light"/>
                <w:sz w:val="18"/>
                <w:szCs w:val="18"/>
              </w:rPr>
              <w:t>An open access scheme delivered through a</w:t>
            </w:r>
            <w:r w:rsidRPr="006652E4">
              <w:rPr>
                <w:rFonts w:ascii="EYInterstate Light" w:hAnsi="EYInterstate Light"/>
                <w:sz w:val="18"/>
                <w:szCs w:val="18"/>
              </w:rPr>
              <w:t xml:space="preserve"> central implementation body </w:t>
            </w:r>
            <w:r>
              <w:rPr>
                <w:rFonts w:ascii="EYInterstate Light" w:hAnsi="EYInterstate Light"/>
                <w:sz w:val="18"/>
                <w:szCs w:val="18"/>
              </w:rPr>
              <w:t>involves greater cost and delivery challenges than other models. However, this model delivers a greater level of access to both international and Australian-led research. It provides a single system that would f</w:t>
            </w:r>
            <w:r w:rsidRPr="00455A04">
              <w:rPr>
                <w:rFonts w:ascii="EYInterstate Light" w:hAnsi="EYInterstate Light"/>
                <w:sz w:val="18"/>
                <w:szCs w:val="18"/>
              </w:rPr>
              <w:t>ulfill</w:t>
            </w:r>
            <w:r>
              <w:rPr>
                <w:rFonts w:ascii="EYInterstate Light" w:hAnsi="EYInterstate Light"/>
                <w:sz w:val="18"/>
                <w:szCs w:val="18"/>
              </w:rPr>
              <w:t xml:space="preserve"> the needs of the research sector, as well as extending access to the entire community. T</w:t>
            </w:r>
            <w:r w:rsidRPr="006652E4">
              <w:rPr>
                <w:rFonts w:ascii="EYInterstate Light" w:hAnsi="EYInterstate Light"/>
                <w:sz w:val="18"/>
                <w:szCs w:val="18"/>
              </w:rPr>
              <w:t>he</w:t>
            </w:r>
            <w:r>
              <w:rPr>
                <w:rFonts w:ascii="EYInterstate Light" w:hAnsi="EYInterstate Light"/>
                <w:sz w:val="18"/>
                <w:szCs w:val="18"/>
              </w:rPr>
              <w:t xml:space="preserve"> potential economic dividend from this model</w:t>
            </w:r>
            <w:r w:rsidRPr="006652E4">
              <w:rPr>
                <w:rFonts w:ascii="EYInterstate Light" w:hAnsi="EYInterstate Light"/>
                <w:sz w:val="18"/>
                <w:szCs w:val="18"/>
              </w:rPr>
              <w:t xml:space="preserve"> is </w:t>
            </w:r>
            <w:r>
              <w:rPr>
                <w:rFonts w:ascii="EYInterstate Light" w:hAnsi="EYInterstate Light"/>
                <w:sz w:val="18"/>
                <w:szCs w:val="18"/>
              </w:rPr>
              <w:t>broad</w:t>
            </w:r>
            <w:r w:rsidRPr="006652E4">
              <w:rPr>
                <w:rFonts w:ascii="EYInterstate Light" w:hAnsi="EYInterstate Light"/>
                <w:sz w:val="18"/>
                <w:szCs w:val="18"/>
              </w:rPr>
              <w:t xml:space="preserve">-ranging and </w:t>
            </w:r>
            <w:r>
              <w:rPr>
                <w:rFonts w:ascii="EYInterstate Light" w:hAnsi="EYInterstate Light"/>
                <w:sz w:val="18"/>
                <w:szCs w:val="18"/>
              </w:rPr>
              <w:t>could help elevate the national scienc</w:t>
            </w:r>
            <w:r w:rsidRPr="00455A04">
              <w:rPr>
                <w:rFonts w:ascii="EYInterstate Light" w:hAnsi="EYInterstate Light"/>
                <w:sz w:val="18"/>
                <w:szCs w:val="18"/>
              </w:rPr>
              <w:t>e</w:t>
            </w:r>
            <w:r>
              <w:rPr>
                <w:rFonts w:ascii="EYInterstate Light" w:hAnsi="EYInterstate Light"/>
                <w:sz w:val="18"/>
                <w:szCs w:val="18"/>
              </w:rPr>
              <w:t xml:space="preserve"> and innovation agenda and promote Australia’s</w:t>
            </w:r>
            <w:r w:rsidRPr="006652E4">
              <w:rPr>
                <w:rFonts w:ascii="EYInterstate Light" w:hAnsi="EYInterstate Light"/>
                <w:sz w:val="18"/>
                <w:szCs w:val="18"/>
              </w:rPr>
              <w:t xml:space="preserve"> knowledge economy.</w:t>
            </w:r>
          </w:p>
        </w:tc>
      </w:tr>
    </w:tbl>
    <w:p w14:paraId="68EA346E" w14:textId="77777777" w:rsidR="00024522" w:rsidRDefault="00024522" w:rsidP="00A577AC">
      <w:pPr>
        <w:pStyle w:val="EYBodytextwithparaspace"/>
        <w:sectPr w:rsidR="00024522" w:rsidSect="00024522">
          <w:pgSz w:w="16834" w:h="11909" w:orient="landscape" w:code="9"/>
          <w:pgMar w:top="1440" w:right="1440" w:bottom="1440" w:left="1440" w:header="720" w:footer="720" w:gutter="0"/>
          <w:cols w:space="720"/>
          <w:docGrid w:linePitch="360"/>
        </w:sectPr>
      </w:pPr>
    </w:p>
    <w:p w14:paraId="1471C82B" w14:textId="49A5CAF2" w:rsidR="00477AFA" w:rsidRDefault="00274132" w:rsidP="00477AFA">
      <w:pPr>
        <w:pStyle w:val="EYHeading1"/>
      </w:pPr>
      <w:bookmarkStart w:id="11" w:name="_Toc115717072"/>
      <w:r>
        <w:lastRenderedPageBreak/>
        <w:t>Introduction</w:t>
      </w:r>
      <w:bookmarkEnd w:id="11"/>
    </w:p>
    <w:p w14:paraId="1DBC80A0" w14:textId="402D71DB" w:rsidR="00BC497C" w:rsidRDefault="005F5AA4" w:rsidP="00342DBF">
      <w:pPr>
        <w:pStyle w:val="EYBodytextwithoutparaspace"/>
      </w:pPr>
      <w:r>
        <w:t xml:space="preserve">Open access is defined as </w:t>
      </w:r>
      <w:r w:rsidR="00742689">
        <w:t xml:space="preserve">academic literature or publications that are freely available on the internet, where users are permitted to read, download, distribute, or reference the full text of these works. </w:t>
      </w:r>
      <w:r w:rsidR="00BC497C">
        <w:t>For example</w:t>
      </w:r>
      <w:r w:rsidR="00D923F0">
        <w:t>, p</w:t>
      </w:r>
      <w:r w:rsidR="00777A8A" w:rsidRPr="00777A8A">
        <w:t xml:space="preserve">ublisher Springer Nature </w:t>
      </w:r>
      <w:r w:rsidR="00777A8A">
        <w:t xml:space="preserve">defines open access as referring to the </w:t>
      </w:r>
      <w:r w:rsidR="000A7C79">
        <w:t>‘</w:t>
      </w:r>
      <w:r w:rsidR="00777A8A">
        <w:t>free, immediate, online available of research outputs such as journal articles or books, combined with the rights to use these outputs fully in the digital environment</w:t>
      </w:r>
      <w:r w:rsidR="007A7214">
        <w:t>.</w:t>
      </w:r>
      <w:r w:rsidR="000A7C79">
        <w:t>’</w:t>
      </w:r>
      <w:r w:rsidR="00777A8A">
        <w:rPr>
          <w:rStyle w:val="FootnoteReference"/>
        </w:rPr>
        <w:footnoteReference w:id="6"/>
      </w:r>
    </w:p>
    <w:p w14:paraId="4F7D785E" w14:textId="3CB1FD51" w:rsidR="00BC497C" w:rsidRDefault="00860457" w:rsidP="00342DBF">
      <w:pPr>
        <w:pStyle w:val="EYBodytextwithoutparaspace"/>
      </w:pPr>
      <w:r>
        <w:t>T</w:t>
      </w:r>
      <w:r w:rsidR="00C5553A">
        <w:t xml:space="preserve">here is </w:t>
      </w:r>
      <w:r w:rsidR="001C6282">
        <w:t xml:space="preserve">broad </w:t>
      </w:r>
      <w:r w:rsidR="00C5553A">
        <w:t xml:space="preserve">consensus </w:t>
      </w:r>
      <w:r w:rsidR="00293375">
        <w:t>about</w:t>
      </w:r>
      <w:r w:rsidR="00C5553A">
        <w:t xml:space="preserve"> the </w:t>
      </w:r>
      <w:r w:rsidR="001C6282">
        <w:t>intellectual and societal benefits of making research open access</w:t>
      </w:r>
      <w:r w:rsidR="003E0F5B">
        <w:t>, and a trend towards institutions and publishers making more research open access</w:t>
      </w:r>
      <w:r w:rsidR="001C6282">
        <w:t>.</w:t>
      </w:r>
    </w:p>
    <w:p w14:paraId="7CB73F8F" w14:textId="0C50398F" w:rsidR="00293375" w:rsidRPr="00A72225" w:rsidRDefault="00293375" w:rsidP="00A72225">
      <w:pPr>
        <w:pStyle w:val="EYBodytextwithparaspace"/>
        <w:rPr>
          <w:rFonts w:ascii="EYInterstate" w:hAnsi="EYInterstate"/>
          <w:sz w:val="24"/>
          <w:szCs w:val="24"/>
        </w:rPr>
      </w:pPr>
      <w:r w:rsidRPr="00A72225">
        <w:rPr>
          <w:rFonts w:ascii="EYInterstate" w:hAnsi="EYInterstate"/>
          <w:sz w:val="24"/>
          <w:szCs w:val="24"/>
        </w:rPr>
        <w:t>Too much academic literature sits behind paywalls</w:t>
      </w:r>
    </w:p>
    <w:p w14:paraId="4F82692A" w14:textId="7A1EC07E" w:rsidR="00A6678B" w:rsidRDefault="003E0F5B" w:rsidP="00342DBF">
      <w:pPr>
        <w:pStyle w:val="EYBodytextwithoutparaspace"/>
      </w:pPr>
      <w:r>
        <w:t xml:space="preserve">The </w:t>
      </w:r>
      <w:r w:rsidR="00426CCF">
        <w:t xml:space="preserve">Australian </w:t>
      </w:r>
      <w:r w:rsidR="00943832">
        <w:t>G</w:t>
      </w:r>
      <w:r w:rsidR="00426CCF">
        <w:t>overnment</w:t>
      </w:r>
      <w:r w:rsidR="00A6678B">
        <w:t xml:space="preserve"> </w:t>
      </w:r>
      <w:r w:rsidR="00B067D6">
        <w:t>provides a range of</w:t>
      </w:r>
      <w:r w:rsidR="00263CE2">
        <w:t xml:space="preserve"> support</w:t>
      </w:r>
      <w:r w:rsidR="00B067D6">
        <w:t xml:space="preserve"> for the</w:t>
      </w:r>
      <w:r w:rsidR="00A6678B">
        <w:t xml:space="preserve"> research sector</w:t>
      </w:r>
      <w:r w:rsidR="005F41DE">
        <w:t xml:space="preserve">. </w:t>
      </w:r>
      <w:r w:rsidR="003A59EB">
        <w:t>I</w:t>
      </w:r>
      <w:r>
        <w:t>nvestment</w:t>
      </w:r>
      <w:r w:rsidR="003A59EB">
        <w:t xml:space="preserve"> in research</w:t>
      </w:r>
      <w:r w:rsidR="00A6678B">
        <w:t xml:space="preserve"> totall</w:t>
      </w:r>
      <w:r w:rsidR="003A59EB">
        <w:t>ed</w:t>
      </w:r>
      <w:r w:rsidR="00A6678B">
        <w:t xml:space="preserve"> more than $12.1 billion in 2020-21, with $4.7</w:t>
      </w:r>
      <w:r w:rsidR="00010636">
        <w:t xml:space="preserve"> </w:t>
      </w:r>
      <w:r w:rsidR="00A6678B">
        <w:t xml:space="preserve">billion channelled through the higher education sector and almost $3 billion </w:t>
      </w:r>
      <w:r w:rsidR="003A59EB">
        <w:t>in</w:t>
      </w:r>
      <w:r w:rsidR="00A6678B">
        <w:t xml:space="preserve"> direct funding to industry (see</w:t>
      </w:r>
      <w:r w:rsidR="004649D8">
        <w:t xml:space="preserve"> </w:t>
      </w:r>
      <w:r w:rsidR="004649D8">
        <w:fldChar w:fldCharType="begin"/>
      </w:r>
      <w:r w:rsidR="004649D8">
        <w:instrText xml:space="preserve"> REF _Ref108792234 \h </w:instrText>
      </w:r>
      <w:r w:rsidR="004649D8">
        <w:fldChar w:fldCharType="separate"/>
      </w:r>
      <w:r w:rsidR="008112E6">
        <w:t xml:space="preserve">Figure </w:t>
      </w:r>
      <w:r w:rsidR="008112E6">
        <w:rPr>
          <w:noProof/>
        </w:rPr>
        <w:t>5</w:t>
      </w:r>
      <w:r w:rsidR="004649D8">
        <w:fldChar w:fldCharType="end"/>
      </w:r>
      <w:r w:rsidR="00A6678B">
        <w:t>).</w:t>
      </w:r>
    </w:p>
    <w:p w14:paraId="590943A7" w14:textId="6FB5EE13" w:rsidR="00A6678B" w:rsidRDefault="00A6678B" w:rsidP="00BF7C75">
      <w:pPr>
        <w:pStyle w:val="Caption"/>
        <w:keepNext/>
      </w:pPr>
      <w:bookmarkStart w:id="12" w:name="_Ref108792234"/>
      <w:r>
        <w:t xml:space="preserve">Figure </w:t>
      </w:r>
      <w:r w:rsidR="0029059A">
        <w:fldChar w:fldCharType="begin"/>
      </w:r>
      <w:r w:rsidR="0029059A">
        <w:instrText xml:space="preserve"> SEQ Figure \* ARABIC </w:instrText>
      </w:r>
      <w:r w:rsidR="0029059A">
        <w:fldChar w:fldCharType="separate"/>
      </w:r>
      <w:r w:rsidR="008112E6">
        <w:rPr>
          <w:noProof/>
        </w:rPr>
        <w:t>5</w:t>
      </w:r>
      <w:r w:rsidR="0029059A">
        <w:fldChar w:fldCharType="end"/>
      </w:r>
      <w:bookmarkEnd w:id="12"/>
      <w:r>
        <w:t>: Australian Government investment in R&amp;D</w:t>
      </w:r>
    </w:p>
    <w:p w14:paraId="53753DE0" w14:textId="0952E701" w:rsidR="00A6678B" w:rsidRDefault="00A6678B" w:rsidP="00BF7C75">
      <w:pPr>
        <w:pStyle w:val="Caption"/>
        <w:spacing w:after="240"/>
      </w:pPr>
      <w:r w:rsidRPr="00B73991">
        <w:rPr>
          <w:noProof/>
          <w:color w:val="auto"/>
        </w:rPr>
        <w:drawing>
          <wp:inline distT="0" distB="0" distL="0" distR="0" wp14:anchorId="074F662C" wp14:editId="67214178">
            <wp:extent cx="5481953" cy="2091487"/>
            <wp:effectExtent l="0" t="0" r="5080" b="4445"/>
            <wp:docPr id="13" name="Chart 13" descr="The figure is a histogram that compares Australian government investment in R&amp;D (in millions of dollars) for each year between 2011 and 2021">
              <a:extLst xmlns:a="http://schemas.openxmlformats.org/drawingml/2006/main">
                <a:ext uri="{FF2B5EF4-FFF2-40B4-BE49-F238E27FC236}">
                  <a16:creationId xmlns:a16="http://schemas.microsoft.com/office/drawing/2014/main" id="{ED0AD89A-4622-4C9A-9B51-FA7C3CE199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1231707" w14:textId="0AB5DA86" w:rsidR="0026541B" w:rsidRDefault="0026541B" w:rsidP="00D148EE">
      <w:pPr>
        <w:pStyle w:val="EYTableHeading"/>
        <w:spacing w:before="0"/>
      </w:pPr>
      <w:r>
        <w:t xml:space="preserve">Source: </w:t>
      </w:r>
      <w:r w:rsidR="009420C3">
        <w:t xml:space="preserve">Australian Government Department of Industry, Science, and Innovation SRI </w:t>
      </w:r>
    </w:p>
    <w:p w14:paraId="336CCE71" w14:textId="77777777" w:rsidR="0026541B" w:rsidRPr="0026541B" w:rsidRDefault="0026541B" w:rsidP="00BF7C75"/>
    <w:p w14:paraId="53D39CE8" w14:textId="6BAB0462" w:rsidR="00A6678B" w:rsidRDefault="00A6678B" w:rsidP="000A75A4">
      <w:pPr>
        <w:pStyle w:val="EYBodytextwithoutparaspace"/>
      </w:pPr>
      <w:r>
        <w:t>Given the scale of government involvement in research funding, there are crucial issues about the extent to which this research should be accessible</w:t>
      </w:r>
      <w:r w:rsidR="00E24161">
        <w:t xml:space="preserve"> </w:t>
      </w:r>
      <w:r>
        <w:t xml:space="preserve">and promote broader science innovation and community inquiry. Currently, </w:t>
      </w:r>
      <w:r w:rsidR="00C82B7D">
        <w:t xml:space="preserve">around </w:t>
      </w:r>
      <w:r w:rsidR="00C83C0C">
        <w:t>60%</w:t>
      </w:r>
      <w:r w:rsidR="00AA392F">
        <w:t xml:space="preserve"> </w:t>
      </w:r>
      <w:r>
        <w:t xml:space="preserve">of </w:t>
      </w:r>
      <w:r w:rsidR="00E34C91">
        <w:t xml:space="preserve">academic journal </w:t>
      </w:r>
      <w:r w:rsidR="000F15F3">
        <w:t>articles published in Australia sit</w:t>
      </w:r>
      <w:r w:rsidR="006A501B">
        <w:t>s</w:t>
      </w:r>
      <w:r w:rsidR="000F15F3">
        <w:t xml:space="preserve"> behind</w:t>
      </w:r>
      <w:r>
        <w:t xml:space="preserve"> paywalls, limiting industry, universit</w:t>
      </w:r>
      <w:r w:rsidR="00046DF5">
        <w:t>y</w:t>
      </w:r>
      <w:r>
        <w:t>, government, and public access to academic research.</w:t>
      </w:r>
      <w:r w:rsidR="000C29E7">
        <w:rPr>
          <w:rStyle w:val="FootnoteReference"/>
        </w:rPr>
        <w:footnoteReference w:id="7"/>
      </w:r>
    </w:p>
    <w:p w14:paraId="783744A6" w14:textId="02BC5F0D" w:rsidR="00A6678B" w:rsidRDefault="00DA481D" w:rsidP="000A75A4">
      <w:pPr>
        <w:pStyle w:val="EYBodytextwithoutparaspace"/>
      </w:pPr>
      <w:r>
        <w:t xml:space="preserve">Open access </w:t>
      </w:r>
      <w:r w:rsidR="002158B8">
        <w:t xml:space="preserve">is </w:t>
      </w:r>
      <w:r w:rsidR="00C81D04">
        <w:t>becoming an increasing priority around the world</w:t>
      </w:r>
      <w:r w:rsidR="002158B8">
        <w:t xml:space="preserve"> and within Australia’s research and scientific community. </w:t>
      </w:r>
      <w:r w:rsidR="00B9392E">
        <w:t xml:space="preserve">The </w:t>
      </w:r>
      <w:r w:rsidR="002158B8">
        <w:t>o</w:t>
      </w:r>
      <w:r w:rsidR="00B9392E">
        <w:t xml:space="preserve">pen </w:t>
      </w:r>
      <w:r w:rsidR="002158B8">
        <w:t>a</w:t>
      </w:r>
      <w:r w:rsidR="00B9392E">
        <w:t xml:space="preserve">ccess approach outlined in this paper aims </w:t>
      </w:r>
      <w:r w:rsidR="00A6678B">
        <w:t>to provide access to academic journal articles for all individuals and organisations within Australia</w:t>
      </w:r>
      <w:r w:rsidR="0083170D">
        <w:t xml:space="preserve"> while simultaneously increasing open access publishing of Australian-led research. </w:t>
      </w:r>
      <w:r w:rsidR="00A6678B">
        <w:t xml:space="preserve">The </w:t>
      </w:r>
      <w:r w:rsidR="002705D5">
        <w:t>s</w:t>
      </w:r>
      <w:r w:rsidR="00A6678B">
        <w:t>trategy aligns with the global movement toward open science, open data, and open scholarship.</w:t>
      </w:r>
    </w:p>
    <w:p w14:paraId="7B51825F" w14:textId="77777777" w:rsidR="00A6678B" w:rsidRDefault="00A6678B" w:rsidP="000A75A4">
      <w:pPr>
        <w:pStyle w:val="EYBodytextwithoutparaspace"/>
      </w:pPr>
      <w:r>
        <w:t>Importantly, a national open access scheme could strengthen the alignment between Australian research and the Government’s broader policy agenda, driving new economic opportunities, unlocking social benefits, and helping build a more robust knowledge economy.</w:t>
      </w:r>
    </w:p>
    <w:p w14:paraId="01037046" w14:textId="22B6DC28" w:rsidR="00A6678B" w:rsidRPr="00BE4A12" w:rsidRDefault="00A6678B" w:rsidP="00A577AC">
      <w:pPr>
        <w:pStyle w:val="EYBodytextwithparaspace"/>
        <w:rPr>
          <w:rFonts w:ascii="EYInterstate" w:hAnsi="EYInterstate"/>
          <w:sz w:val="24"/>
          <w:szCs w:val="24"/>
        </w:rPr>
      </w:pPr>
      <w:r w:rsidRPr="00BE4A12">
        <w:rPr>
          <w:rFonts w:ascii="EYInterstate" w:hAnsi="EYInterstate"/>
          <w:sz w:val="24"/>
          <w:szCs w:val="24"/>
        </w:rPr>
        <w:lastRenderedPageBreak/>
        <w:t xml:space="preserve">A </w:t>
      </w:r>
      <w:r w:rsidR="00BE4A12">
        <w:rPr>
          <w:rFonts w:ascii="EYInterstate" w:hAnsi="EYInterstate"/>
          <w:sz w:val="24"/>
          <w:szCs w:val="24"/>
        </w:rPr>
        <w:t>briefing paper</w:t>
      </w:r>
      <w:r w:rsidRPr="00BE4A12">
        <w:rPr>
          <w:rFonts w:ascii="EYInterstate" w:hAnsi="EYInterstate"/>
          <w:sz w:val="24"/>
          <w:szCs w:val="24"/>
        </w:rPr>
        <w:t xml:space="preserve"> to support Australia’s </w:t>
      </w:r>
      <w:r w:rsidR="00B14164">
        <w:rPr>
          <w:rFonts w:ascii="EYInterstate" w:hAnsi="EYInterstate"/>
          <w:sz w:val="24"/>
          <w:szCs w:val="24"/>
        </w:rPr>
        <w:t>o</w:t>
      </w:r>
      <w:r w:rsidRPr="00BE4A12">
        <w:rPr>
          <w:rFonts w:ascii="EYInterstate" w:hAnsi="EYInterstate"/>
          <w:sz w:val="24"/>
          <w:szCs w:val="24"/>
        </w:rPr>
        <w:t xml:space="preserve">pen </w:t>
      </w:r>
      <w:r w:rsidR="00B14164">
        <w:rPr>
          <w:rFonts w:ascii="EYInterstate" w:hAnsi="EYInterstate"/>
          <w:sz w:val="24"/>
          <w:szCs w:val="24"/>
        </w:rPr>
        <w:t>a</w:t>
      </w:r>
      <w:r w:rsidRPr="00BE4A12">
        <w:rPr>
          <w:rFonts w:ascii="EYInterstate" w:hAnsi="EYInterstate"/>
          <w:sz w:val="24"/>
          <w:szCs w:val="24"/>
        </w:rPr>
        <w:t>ccess strategy</w:t>
      </w:r>
    </w:p>
    <w:p w14:paraId="7BF6E759" w14:textId="5E1F2513" w:rsidR="00A6678B" w:rsidRDefault="00A6678B" w:rsidP="00BE4A12">
      <w:pPr>
        <w:pStyle w:val="EYBodytextwithoutparaspace"/>
      </w:pPr>
      <w:r>
        <w:t xml:space="preserve">The Office of the Chief Scientist (OCS) commissioned EY to </w:t>
      </w:r>
      <w:r w:rsidR="00C74BDA">
        <w:t>develop</w:t>
      </w:r>
      <w:r>
        <w:t xml:space="preserve"> a </w:t>
      </w:r>
      <w:r w:rsidR="007C722E">
        <w:t>briefing paper</w:t>
      </w:r>
      <w:r>
        <w:t xml:space="preserve"> for a national open access scheme </w:t>
      </w:r>
      <w:r w:rsidR="00324C4E">
        <w:t xml:space="preserve">that </w:t>
      </w:r>
      <w:r>
        <w:t>provide</w:t>
      </w:r>
      <w:r w:rsidR="00324C4E">
        <w:t>s</w:t>
      </w:r>
      <w:r>
        <w:t xml:space="preserve"> access to academic journals for all </w:t>
      </w:r>
      <w:r w:rsidR="00EF4799">
        <w:t>individuals</w:t>
      </w:r>
      <w:r w:rsidR="002959C8">
        <w:t xml:space="preserve"> and businesses</w:t>
      </w:r>
      <w:r w:rsidR="00EF4799">
        <w:t xml:space="preserve"> in Australia</w:t>
      </w:r>
      <w:r>
        <w:t>.</w:t>
      </w:r>
      <w:r w:rsidRPr="00BB370F">
        <w:t xml:space="preserve"> </w:t>
      </w:r>
      <w:r>
        <w:t xml:space="preserve">The </w:t>
      </w:r>
      <w:r w:rsidR="007C722E">
        <w:t>briefing paper</w:t>
      </w:r>
      <w:r>
        <w:t xml:space="preserve"> assesses the workability of proposed open access models and funding arrangements, assess</w:t>
      </w:r>
      <w:r w:rsidR="00527C3C">
        <w:t>es</w:t>
      </w:r>
      <w:r>
        <w:t xml:space="preserve"> the economic and social benefits of increasing access to academic </w:t>
      </w:r>
      <w:r w:rsidR="00096A29">
        <w:t>literature</w:t>
      </w:r>
      <w:r>
        <w:t>, and considers high-level implementation issues.</w:t>
      </w:r>
    </w:p>
    <w:p w14:paraId="4A162AD5" w14:textId="53372B09" w:rsidR="00A6678B" w:rsidRDefault="00A6678B" w:rsidP="005C7820">
      <w:pPr>
        <w:pStyle w:val="EYBodytextwithoutparaspace"/>
      </w:pPr>
      <w:r>
        <w:t xml:space="preserve">The </w:t>
      </w:r>
      <w:r w:rsidR="007C722E">
        <w:t>briefing paper</w:t>
      </w:r>
      <w:r>
        <w:t xml:space="preserve"> has been informed by a range of consultations</w:t>
      </w:r>
      <w:r w:rsidR="00D41B86">
        <w:t>,</w:t>
      </w:r>
      <w:r>
        <w:t xml:space="preserve"> including with publishers of academic journals, universities, industry, and government agencies.</w:t>
      </w:r>
    </w:p>
    <w:p w14:paraId="7E4A7DA6" w14:textId="3293AC10" w:rsidR="00A6678B" w:rsidRDefault="00A6678B" w:rsidP="005C7820">
      <w:pPr>
        <w:pStyle w:val="EYBodytextwithoutparaspace"/>
      </w:pPr>
      <w:r>
        <w:t xml:space="preserve">The </w:t>
      </w:r>
      <w:r w:rsidR="007C722E">
        <w:t>briefing paper</w:t>
      </w:r>
      <w:r>
        <w:t xml:space="preserve"> is structured in the following chapters:</w:t>
      </w:r>
    </w:p>
    <w:p w14:paraId="0AC35101" w14:textId="77826683" w:rsidR="00A6678B" w:rsidRPr="00D25DFE" w:rsidRDefault="00A6678B" w:rsidP="00D25DFE">
      <w:pPr>
        <w:pStyle w:val="EYBulletnoparaspace"/>
        <w:ind w:left="426"/>
      </w:pPr>
      <w:r w:rsidRPr="00D25DFE">
        <w:rPr>
          <w:b/>
          <w:bCs/>
        </w:rPr>
        <w:t>Chapter 2</w:t>
      </w:r>
      <w:r w:rsidR="00EF4799" w:rsidRPr="00D25DFE">
        <w:rPr>
          <w:b/>
          <w:bCs/>
        </w:rPr>
        <w:t xml:space="preserve"> </w:t>
      </w:r>
      <w:r w:rsidR="005C7820" w:rsidRPr="00D25DFE">
        <w:rPr>
          <w:b/>
          <w:bCs/>
        </w:rPr>
        <w:t>Academic publishing</w:t>
      </w:r>
      <w:r w:rsidR="00611B19" w:rsidRPr="00D25DFE">
        <w:t xml:space="preserve"> </w:t>
      </w:r>
      <w:r w:rsidRPr="00D25DFE">
        <w:t>provides an overview of the research and publishing landscape, including the process for creating and publishing academic journals, the structure of the academic publishing industry and its cost dynamics, and the global movement towards open access.</w:t>
      </w:r>
    </w:p>
    <w:p w14:paraId="0207450B" w14:textId="32282851" w:rsidR="00A6678B" w:rsidRPr="00D25DFE" w:rsidRDefault="00A6678B" w:rsidP="00D25DFE">
      <w:pPr>
        <w:pStyle w:val="EYBulletnoparaspace"/>
        <w:ind w:left="426"/>
      </w:pPr>
      <w:r w:rsidRPr="00D25DFE">
        <w:rPr>
          <w:b/>
          <w:bCs/>
        </w:rPr>
        <w:t xml:space="preserve">Chapter 3 </w:t>
      </w:r>
      <w:r w:rsidR="009E28B4" w:rsidRPr="00D25DFE">
        <w:rPr>
          <w:b/>
          <w:bCs/>
        </w:rPr>
        <w:t>An open access scheme for Australia</w:t>
      </w:r>
      <w:r w:rsidR="009E28B4" w:rsidRPr="00D25DFE">
        <w:t xml:space="preserve"> </w:t>
      </w:r>
      <w:r w:rsidRPr="00D25DFE">
        <w:t>sets out the vision, objectives</w:t>
      </w:r>
      <w:r w:rsidR="007E25D8" w:rsidRPr="00D25DFE">
        <w:t>,</w:t>
      </w:r>
      <w:r w:rsidRPr="00D25DFE">
        <w:t xml:space="preserve"> and strategic context for establishing a national open access scheme. It defines and analyses the core policy problems that a national open access scheme is seeking to address, drawing on international experience.</w:t>
      </w:r>
    </w:p>
    <w:p w14:paraId="6BF07AE1" w14:textId="556284BD" w:rsidR="00A6678B" w:rsidRPr="00D25DFE" w:rsidRDefault="00A6678B" w:rsidP="00D25DFE">
      <w:pPr>
        <w:pStyle w:val="EYBulletnoparaspace"/>
        <w:ind w:left="426"/>
      </w:pPr>
      <w:r w:rsidRPr="00D25DFE">
        <w:rPr>
          <w:b/>
          <w:bCs/>
        </w:rPr>
        <w:t>Chapter 4</w:t>
      </w:r>
      <w:r w:rsidR="009E28B4" w:rsidRPr="00D25DFE">
        <w:rPr>
          <w:b/>
          <w:bCs/>
        </w:rPr>
        <w:t xml:space="preserve"> The potential economic and social benefits of open access</w:t>
      </w:r>
      <w:r w:rsidRPr="00D25DFE">
        <w:t xml:space="preserve"> </w:t>
      </w:r>
      <w:proofErr w:type="gramStart"/>
      <w:r w:rsidR="00D00B9F" w:rsidRPr="00D25DFE">
        <w:t>examine</w:t>
      </w:r>
      <w:r w:rsidR="007E17FF" w:rsidRPr="00D25DFE">
        <w:t>s</w:t>
      </w:r>
      <w:proofErr w:type="gramEnd"/>
      <w:r w:rsidRPr="00D25DFE">
        <w:t xml:space="preserve"> the potential social and economic </w:t>
      </w:r>
      <w:r w:rsidR="00EF4799" w:rsidRPr="00D25DFE">
        <w:t>benefits</w:t>
      </w:r>
      <w:r w:rsidRPr="00D25DFE">
        <w:t xml:space="preserve"> from increasing access to academic research. It showcases the economic rationale for open access and assesses which Australian sectors could benefit the most, how better access to research could uplift R&amp;D and drive new commercial opportunities, and the timeframes in which economic gains could materialise.</w:t>
      </w:r>
    </w:p>
    <w:p w14:paraId="3AC0ADBF" w14:textId="52083AAC" w:rsidR="00824DF2" w:rsidRPr="00D25DFE" w:rsidRDefault="00A6678B" w:rsidP="00D25DFE">
      <w:pPr>
        <w:pStyle w:val="EYBulletnoparaspace"/>
        <w:ind w:left="426"/>
      </w:pPr>
      <w:r w:rsidRPr="00D25DFE">
        <w:t xml:space="preserve">Based on assessment, </w:t>
      </w:r>
      <w:r w:rsidRPr="000042E2">
        <w:rPr>
          <w:b/>
          <w:bCs/>
        </w:rPr>
        <w:t>Chapter 5</w:t>
      </w:r>
      <w:r w:rsidR="00290490" w:rsidRPr="000042E2">
        <w:rPr>
          <w:b/>
          <w:bCs/>
        </w:rPr>
        <w:t xml:space="preserve"> A preferred model for an Australian </w:t>
      </w:r>
      <w:r w:rsidR="003E2134" w:rsidRPr="000042E2">
        <w:rPr>
          <w:b/>
          <w:bCs/>
        </w:rPr>
        <w:t>o</w:t>
      </w:r>
      <w:r w:rsidR="00290490" w:rsidRPr="000042E2">
        <w:rPr>
          <w:b/>
          <w:bCs/>
        </w:rPr>
        <w:t xml:space="preserve">pen </w:t>
      </w:r>
      <w:r w:rsidR="003E2134" w:rsidRPr="000042E2">
        <w:rPr>
          <w:b/>
          <w:bCs/>
        </w:rPr>
        <w:t>ac</w:t>
      </w:r>
      <w:r w:rsidR="00290490" w:rsidRPr="000042E2">
        <w:rPr>
          <w:b/>
          <w:bCs/>
        </w:rPr>
        <w:t>cess scheme</w:t>
      </w:r>
      <w:r w:rsidRPr="00D25DFE">
        <w:t xml:space="preserve"> </w:t>
      </w:r>
      <w:r w:rsidR="00CA5324" w:rsidRPr="00D25DFE">
        <w:t>outlines</w:t>
      </w:r>
      <w:r w:rsidRPr="00D25DFE">
        <w:t xml:space="preserve"> a preferred model for a national open access scheme. Drawing on international </w:t>
      </w:r>
      <w:r w:rsidR="00CA5324" w:rsidRPr="00D25DFE">
        <w:t>examples</w:t>
      </w:r>
      <w:r w:rsidRPr="00D25DFE">
        <w:t xml:space="preserve">, it highlights the model’s core elements, </w:t>
      </w:r>
      <w:r w:rsidR="00824DF2" w:rsidRPr="00D25DFE">
        <w:t>how Australia could access academic research moving forward, and how the proposed model could work.</w:t>
      </w:r>
    </w:p>
    <w:p w14:paraId="57D98C53" w14:textId="2F52C5CB" w:rsidR="00DB38EB" w:rsidRPr="00D25DFE" w:rsidRDefault="00DB38EB" w:rsidP="00D25DFE">
      <w:pPr>
        <w:pStyle w:val="EYBulletnoparaspace"/>
        <w:ind w:left="426"/>
      </w:pPr>
      <w:r w:rsidRPr="000042E2">
        <w:rPr>
          <w:b/>
          <w:bCs/>
        </w:rPr>
        <w:t xml:space="preserve">Chapter 6 </w:t>
      </w:r>
      <w:r w:rsidR="00290490" w:rsidRPr="000042E2">
        <w:rPr>
          <w:b/>
          <w:bCs/>
        </w:rPr>
        <w:t>Design and deliverability</w:t>
      </w:r>
      <w:r w:rsidR="00290490" w:rsidRPr="00D25DFE">
        <w:t xml:space="preserve"> </w:t>
      </w:r>
      <w:r w:rsidR="005C529D" w:rsidRPr="00D25DFE">
        <w:t>discusses</w:t>
      </w:r>
      <w:r w:rsidRPr="00D25DFE">
        <w:t xml:space="preserve"> the potential design of the open access scheme, including </w:t>
      </w:r>
      <w:r w:rsidR="00026FB0" w:rsidRPr="00D25DFE">
        <w:t xml:space="preserve">IT infrastructure, </w:t>
      </w:r>
      <w:r w:rsidRPr="00D25DFE">
        <w:t>delivery timeline</w:t>
      </w:r>
      <w:r w:rsidR="00026FB0" w:rsidRPr="00D25DFE">
        <w:t>s</w:t>
      </w:r>
      <w:r w:rsidRPr="00D25DFE">
        <w:t xml:space="preserve">, key governance structures and </w:t>
      </w:r>
      <w:r w:rsidR="0064502C" w:rsidRPr="00D25DFE">
        <w:t>insights</w:t>
      </w:r>
      <w:r w:rsidRPr="00D25DFE">
        <w:t xml:space="preserve"> from stakeholder consultation.</w:t>
      </w:r>
    </w:p>
    <w:p w14:paraId="37B727F0" w14:textId="7DAA7F1C" w:rsidR="00A6678B" w:rsidRPr="00D25DFE" w:rsidRDefault="00A6678B" w:rsidP="00D25DFE">
      <w:pPr>
        <w:pStyle w:val="EYBulletnoparaspace"/>
        <w:ind w:left="426"/>
      </w:pPr>
      <w:r w:rsidRPr="00D25DFE">
        <w:t xml:space="preserve">Establishing a national open access scheme will involve costs to government, much of which can be potentially offset by shifting current expenditures directed at journal subscriptions. </w:t>
      </w:r>
      <w:r w:rsidRPr="000042E2">
        <w:rPr>
          <w:b/>
          <w:bCs/>
        </w:rPr>
        <w:t xml:space="preserve">Chapter </w:t>
      </w:r>
      <w:r w:rsidR="00DB38EB" w:rsidRPr="000042E2">
        <w:rPr>
          <w:b/>
          <w:bCs/>
        </w:rPr>
        <w:t xml:space="preserve">7 </w:t>
      </w:r>
      <w:r w:rsidR="00290490" w:rsidRPr="000042E2">
        <w:rPr>
          <w:b/>
          <w:bCs/>
        </w:rPr>
        <w:t>Costs and risks</w:t>
      </w:r>
      <w:r w:rsidR="00290490" w:rsidRPr="00D25DFE">
        <w:t xml:space="preserve"> </w:t>
      </w:r>
      <w:r w:rsidRPr="00D25DFE">
        <w:t xml:space="preserve">highlights the costs and implementation risks for the scheme and how these are best managed </w:t>
      </w:r>
      <w:r w:rsidR="003162F0" w:rsidRPr="00D25DFE">
        <w:t>in the future</w:t>
      </w:r>
      <w:r w:rsidRPr="00D25DFE">
        <w:t xml:space="preserve">. It also outlines </w:t>
      </w:r>
      <w:r w:rsidR="003162F0" w:rsidRPr="00D25DFE">
        <w:t>important</w:t>
      </w:r>
      <w:r w:rsidRPr="00D25DFE">
        <w:t xml:space="preserve"> issues raised by stakeholders, including considerations for scheme design and the transition from a traditional subscriber model to open access.</w:t>
      </w:r>
    </w:p>
    <w:p w14:paraId="0883ECAC" w14:textId="014556D4" w:rsidR="00A6678B" w:rsidRPr="00D25DFE" w:rsidRDefault="00A6678B" w:rsidP="00D25DFE">
      <w:pPr>
        <w:pStyle w:val="EYBulletnoparaspace"/>
        <w:ind w:left="426"/>
      </w:pPr>
      <w:r w:rsidRPr="000042E2">
        <w:rPr>
          <w:b/>
          <w:bCs/>
        </w:rPr>
        <w:t xml:space="preserve">Chapter </w:t>
      </w:r>
      <w:r w:rsidR="002403B6" w:rsidRPr="000042E2">
        <w:rPr>
          <w:b/>
          <w:bCs/>
        </w:rPr>
        <w:t>8</w:t>
      </w:r>
      <w:r w:rsidR="00290490" w:rsidRPr="000042E2">
        <w:rPr>
          <w:b/>
          <w:bCs/>
        </w:rPr>
        <w:t xml:space="preserve"> Alternative open access models</w:t>
      </w:r>
      <w:r w:rsidRPr="00D25DFE">
        <w:t xml:space="preserve"> </w:t>
      </w:r>
      <w:proofErr w:type="gramStart"/>
      <w:r w:rsidRPr="00D25DFE">
        <w:t>highlights</w:t>
      </w:r>
      <w:proofErr w:type="gramEnd"/>
      <w:r w:rsidRPr="00D25DFE">
        <w:t xml:space="preserve"> some alternative models for a national open access scheme and their merits and drawbacks.</w:t>
      </w:r>
    </w:p>
    <w:p w14:paraId="49E93678" w14:textId="62FA9805" w:rsidR="002403B6" w:rsidRPr="00D25DFE" w:rsidRDefault="002403B6" w:rsidP="00D25DFE">
      <w:pPr>
        <w:pStyle w:val="EYBulletnoparaspace"/>
        <w:ind w:left="426"/>
      </w:pPr>
      <w:r w:rsidRPr="00D25DFE">
        <w:t xml:space="preserve">Finally, </w:t>
      </w:r>
      <w:r w:rsidRPr="000042E2">
        <w:rPr>
          <w:b/>
          <w:bCs/>
        </w:rPr>
        <w:t xml:space="preserve">Chapter 9 </w:t>
      </w:r>
      <w:r w:rsidR="005F6D5E" w:rsidRPr="000042E2">
        <w:rPr>
          <w:b/>
          <w:bCs/>
        </w:rPr>
        <w:t>Conclusion</w:t>
      </w:r>
      <w:r w:rsidR="005F6D5E" w:rsidRPr="00D25DFE">
        <w:t xml:space="preserve"> </w:t>
      </w:r>
      <w:r w:rsidR="00431981" w:rsidRPr="00D25DFE">
        <w:t>provides some concluding messages.</w:t>
      </w:r>
    </w:p>
    <w:p w14:paraId="481B24BA" w14:textId="54E80D19" w:rsidR="00A6678B" w:rsidRPr="00D25DFE" w:rsidRDefault="004F0E64" w:rsidP="00D25DFE">
      <w:pPr>
        <w:pStyle w:val="EYBulletnoparaspace"/>
        <w:ind w:left="426"/>
      </w:pPr>
      <w:r w:rsidRPr="00D25DFE">
        <w:t xml:space="preserve">Some technical and background material supporting the </w:t>
      </w:r>
      <w:r w:rsidR="00027C92" w:rsidRPr="00D25DFE">
        <w:t>briefing paper</w:t>
      </w:r>
      <w:r w:rsidRPr="00D25DFE">
        <w:t xml:space="preserve"> is provided in the appendices.</w:t>
      </w:r>
    </w:p>
    <w:p w14:paraId="61DBA799" w14:textId="77777777" w:rsidR="001D5B70" w:rsidRPr="001C7712" w:rsidRDefault="001D5B70" w:rsidP="00A577AC">
      <w:pPr>
        <w:pStyle w:val="EYBodytextwithparaspace"/>
      </w:pPr>
    </w:p>
    <w:p w14:paraId="251467B3" w14:textId="38A200F1" w:rsidR="00653305" w:rsidRDefault="0067127F" w:rsidP="00653305">
      <w:pPr>
        <w:pStyle w:val="EYHeading1"/>
      </w:pPr>
      <w:bookmarkStart w:id="13" w:name="_Toc115717073"/>
      <w:r>
        <w:lastRenderedPageBreak/>
        <w:t>Acad</w:t>
      </w:r>
      <w:r w:rsidR="000E30AB">
        <w:t>emic publishing</w:t>
      </w:r>
      <w:bookmarkEnd w:id="13"/>
    </w:p>
    <w:p w14:paraId="453636C9" w14:textId="2EE58535" w:rsidR="00A30359" w:rsidRPr="000042E2" w:rsidRDefault="00600BD7" w:rsidP="000042E2">
      <w:pPr>
        <w:pStyle w:val="EYLeader"/>
      </w:pPr>
      <w:r w:rsidRPr="000042E2">
        <w:t xml:space="preserve">Academic journals play a crucial role </w:t>
      </w:r>
      <w:r w:rsidR="005A4E27" w:rsidRPr="000042E2">
        <w:t>in building the world’s knowledge base.</w:t>
      </w:r>
      <w:r w:rsidRPr="000042E2">
        <w:t xml:space="preserve"> </w:t>
      </w:r>
      <w:r w:rsidR="009F0D51" w:rsidRPr="000042E2">
        <w:t xml:space="preserve">But </w:t>
      </w:r>
      <w:r w:rsidRPr="000042E2">
        <w:t>much of this content sits behind paywalls</w:t>
      </w:r>
      <w:r w:rsidR="00940EA7" w:rsidRPr="000042E2">
        <w:t>,</w:t>
      </w:r>
      <w:r w:rsidRPr="000042E2">
        <w:t xml:space="preserve"> limiting Australia's access to </w:t>
      </w:r>
      <w:r w:rsidR="00593BEE" w:rsidRPr="000042E2">
        <w:t>leading research</w:t>
      </w:r>
      <w:r w:rsidRPr="000042E2">
        <w:t xml:space="preserve">. Open access is an alternative to traditional publishing models </w:t>
      </w:r>
      <w:r w:rsidR="001B224C" w:rsidRPr="000042E2">
        <w:t>that</w:t>
      </w:r>
      <w:r w:rsidRPr="000042E2">
        <w:t xml:space="preserve"> continues to grow both in Australia and internationally.</w:t>
      </w:r>
    </w:p>
    <w:p w14:paraId="55216AB5" w14:textId="2E8205E9" w:rsidR="00E62974" w:rsidRDefault="00ED46E3" w:rsidP="00BC78A6">
      <w:pPr>
        <w:pStyle w:val="EYHeading2"/>
      </w:pPr>
      <w:bookmarkStart w:id="14" w:name="_Toc115717074"/>
      <w:r>
        <w:t>The</w:t>
      </w:r>
      <w:r w:rsidR="006407BC">
        <w:t xml:space="preserve"> academic</w:t>
      </w:r>
      <w:r>
        <w:t xml:space="preserve"> publishing process</w:t>
      </w:r>
      <w:bookmarkEnd w:id="14"/>
    </w:p>
    <w:p w14:paraId="33D304C2" w14:textId="5DDA05BC" w:rsidR="00DB78CC" w:rsidRDefault="00B81A06" w:rsidP="00CA445A">
      <w:pPr>
        <w:pStyle w:val="EYBodytextwithoutparaspace"/>
      </w:pPr>
      <w:r>
        <w:t>Academic journals play a crucial role within academia and research, providing periodic articles relating to a specific discipline</w:t>
      </w:r>
      <w:r w:rsidR="00107C67">
        <w:t xml:space="preserve"> or across disciplines within a common field or focus</w:t>
      </w:r>
      <w:r>
        <w:t xml:space="preserve">. Published articles within a journal go through a peer review process with experts in the same field refereeing and reviewing submissions. </w:t>
      </w:r>
      <w:r w:rsidR="00245619">
        <w:t>Simply, t</w:t>
      </w:r>
      <w:r w:rsidR="00775CE5">
        <w:t xml:space="preserve">he </w:t>
      </w:r>
      <w:r w:rsidR="00DB78CC">
        <w:t xml:space="preserve">peer review process </w:t>
      </w:r>
      <w:r w:rsidR="003F6FE4">
        <w:t>enables</w:t>
      </w:r>
      <w:r w:rsidR="00DB78CC">
        <w:t xml:space="preserve"> experts to test the validity </w:t>
      </w:r>
      <w:r w:rsidR="00413EE0">
        <w:t>and accuracy of individual research papers</w:t>
      </w:r>
      <w:r w:rsidR="00245619">
        <w:t xml:space="preserve">, </w:t>
      </w:r>
      <w:r w:rsidR="002A1FEC">
        <w:t xml:space="preserve">providing comments for improvement or </w:t>
      </w:r>
      <w:r w:rsidR="00245619">
        <w:t>rejecting papers which do not meet required publications standards.</w:t>
      </w:r>
    </w:p>
    <w:p w14:paraId="6EC013A4" w14:textId="5A989CCC" w:rsidR="00FE54F5" w:rsidRDefault="002814BF" w:rsidP="00CA445A">
      <w:pPr>
        <w:pStyle w:val="EYBodytextwithoutparaspace"/>
      </w:pPr>
      <w:r>
        <w:t>T</w:t>
      </w:r>
      <w:r w:rsidR="00245619">
        <w:t xml:space="preserve">he peer review process </w:t>
      </w:r>
      <w:r w:rsidR="00FE369A">
        <w:t>creates</w:t>
      </w:r>
      <w:r w:rsidR="00245619">
        <w:t xml:space="preserve"> an important </w:t>
      </w:r>
      <w:r w:rsidR="00275F5E">
        <w:t>assurance</w:t>
      </w:r>
      <w:r w:rsidR="00245619">
        <w:t xml:space="preserve"> mechanism </w:t>
      </w:r>
      <w:r w:rsidR="00683D82">
        <w:t>for academic research. Papers which do not meet the required publication standard</w:t>
      </w:r>
      <w:r w:rsidR="00FE369A">
        <w:t xml:space="preserve"> or may be outside the journal’s scope are not published. </w:t>
      </w:r>
      <w:r w:rsidR="001A2886">
        <w:t xml:space="preserve">Thus, </w:t>
      </w:r>
      <w:r w:rsidR="00B81A06">
        <w:t xml:space="preserve">journals </w:t>
      </w:r>
      <w:r w:rsidR="00C21F54">
        <w:t>act as</w:t>
      </w:r>
      <w:r w:rsidR="00D425DE">
        <w:t xml:space="preserve"> a</w:t>
      </w:r>
      <w:r w:rsidR="00C21F54">
        <w:t xml:space="preserve"> </w:t>
      </w:r>
      <w:r w:rsidR="000D52DE">
        <w:t>‘</w:t>
      </w:r>
      <w:r w:rsidR="00FE5F2E">
        <w:t>seal of approval</w:t>
      </w:r>
      <w:r w:rsidR="000D52DE">
        <w:t>’</w:t>
      </w:r>
      <w:r w:rsidR="00586AAE">
        <w:t xml:space="preserve"> for academic content</w:t>
      </w:r>
      <w:r w:rsidR="00B81A06">
        <w:t xml:space="preserve"> and </w:t>
      </w:r>
      <w:r w:rsidR="007B38F1">
        <w:t>are</w:t>
      </w:r>
      <w:r w:rsidR="00B81A06">
        <w:t xml:space="preserve"> </w:t>
      </w:r>
      <w:r w:rsidR="00586AAE">
        <w:t xml:space="preserve">a </w:t>
      </w:r>
      <w:r w:rsidR="00B81A06">
        <w:t xml:space="preserve">key </w:t>
      </w:r>
      <w:r w:rsidR="00586AAE">
        <w:t xml:space="preserve">source of </w:t>
      </w:r>
      <w:r w:rsidR="00B81A06">
        <w:t xml:space="preserve">information </w:t>
      </w:r>
      <w:r w:rsidR="00C73331">
        <w:t>for other academics</w:t>
      </w:r>
      <w:r w:rsidR="00264ADF">
        <w:t>, educational activities, and evidence-based decision making.</w:t>
      </w:r>
    </w:p>
    <w:p w14:paraId="2F322363" w14:textId="2314D694" w:rsidR="00C54652" w:rsidRDefault="00C54652" w:rsidP="00CA445A">
      <w:pPr>
        <w:pStyle w:val="EYBodytextwithoutparaspace"/>
      </w:pPr>
      <w:r>
        <w:t xml:space="preserve">Beyond coordinating the peer review process, publishers provide various editorial and metadata services to transform original submissions into </w:t>
      </w:r>
      <w:r w:rsidR="00D1148F">
        <w:t>a</w:t>
      </w:r>
      <w:r>
        <w:t xml:space="preserve"> final published product. Publishing services include peer</w:t>
      </w:r>
      <w:r w:rsidR="00DB5029">
        <w:t>-</w:t>
      </w:r>
      <w:r>
        <w:t>review, copyediting, typesetting, metadata tagging, and archiving. These services support the readability, presentation, and mapping of research</w:t>
      </w:r>
      <w:r w:rsidR="00CF072A">
        <w:t>, with publishers also managing comments, corrigenda, retractions, and misconduct</w:t>
      </w:r>
      <w:r>
        <w:t>.</w:t>
      </w:r>
    </w:p>
    <w:p w14:paraId="7E1B4431" w14:textId="5E9718BD" w:rsidR="000B7A23" w:rsidRDefault="000B7A23" w:rsidP="004649D8">
      <w:pPr>
        <w:pStyle w:val="EYBodytextwithoutparaspace"/>
        <w:spacing w:after="240"/>
      </w:pPr>
      <w:r>
        <w:t xml:space="preserve">Further, publishers advocate for and disseminate research by launching new journals in existing and emerging academic fields, </w:t>
      </w:r>
      <w:r w:rsidR="00541F3F">
        <w:t>market</w:t>
      </w:r>
      <w:r w:rsidR="00A934DF">
        <w:t>ing</w:t>
      </w:r>
      <w:r w:rsidR="00541F3F">
        <w:t xml:space="preserve"> journals to the public audience, and provid</w:t>
      </w:r>
      <w:r w:rsidR="001F36A4">
        <w:t>ing</w:t>
      </w:r>
      <w:r w:rsidR="00541F3F">
        <w:t xml:space="preserve"> the IT infrastructure to support individuals </w:t>
      </w:r>
      <w:r w:rsidR="001F36A4">
        <w:t xml:space="preserve">to </w:t>
      </w:r>
      <w:r w:rsidR="00541F3F">
        <w:t>access academic research online.</w:t>
      </w:r>
    </w:p>
    <w:p w14:paraId="69302EAF" w14:textId="73FD9650" w:rsidR="00480C8D" w:rsidRDefault="00A57C03" w:rsidP="004649D8">
      <w:pPr>
        <w:pStyle w:val="EYBodytextwithparaspace"/>
        <w:spacing w:after="240"/>
      </w:pPr>
      <w:r>
        <w:t xml:space="preserve">The </w:t>
      </w:r>
      <w:r w:rsidR="00DC5727">
        <w:t>broad</w:t>
      </w:r>
      <w:r>
        <w:t xml:space="preserve"> process of </w:t>
      </w:r>
      <w:r w:rsidR="00D1148F">
        <w:t xml:space="preserve">academic </w:t>
      </w:r>
      <w:r>
        <w:t xml:space="preserve">publishing is </w:t>
      </w:r>
      <w:r w:rsidR="00B90705">
        <w:t xml:space="preserve">shown in </w:t>
      </w:r>
      <w:r w:rsidR="00B716F0">
        <w:fldChar w:fldCharType="begin"/>
      </w:r>
      <w:r w:rsidR="00B716F0">
        <w:instrText xml:space="preserve"> REF _Ref115697437 \h </w:instrText>
      </w:r>
      <w:r w:rsidR="00B716F0">
        <w:fldChar w:fldCharType="separate"/>
      </w:r>
      <w:r w:rsidR="008112E6">
        <w:t xml:space="preserve">Figure </w:t>
      </w:r>
      <w:r w:rsidR="008112E6">
        <w:rPr>
          <w:noProof/>
        </w:rPr>
        <w:t>6</w:t>
      </w:r>
      <w:r w:rsidR="00B716F0">
        <w:fldChar w:fldCharType="end"/>
      </w:r>
      <w:r w:rsidR="00C54652">
        <w:t>.</w:t>
      </w:r>
    </w:p>
    <w:p w14:paraId="79B1AA06" w14:textId="7EA8312C" w:rsidR="008A7EC7" w:rsidRDefault="008A7EC7" w:rsidP="00E211EA">
      <w:pPr>
        <w:pStyle w:val="Caption"/>
        <w:keepNext/>
        <w:spacing w:after="240"/>
      </w:pPr>
      <w:bookmarkStart w:id="15" w:name="_Ref115697437"/>
      <w:r>
        <w:t xml:space="preserve">Figure </w:t>
      </w:r>
      <w:r w:rsidR="0029059A">
        <w:fldChar w:fldCharType="begin"/>
      </w:r>
      <w:r w:rsidR="0029059A">
        <w:instrText xml:space="preserve"> SEQ Figure \* ARABIC </w:instrText>
      </w:r>
      <w:r w:rsidR="0029059A">
        <w:fldChar w:fldCharType="separate"/>
      </w:r>
      <w:r w:rsidR="008112E6">
        <w:rPr>
          <w:noProof/>
        </w:rPr>
        <w:t>6</w:t>
      </w:r>
      <w:r w:rsidR="0029059A">
        <w:fldChar w:fldCharType="end"/>
      </w:r>
      <w:bookmarkEnd w:id="15"/>
      <w:r>
        <w:t xml:space="preserve">: </w:t>
      </w:r>
      <w:r w:rsidR="00DC5727">
        <w:t>A t</w:t>
      </w:r>
      <w:r w:rsidRPr="0058118C">
        <w:t xml:space="preserve">ypical </w:t>
      </w:r>
      <w:r w:rsidR="00DC5727">
        <w:t xml:space="preserve">process for academic </w:t>
      </w:r>
      <w:r w:rsidRPr="0058118C">
        <w:t>publishing</w:t>
      </w:r>
    </w:p>
    <w:p w14:paraId="3EC25BB2" w14:textId="4BB2F7DA" w:rsidR="00C54652" w:rsidRDefault="00226118" w:rsidP="00A577AC">
      <w:pPr>
        <w:pStyle w:val="EYBodytextwithparaspace"/>
      </w:pPr>
      <w:r w:rsidRPr="00226118">
        <w:rPr>
          <w:noProof/>
        </w:rPr>
        <w:drawing>
          <wp:inline distT="0" distB="0" distL="0" distR="0" wp14:anchorId="29CA6BB4" wp14:editId="20EA2A1D">
            <wp:extent cx="4824046" cy="1949066"/>
            <wp:effectExtent l="0" t="0" r="0" b="0"/>
            <wp:docPr id="28" name="Picture 28" descr="The figure is of an infographic demonstrating the process by which a researcher prepares a manuscript, the researcher submits a manuscript to a journal, the editor initiates the peer review process. Rejected articles may be required to reinitiate the process again but if the Editor accepts the manuscript the publisher commences editing, proofreading and typesetting, the publisher will then publish the manuscri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figure is of an infographic demonstrating the process by which a researcher prepares a manuscript, the researcher submits a manuscript to a journal, the editor initiates the peer review process. Rejected articles may be required to reinitiate the process again but if the Editor accepts the manuscript the publisher commences editing, proofreading and typesetting, the publisher will then publish the manuscript.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28227" cy="1950755"/>
                    </a:xfrm>
                    <a:prstGeom prst="rect">
                      <a:avLst/>
                    </a:prstGeom>
                    <a:noFill/>
                    <a:ln>
                      <a:noFill/>
                    </a:ln>
                  </pic:spPr>
                </pic:pic>
              </a:graphicData>
            </a:graphic>
          </wp:inline>
        </w:drawing>
      </w:r>
    </w:p>
    <w:p w14:paraId="19F046FE" w14:textId="77777777" w:rsidR="00C83DFF" w:rsidRPr="00E211EA" w:rsidRDefault="00C83DFF" w:rsidP="00A577AC">
      <w:pPr>
        <w:pStyle w:val="EYBodytextwithparaspace"/>
        <w:rPr>
          <w:rFonts w:ascii="EYInterstate" w:hAnsi="EYInterstate"/>
          <w:color w:val="auto"/>
          <w:sz w:val="24"/>
          <w:szCs w:val="24"/>
        </w:rPr>
      </w:pPr>
    </w:p>
    <w:p w14:paraId="099C3482" w14:textId="77777777" w:rsidR="00E211EA" w:rsidRDefault="00E211EA">
      <w:pPr>
        <w:autoSpaceDE/>
        <w:autoSpaceDN/>
        <w:adjustRightInd/>
        <w:rPr>
          <w:rFonts w:ascii="EYInterstate" w:hAnsi="EYInterstate"/>
          <w:sz w:val="24"/>
          <w:szCs w:val="24"/>
        </w:rPr>
      </w:pPr>
      <w:r>
        <w:rPr>
          <w:rFonts w:ascii="EYInterstate" w:hAnsi="EYInterstate"/>
          <w:sz w:val="24"/>
          <w:szCs w:val="24"/>
        </w:rPr>
        <w:br w:type="page"/>
      </w:r>
    </w:p>
    <w:p w14:paraId="0804DD1C" w14:textId="79E60D61" w:rsidR="000042E2" w:rsidRPr="00E46234" w:rsidRDefault="000042E2" w:rsidP="00A577AC">
      <w:pPr>
        <w:pStyle w:val="EYBodytextwithparaspace"/>
        <w:rPr>
          <w:rFonts w:ascii="EYInterstate" w:hAnsi="EYInterstate"/>
          <w:color w:val="auto"/>
          <w:sz w:val="24"/>
          <w:szCs w:val="24"/>
        </w:rPr>
      </w:pPr>
      <w:r w:rsidRPr="00E46234">
        <w:rPr>
          <w:rFonts w:ascii="EYInterstate" w:hAnsi="EYInterstate"/>
          <w:color w:val="auto"/>
          <w:sz w:val="24"/>
          <w:szCs w:val="24"/>
        </w:rPr>
        <w:lastRenderedPageBreak/>
        <w:t xml:space="preserve">Different types of </w:t>
      </w:r>
      <w:r w:rsidR="004649D8">
        <w:rPr>
          <w:rFonts w:ascii="EYInterstate" w:hAnsi="EYInterstate"/>
          <w:color w:val="auto"/>
          <w:sz w:val="24"/>
          <w:szCs w:val="24"/>
        </w:rPr>
        <w:t>j</w:t>
      </w:r>
      <w:r w:rsidRPr="00E46234">
        <w:rPr>
          <w:rFonts w:ascii="EYInterstate" w:hAnsi="EYInterstate"/>
          <w:color w:val="auto"/>
          <w:sz w:val="24"/>
          <w:szCs w:val="24"/>
        </w:rPr>
        <w:t>ournal publishers</w:t>
      </w:r>
    </w:p>
    <w:p w14:paraId="5AF4FB0B" w14:textId="0F95E71A" w:rsidR="00625C70" w:rsidRDefault="00AE11FD" w:rsidP="00A577AC">
      <w:pPr>
        <w:pStyle w:val="EYBodytextwithparaspace"/>
      </w:pPr>
      <w:r>
        <w:t>A</w:t>
      </w:r>
      <w:r w:rsidR="00625C70">
        <w:t xml:space="preserve"> range of entities publish academic journals</w:t>
      </w:r>
      <w:r w:rsidR="00164FEA">
        <w:t>, including</w:t>
      </w:r>
      <w:r w:rsidR="00A114D6">
        <w:t>:</w:t>
      </w:r>
    </w:p>
    <w:p w14:paraId="3FB7737B" w14:textId="723BF071" w:rsidR="00422293" w:rsidRPr="0088325D" w:rsidRDefault="00625C70" w:rsidP="000042E2">
      <w:pPr>
        <w:pStyle w:val="EYBulletnoparaspace"/>
        <w:ind w:left="426"/>
      </w:pPr>
      <w:r w:rsidRPr="004649D8">
        <w:rPr>
          <w:b/>
          <w:bCs/>
        </w:rPr>
        <w:t>Commercial publishers</w:t>
      </w:r>
      <w:r w:rsidRPr="0088325D">
        <w:t xml:space="preserve"> </w:t>
      </w:r>
      <w:r w:rsidR="000C7C28" w:rsidRPr="0088325D">
        <w:t>—</w:t>
      </w:r>
      <w:r w:rsidR="001C629C" w:rsidRPr="0088325D">
        <w:t xml:space="preserve"> </w:t>
      </w:r>
      <w:r w:rsidRPr="0088325D">
        <w:t xml:space="preserve">Commercial publishers </w:t>
      </w:r>
      <w:r w:rsidR="00164FEA" w:rsidRPr="0088325D">
        <w:t>are not affiliated with academic institution</w:t>
      </w:r>
      <w:r w:rsidR="001C629C" w:rsidRPr="0088325D">
        <w:t>s</w:t>
      </w:r>
      <w:r w:rsidR="00164FEA" w:rsidRPr="0088325D">
        <w:t xml:space="preserve"> and </w:t>
      </w:r>
      <w:r w:rsidRPr="0088325D">
        <w:t>have a for</w:t>
      </w:r>
      <w:r w:rsidR="00747F32" w:rsidRPr="0088325D">
        <w:t>-</w:t>
      </w:r>
      <w:r w:rsidRPr="0088325D">
        <w:t xml:space="preserve">profit business model. </w:t>
      </w:r>
      <w:r w:rsidR="001C629C" w:rsidRPr="0088325D">
        <w:t xml:space="preserve">The </w:t>
      </w:r>
      <w:r w:rsidR="00A101E2" w:rsidRPr="0088325D">
        <w:t>five</w:t>
      </w:r>
      <w:r w:rsidR="001C629C" w:rsidRPr="0088325D">
        <w:t xml:space="preserve"> largest </w:t>
      </w:r>
      <w:r w:rsidR="00422293" w:rsidRPr="0088325D">
        <w:t xml:space="preserve">global publishers are Elsevier, Springer Nature, </w:t>
      </w:r>
      <w:r w:rsidR="00A101E2" w:rsidRPr="0088325D">
        <w:t xml:space="preserve">Wiley, </w:t>
      </w:r>
      <w:r w:rsidR="00422293" w:rsidRPr="0088325D">
        <w:t xml:space="preserve">Taylor &amp; Francis, </w:t>
      </w:r>
      <w:r w:rsidR="00A52F3C" w:rsidRPr="0088325D">
        <w:t>and Sage</w:t>
      </w:r>
      <w:r w:rsidR="00422293" w:rsidRPr="0088325D">
        <w:t>.</w:t>
      </w:r>
    </w:p>
    <w:p w14:paraId="2C0A3737" w14:textId="5319AAFF" w:rsidR="00625C70" w:rsidRPr="0088325D" w:rsidRDefault="00625C70" w:rsidP="000042E2">
      <w:pPr>
        <w:pStyle w:val="EYBulletnoparaspace"/>
        <w:ind w:left="426"/>
      </w:pPr>
      <w:r w:rsidRPr="004649D8">
        <w:rPr>
          <w:b/>
          <w:bCs/>
        </w:rPr>
        <w:t>University presses</w:t>
      </w:r>
      <w:r w:rsidRPr="0088325D">
        <w:t xml:space="preserve"> </w:t>
      </w:r>
      <w:r w:rsidR="000C7C28" w:rsidRPr="0088325D">
        <w:t>—</w:t>
      </w:r>
      <w:r w:rsidRPr="0088325D">
        <w:t xml:space="preserve"> </w:t>
      </w:r>
      <w:r w:rsidR="00874568" w:rsidRPr="0088325D">
        <w:t>A</w:t>
      </w:r>
      <w:r w:rsidRPr="0088325D">
        <w:t xml:space="preserve">re attached to </w:t>
      </w:r>
      <w:r w:rsidR="00B92870" w:rsidRPr="0088325D">
        <w:t xml:space="preserve">a specific </w:t>
      </w:r>
      <w:r w:rsidRPr="0088325D">
        <w:t>university</w:t>
      </w:r>
      <w:r w:rsidR="00B92870" w:rsidRPr="0088325D">
        <w:t>, with the university providing</w:t>
      </w:r>
      <w:r w:rsidRPr="0088325D">
        <w:t xml:space="preserve"> financial support </w:t>
      </w:r>
      <w:r w:rsidR="00B92870" w:rsidRPr="0088325D">
        <w:t xml:space="preserve">and </w:t>
      </w:r>
      <w:r w:rsidR="00755A40" w:rsidRPr="0088325D">
        <w:t xml:space="preserve">the publisher </w:t>
      </w:r>
      <w:r w:rsidR="00B92870" w:rsidRPr="0088325D">
        <w:t>redistributing any profits back into the university.</w:t>
      </w:r>
      <w:r w:rsidRPr="0088325D">
        <w:t xml:space="preserve"> Examples include</w:t>
      </w:r>
      <w:r w:rsidR="00B92870" w:rsidRPr="0088325D">
        <w:t xml:space="preserve"> the</w:t>
      </w:r>
      <w:r w:rsidRPr="0088325D">
        <w:t xml:space="preserve"> Cambridge University Press, </w:t>
      </w:r>
      <w:r w:rsidR="00B92870" w:rsidRPr="0088325D">
        <w:t xml:space="preserve">the </w:t>
      </w:r>
      <w:r w:rsidRPr="0088325D">
        <w:t xml:space="preserve">Oxford University Press, </w:t>
      </w:r>
      <w:r w:rsidR="00992E47" w:rsidRPr="0088325D">
        <w:t>and Melbourne University Publishing.</w:t>
      </w:r>
    </w:p>
    <w:p w14:paraId="1EF4F706" w14:textId="5F296A81" w:rsidR="00625C70" w:rsidRPr="0088325D" w:rsidRDefault="00625C70" w:rsidP="000042E2">
      <w:pPr>
        <w:pStyle w:val="EYBulletnoparaspace"/>
        <w:ind w:left="426"/>
      </w:pPr>
      <w:r w:rsidRPr="004649D8">
        <w:rPr>
          <w:b/>
          <w:bCs/>
        </w:rPr>
        <w:t>Learned societies</w:t>
      </w:r>
      <w:r w:rsidRPr="0088325D">
        <w:t xml:space="preserve"> </w:t>
      </w:r>
      <w:r w:rsidR="000C7C28" w:rsidRPr="0088325D">
        <w:t>—</w:t>
      </w:r>
      <w:r w:rsidRPr="0088325D">
        <w:t xml:space="preserve"> </w:t>
      </w:r>
      <w:r w:rsidR="00874568" w:rsidRPr="0088325D">
        <w:t>A</w:t>
      </w:r>
      <w:r w:rsidRPr="0088325D">
        <w:t xml:space="preserve">re </w:t>
      </w:r>
      <w:r w:rsidR="004440BA" w:rsidRPr="0088325D">
        <w:t>ordinarily not-for</w:t>
      </w:r>
      <w:r w:rsidRPr="0088325D">
        <w:t xml:space="preserve">-profit </w:t>
      </w:r>
      <w:r w:rsidR="004440BA" w:rsidRPr="0088325D">
        <w:t>organisations</w:t>
      </w:r>
      <w:r w:rsidRPr="0088325D">
        <w:t xml:space="preserve"> or professional associations. Profits from learned societies </w:t>
      </w:r>
      <w:r w:rsidR="004440BA" w:rsidRPr="0088325D">
        <w:t>support</w:t>
      </w:r>
      <w:r w:rsidRPr="0088325D">
        <w:t xml:space="preserve"> member </w:t>
      </w:r>
      <w:r w:rsidR="005D7D72" w:rsidRPr="0088325D">
        <w:t>activities</w:t>
      </w:r>
      <w:r w:rsidR="004440BA" w:rsidRPr="0088325D">
        <w:t>,</w:t>
      </w:r>
      <w:r w:rsidRPr="0088325D">
        <w:t xml:space="preserve"> including conferences and further research. Examples include the Association for the Study of Australian Literature</w:t>
      </w:r>
      <w:r w:rsidR="00942E7B" w:rsidRPr="0088325D">
        <w:t>, the Australian Council of Engineering Deans</w:t>
      </w:r>
      <w:r w:rsidR="00D00B9F" w:rsidRPr="0088325D">
        <w:t>,</w:t>
      </w:r>
      <w:r w:rsidR="00942E7B" w:rsidRPr="0088325D">
        <w:t xml:space="preserve"> </w:t>
      </w:r>
      <w:r w:rsidR="00255B5F" w:rsidRPr="0088325D">
        <w:t xml:space="preserve">and the </w:t>
      </w:r>
      <w:r w:rsidR="005C70F9" w:rsidRPr="0088325D">
        <w:t>Society for Reproductive Biology</w:t>
      </w:r>
      <w:r w:rsidRPr="0088325D">
        <w:t>.</w:t>
      </w:r>
    </w:p>
    <w:p w14:paraId="3D471C84" w14:textId="006A8B2E" w:rsidR="00E227E2" w:rsidRDefault="00C63A35" w:rsidP="00DD0391">
      <w:pPr>
        <w:pStyle w:val="EYBodytextwithoutparaspace"/>
      </w:pPr>
      <w:r>
        <w:t xml:space="preserve">There has been major consolidation in the </w:t>
      </w:r>
      <w:r w:rsidR="00E227E2">
        <w:t>publishing market</w:t>
      </w:r>
      <w:r>
        <w:t>, with c</w:t>
      </w:r>
      <w:r w:rsidR="00F95322">
        <w:t>ommercial publish</w:t>
      </w:r>
      <w:r w:rsidR="00C56BEE">
        <w:t>er</w:t>
      </w:r>
      <w:r w:rsidR="00A979CF">
        <w:t>s</w:t>
      </w:r>
      <w:r w:rsidR="00F95322">
        <w:t xml:space="preserve"> </w:t>
      </w:r>
      <w:r>
        <w:t>now the dominant provider of peer-reviewed academic literature</w:t>
      </w:r>
      <w:r w:rsidR="00C56BEE">
        <w:t xml:space="preserve">. </w:t>
      </w:r>
      <w:r w:rsidR="00C7034E">
        <w:t>Several</w:t>
      </w:r>
      <w:r w:rsidR="00C56BEE">
        <w:t xml:space="preserve"> factors ha</w:t>
      </w:r>
      <w:r w:rsidR="00B91353">
        <w:t>ve</w:t>
      </w:r>
      <w:r w:rsidR="00C56BEE">
        <w:t xml:space="preserve"> </w:t>
      </w:r>
      <w:r>
        <w:t>driven consolidation, inc</w:t>
      </w:r>
      <w:r w:rsidR="006117DC">
        <w:t xml:space="preserve">luding </w:t>
      </w:r>
      <w:r w:rsidR="00564D0A">
        <w:t xml:space="preserve">increasing economies of scale, </w:t>
      </w:r>
      <w:r w:rsidR="00A913A4">
        <w:t xml:space="preserve">the </w:t>
      </w:r>
      <w:r w:rsidR="00564D0A">
        <w:t xml:space="preserve">ability to share costs across </w:t>
      </w:r>
      <w:r w:rsidR="00FC2F77">
        <w:t xml:space="preserve">a portfolio of </w:t>
      </w:r>
      <w:r w:rsidR="00564D0A">
        <w:t>journals, and the influence of digital publishing o</w:t>
      </w:r>
      <w:r w:rsidR="002A0F56">
        <w:t>n</w:t>
      </w:r>
      <w:r w:rsidR="00564D0A">
        <w:t xml:space="preserve"> profit margins.</w:t>
      </w:r>
    </w:p>
    <w:p w14:paraId="4DB3BEE2" w14:textId="49775355" w:rsidR="00A64346" w:rsidRDefault="00662126" w:rsidP="00541FC7">
      <w:pPr>
        <w:pStyle w:val="EYHeading2"/>
      </w:pPr>
      <w:bookmarkStart w:id="16" w:name="_Toc115717075"/>
      <w:r>
        <w:t>The</w:t>
      </w:r>
      <w:r w:rsidR="00E24B79">
        <w:t xml:space="preserve"> </w:t>
      </w:r>
      <w:r w:rsidR="00085963">
        <w:t xml:space="preserve">academic </w:t>
      </w:r>
      <w:r w:rsidR="005E0896">
        <w:t>publishing landscape</w:t>
      </w:r>
      <w:bookmarkEnd w:id="16"/>
    </w:p>
    <w:p w14:paraId="5D3B4040" w14:textId="4A2E24E9" w:rsidR="00004333" w:rsidRDefault="00E25C9C" w:rsidP="00DD0391">
      <w:pPr>
        <w:pStyle w:val="EYBodytextwithoutparaspace"/>
      </w:pPr>
      <w:r>
        <w:t xml:space="preserve">The </w:t>
      </w:r>
      <w:r w:rsidR="00E30855">
        <w:t xml:space="preserve">academic </w:t>
      </w:r>
      <w:r>
        <w:t xml:space="preserve">publishing landscape is </w:t>
      </w:r>
      <w:r w:rsidR="00AB5404">
        <w:t>diverse</w:t>
      </w:r>
      <w:r w:rsidR="009F4360">
        <w:t xml:space="preserve">, with </w:t>
      </w:r>
      <w:r w:rsidR="00871CBB">
        <w:t>approximately</w:t>
      </w:r>
      <w:r w:rsidR="000000B0">
        <w:t xml:space="preserve"> </w:t>
      </w:r>
      <w:r w:rsidR="00871CBB">
        <w:t>26</w:t>
      </w:r>
      <w:r w:rsidR="00D2686C">
        <w:t xml:space="preserve">,000 </w:t>
      </w:r>
      <w:r w:rsidR="00871CBB">
        <w:t xml:space="preserve">journals stretching </w:t>
      </w:r>
      <w:r w:rsidR="007E4DFE">
        <w:t>over 200</w:t>
      </w:r>
      <w:r w:rsidR="000000B0">
        <w:t xml:space="preserve"> </w:t>
      </w:r>
      <w:r w:rsidR="00F910D6">
        <w:t>disciplines, publishing approximately 2 million journal articles each year.</w:t>
      </w:r>
      <w:r w:rsidR="00F910D6">
        <w:rPr>
          <w:rStyle w:val="FootnoteReference"/>
        </w:rPr>
        <w:footnoteReference w:id="8"/>
      </w:r>
      <w:r w:rsidR="00CA778E">
        <w:t xml:space="preserve"> </w:t>
      </w:r>
      <w:r w:rsidR="007771DF">
        <w:t xml:space="preserve">The global publishing market is heavily concentrated, with the top </w:t>
      </w:r>
      <w:r w:rsidR="00302C7D">
        <w:t>five</w:t>
      </w:r>
      <w:r w:rsidR="007771DF">
        <w:t xml:space="preserve"> publishers </w:t>
      </w:r>
      <w:r w:rsidR="002B5CF9" w:rsidRPr="00BF6DE7">
        <w:t>(Elsevier, Springer Nature, Wiley, Taylor &amp; Francis, and Sage)</w:t>
      </w:r>
      <w:r w:rsidR="002B5CF9">
        <w:t xml:space="preserve"> </w:t>
      </w:r>
      <w:r w:rsidR="00CC3B5D">
        <w:t xml:space="preserve">publishing over 50% of all </w:t>
      </w:r>
      <w:r w:rsidR="00323F33">
        <w:t>peer-</w:t>
      </w:r>
      <w:r w:rsidR="00CC3B5D">
        <w:t>reviewed articles since 2015.</w:t>
      </w:r>
      <w:r w:rsidR="00CC3B5D">
        <w:rPr>
          <w:rStyle w:val="FootnoteReference"/>
        </w:rPr>
        <w:footnoteReference w:id="9"/>
      </w:r>
      <w:r w:rsidR="007D643E">
        <w:t xml:space="preserve"> </w:t>
      </w:r>
      <w:r w:rsidR="00133F14">
        <w:t>Th</w:t>
      </w:r>
      <w:r w:rsidR="00E00C6D">
        <w:t xml:space="preserve">e other 50% has a long tail distribution, with </w:t>
      </w:r>
      <w:r w:rsidR="00D1648E">
        <w:t>approximately 5,000 publishers</w:t>
      </w:r>
      <w:r w:rsidR="0070408E">
        <w:t xml:space="preserve"> publishing</w:t>
      </w:r>
      <w:r w:rsidR="00D1648E">
        <w:t xml:space="preserve"> 10% of the world</w:t>
      </w:r>
      <w:r w:rsidR="00FB1C66">
        <w:t>’s</w:t>
      </w:r>
      <w:r w:rsidR="00D1648E">
        <w:t xml:space="preserve"> academic journal articles.</w:t>
      </w:r>
    </w:p>
    <w:p w14:paraId="70170357" w14:textId="2D300715" w:rsidR="0004036E" w:rsidRPr="00E46234" w:rsidRDefault="005B0DBC" w:rsidP="00DD0391">
      <w:pPr>
        <w:pStyle w:val="EYBodytextwithoutparaspace"/>
      </w:pPr>
      <w:r>
        <w:t>A</w:t>
      </w:r>
      <w:r w:rsidR="001D7D51" w:rsidRPr="00BF6DE7">
        <w:t>pproximately</w:t>
      </w:r>
      <w:r w:rsidR="00FD28F0" w:rsidRPr="00BF6DE7">
        <w:t xml:space="preserve"> </w:t>
      </w:r>
      <w:r w:rsidR="001D7D51" w:rsidRPr="00BF6DE7">
        <w:t>770</w:t>
      </w:r>
      <w:r>
        <w:t xml:space="preserve"> journals</w:t>
      </w:r>
      <w:r w:rsidR="001D7D51" w:rsidRPr="00BF6DE7">
        <w:t xml:space="preserve"> are published </w:t>
      </w:r>
      <w:r w:rsidR="00CC3088" w:rsidRPr="00BF6DE7">
        <w:t xml:space="preserve">in Australia. </w:t>
      </w:r>
      <w:r w:rsidR="00B27117">
        <w:t xml:space="preserve">Consistent with the global </w:t>
      </w:r>
      <w:r w:rsidR="004D1DFA">
        <w:t>picture</w:t>
      </w:r>
      <w:r w:rsidR="00B27117">
        <w:t xml:space="preserve">, </w:t>
      </w:r>
      <w:r w:rsidR="00CC3088" w:rsidRPr="00BF6DE7">
        <w:t>Australian led research</w:t>
      </w:r>
      <w:r w:rsidR="00B27117">
        <w:t xml:space="preserve"> is </w:t>
      </w:r>
      <w:r w:rsidR="004D1DFA">
        <w:t xml:space="preserve">also </w:t>
      </w:r>
      <w:r w:rsidR="00B27117">
        <w:t xml:space="preserve">heavily concentrated within the </w:t>
      </w:r>
      <w:r w:rsidR="00046AEE">
        <w:t>large</w:t>
      </w:r>
      <w:r w:rsidR="00B27117">
        <w:t xml:space="preserve"> global publishers</w:t>
      </w:r>
      <w:r w:rsidR="004D1DFA">
        <w:t xml:space="preserve">, which </w:t>
      </w:r>
      <w:r w:rsidR="00806560" w:rsidRPr="00BF6DE7">
        <w:t xml:space="preserve">published </w:t>
      </w:r>
      <w:r w:rsidR="00435F93" w:rsidRPr="00BF6DE7">
        <w:t>nearly 6</w:t>
      </w:r>
      <w:r w:rsidR="00806560" w:rsidRPr="00BF6DE7">
        <w:t xml:space="preserve">0% of Australia’s journal articles </w:t>
      </w:r>
      <w:r w:rsidR="006E3739">
        <w:t>over the last seven years</w:t>
      </w:r>
      <w:r w:rsidR="00806560" w:rsidRPr="00BF6DE7">
        <w:t xml:space="preserve">. </w:t>
      </w:r>
      <w:r w:rsidR="0090134B">
        <w:t xml:space="preserve">The average Australian journal </w:t>
      </w:r>
      <w:r w:rsidR="0004036E">
        <w:t>comprises</w:t>
      </w:r>
      <w:r w:rsidR="0090134B">
        <w:t xml:space="preserve"> 17 articles, with over 6,000 journals publishing </w:t>
      </w:r>
      <w:r w:rsidR="009F0A75" w:rsidRPr="00E46234">
        <w:t>an</w:t>
      </w:r>
      <w:r w:rsidR="0090134B" w:rsidRPr="00E46234">
        <w:t xml:space="preserve"> </w:t>
      </w:r>
      <w:r w:rsidR="006549A8" w:rsidRPr="00E46234">
        <w:t xml:space="preserve">Australian-led </w:t>
      </w:r>
      <w:r w:rsidR="0090134B" w:rsidRPr="00E46234">
        <w:t>article since 2015.</w:t>
      </w:r>
    </w:p>
    <w:p w14:paraId="3E6B2E21" w14:textId="637B6CFC" w:rsidR="004F31B2" w:rsidRDefault="00402076" w:rsidP="00DD0391">
      <w:pPr>
        <w:pStyle w:val="EYBodytextwithoutparaspace"/>
      </w:pPr>
      <w:r w:rsidRPr="00E46234">
        <w:t xml:space="preserve">Approximately </w:t>
      </w:r>
      <w:r w:rsidR="006E174D" w:rsidRPr="00E46234">
        <w:t xml:space="preserve">90% of publishers </w:t>
      </w:r>
      <w:r w:rsidR="003F4831" w:rsidRPr="00E46234">
        <w:t>include</w:t>
      </w:r>
      <w:r w:rsidR="008249D1" w:rsidRPr="00E46234">
        <w:t xml:space="preserve"> </w:t>
      </w:r>
      <w:r w:rsidR="006E174D" w:rsidRPr="00E46234">
        <w:t>Australia</w:t>
      </w:r>
      <w:r w:rsidR="008249D1" w:rsidRPr="00E46234">
        <w:t>n research</w:t>
      </w:r>
      <w:r w:rsidR="00DA6B70" w:rsidRPr="00E46234">
        <w:t xml:space="preserve">, </w:t>
      </w:r>
      <w:r w:rsidR="003F4831" w:rsidRPr="00E46234">
        <w:t xml:space="preserve">with </w:t>
      </w:r>
      <w:r w:rsidR="00DA6B70" w:rsidRPr="00E46234">
        <w:t>the smallest 2,000</w:t>
      </w:r>
      <w:r w:rsidR="009A555E" w:rsidRPr="00E46234">
        <w:t xml:space="preserve"> publishers</w:t>
      </w:r>
      <w:r w:rsidR="003F4831" w:rsidRPr="00E46234">
        <w:t xml:space="preserve"> releasing </w:t>
      </w:r>
      <w:r w:rsidR="00961D7C" w:rsidRPr="00E46234">
        <w:t xml:space="preserve">just </w:t>
      </w:r>
      <w:r w:rsidR="00572A1F" w:rsidRPr="00E46234">
        <w:t>4% of all articles</w:t>
      </w:r>
      <w:r w:rsidR="0072523A" w:rsidRPr="00E46234">
        <w:t>.</w:t>
      </w:r>
      <w:r w:rsidR="0070758A" w:rsidRPr="00E46234">
        <w:rPr>
          <w:rStyle w:val="FootnoteReference"/>
        </w:rPr>
        <w:footnoteReference w:id="10"/>
      </w:r>
      <w:r w:rsidR="0072523A" w:rsidRPr="00E46234">
        <w:t xml:space="preserve"> Again, this demonstrates a </w:t>
      </w:r>
      <w:r w:rsidR="001533C1" w:rsidRPr="00E46234">
        <w:t xml:space="preserve">long-tailed distribution </w:t>
      </w:r>
      <w:r w:rsidR="00242C0D" w:rsidRPr="00E46234">
        <w:t xml:space="preserve">of publishers </w:t>
      </w:r>
      <w:r w:rsidR="00426072" w:rsidRPr="00E46234">
        <w:t>covering Australian research.</w:t>
      </w:r>
      <w:r w:rsidR="002C335F">
        <w:t xml:space="preserve"> </w:t>
      </w:r>
      <w:r w:rsidR="00C72D51">
        <w:t xml:space="preserve">Since 2015, Australian authors have published over 400,000 journal articles with more than </w:t>
      </w:r>
      <w:r w:rsidR="001E031D">
        <w:t>4.7</w:t>
      </w:r>
      <w:r w:rsidR="00693E51">
        <w:t> </w:t>
      </w:r>
      <w:r w:rsidR="001E031D">
        <w:t xml:space="preserve">million citations. </w:t>
      </w:r>
      <w:r w:rsidR="00693E51">
        <w:t>T</w:t>
      </w:r>
      <w:r w:rsidR="004F31B2">
        <w:t xml:space="preserve">he level of citations is highly </w:t>
      </w:r>
      <w:r w:rsidR="00FE5A93">
        <w:t>correlated</w:t>
      </w:r>
      <w:r w:rsidR="004F31B2">
        <w:t xml:space="preserve"> with the volume of journal publications</w:t>
      </w:r>
      <w:r w:rsidR="00693E51">
        <w:t>,</w:t>
      </w:r>
      <w:r w:rsidR="00AA5465">
        <w:t xml:space="preserve"> with 97% of citations </w:t>
      </w:r>
      <w:r w:rsidR="00693E51">
        <w:t>originating</w:t>
      </w:r>
      <w:r w:rsidR="00AA5465">
        <w:t xml:space="preserve"> from large journals.</w:t>
      </w:r>
    </w:p>
    <w:p w14:paraId="07435374" w14:textId="035CE53E" w:rsidR="0029414A" w:rsidRDefault="002A336F" w:rsidP="00A577AC">
      <w:pPr>
        <w:pStyle w:val="EYBodytextwithparaspace"/>
      </w:pPr>
      <w:r>
        <w:t xml:space="preserve">A graphical </w:t>
      </w:r>
      <w:r w:rsidR="00D8700A">
        <w:t xml:space="preserve">summary of the publishing landscape is shown in </w:t>
      </w:r>
      <w:r w:rsidR="00B716F0">
        <w:fldChar w:fldCharType="begin"/>
      </w:r>
      <w:r w:rsidR="00B716F0">
        <w:instrText xml:space="preserve"> REF _Ref115697459 \h </w:instrText>
      </w:r>
      <w:r w:rsidR="00B716F0">
        <w:fldChar w:fldCharType="separate"/>
      </w:r>
      <w:r w:rsidR="008112E6">
        <w:t xml:space="preserve">Figure </w:t>
      </w:r>
      <w:r w:rsidR="008112E6">
        <w:rPr>
          <w:noProof/>
        </w:rPr>
        <w:t>7</w:t>
      </w:r>
      <w:r w:rsidR="00B716F0">
        <w:fldChar w:fldCharType="end"/>
      </w:r>
      <w:r w:rsidR="00D8700A">
        <w:t>.</w:t>
      </w:r>
    </w:p>
    <w:p w14:paraId="7F2B9DA5" w14:textId="77777777" w:rsidR="00804202" w:rsidRDefault="00804202" w:rsidP="00541FC7">
      <w:pPr>
        <w:autoSpaceDE/>
        <w:autoSpaceDN/>
        <w:adjustRightInd/>
      </w:pPr>
      <w:r>
        <w:br w:type="page"/>
      </w:r>
    </w:p>
    <w:p w14:paraId="79070C55" w14:textId="171B29E7" w:rsidR="001A24E8" w:rsidRDefault="005E2291" w:rsidP="00D8700A">
      <w:pPr>
        <w:pStyle w:val="Caption"/>
        <w:keepNext/>
        <w:spacing w:after="240"/>
      </w:pPr>
      <w:bookmarkStart w:id="17" w:name="_Ref115697459"/>
      <w:r>
        <w:lastRenderedPageBreak/>
        <w:t xml:space="preserve">Figure </w:t>
      </w:r>
      <w:r w:rsidR="0029059A">
        <w:fldChar w:fldCharType="begin"/>
      </w:r>
      <w:r w:rsidR="0029059A">
        <w:instrText xml:space="preserve"> SEQ Figure \* ARABIC </w:instrText>
      </w:r>
      <w:r w:rsidR="0029059A">
        <w:fldChar w:fldCharType="separate"/>
      </w:r>
      <w:r w:rsidR="008112E6">
        <w:rPr>
          <w:noProof/>
        </w:rPr>
        <w:t>7</w:t>
      </w:r>
      <w:r w:rsidR="0029059A">
        <w:fldChar w:fldCharType="end"/>
      </w:r>
      <w:bookmarkEnd w:id="17"/>
      <w:r>
        <w:t xml:space="preserve">: </w:t>
      </w:r>
      <w:r w:rsidR="00E61C5E">
        <w:t xml:space="preserve">A snapshot of </w:t>
      </w:r>
      <w:r w:rsidR="00897881">
        <w:t xml:space="preserve">the academic publishing </w:t>
      </w:r>
      <w:r w:rsidR="00E408DF">
        <w:t>landscape</w:t>
      </w:r>
    </w:p>
    <w:p w14:paraId="30AA86F9" w14:textId="38E9B35C" w:rsidR="00804202" w:rsidRPr="00804202" w:rsidRDefault="001A24E8" w:rsidP="00D8700A">
      <w:pPr>
        <w:pStyle w:val="Caption"/>
        <w:keepNext/>
        <w:spacing w:after="240"/>
        <w:rPr>
          <w:b w:val="0"/>
          <w:i/>
          <w:sz w:val="28"/>
          <w:szCs w:val="24"/>
        </w:rPr>
      </w:pPr>
      <w:r w:rsidRPr="001A24E8">
        <w:rPr>
          <w:noProof/>
        </w:rPr>
        <w:drawing>
          <wp:inline distT="0" distB="0" distL="0" distR="0" wp14:anchorId="540D6C52" wp14:editId="63B96BD3">
            <wp:extent cx="5733415" cy="8507095"/>
            <wp:effectExtent l="0" t="0" r="635" b="8255"/>
            <wp:docPr id="683" name="Picture 683" descr="Graphic demonstrating the outsized impact and dominance of the top five journal publishers worldwide and in Australia (since 2015) in terms of proportion of journal articles and citations. The top five publishers globally are Elsevier, Springer Nature, Wiley, Taylor and Francis and MDPI (Multidisciplinary Digital Publishing Institute). The Top 5 publishers that published Australia-authored journal articles are Elsevier, Springer Nature, Wiley, Taylor &amp; Francis and 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683" descr="Graphic demonstrating the outsized impact and dominance of the top five journal publishers worldwide and in Australia (since 2015) in terms of proportion of journal articles and citations. The top five publishers globally are Elsevier, Springer Nature, Wiley, Taylor and Francis and MDPI (Multidisciplinary Digital Publishing Institute). The Top 5 publishers that published Australia-authored journal articles are Elsevier, Springer Nature, Wiley, Taylor &amp; Francis and S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3415" cy="8507095"/>
                    </a:xfrm>
                    <a:prstGeom prst="rect">
                      <a:avLst/>
                    </a:prstGeom>
                    <a:noFill/>
                    <a:ln>
                      <a:noFill/>
                    </a:ln>
                  </pic:spPr>
                </pic:pic>
              </a:graphicData>
            </a:graphic>
          </wp:inline>
        </w:drawing>
      </w:r>
      <w:r w:rsidR="009A01BE" w:rsidRPr="009A01BE">
        <w:t xml:space="preserve"> </w:t>
      </w:r>
      <w:r w:rsidR="00804202" w:rsidRPr="00804202">
        <w:rPr>
          <w:i/>
        </w:rPr>
        <w:br w:type="page"/>
      </w:r>
    </w:p>
    <w:p w14:paraId="20C883C8" w14:textId="41E2AD44" w:rsidR="00D66BC8" w:rsidRDefault="00B429B8" w:rsidP="00541FC7">
      <w:pPr>
        <w:pStyle w:val="EYHeading2"/>
      </w:pPr>
      <w:bookmarkStart w:id="18" w:name="_Toc115717076"/>
      <w:r>
        <w:lastRenderedPageBreak/>
        <w:t>A</w:t>
      </w:r>
      <w:r w:rsidR="00D578D2">
        <w:t>ccess costs</w:t>
      </w:r>
      <w:bookmarkEnd w:id="18"/>
    </w:p>
    <w:p w14:paraId="1D7768CE" w14:textId="17522274" w:rsidR="00B376DE" w:rsidRPr="00F85176" w:rsidRDefault="00230E83" w:rsidP="00F067EE">
      <w:pPr>
        <w:pStyle w:val="EYBodytextwithoutparaspace"/>
      </w:pPr>
      <w:r w:rsidRPr="00F85176">
        <w:t>A</w:t>
      </w:r>
      <w:r w:rsidR="00DE1DD2" w:rsidRPr="00F85176">
        <w:t>round 60%</w:t>
      </w:r>
      <w:r w:rsidR="00CA3D15" w:rsidRPr="00F85176">
        <w:t xml:space="preserve"> </w:t>
      </w:r>
      <w:r w:rsidR="006A3E0C" w:rsidRPr="00F85176">
        <w:t>of</w:t>
      </w:r>
      <w:r w:rsidR="00CA3D15" w:rsidRPr="00F85176">
        <w:t xml:space="preserve"> academic journal publications </w:t>
      </w:r>
      <w:r w:rsidRPr="00F85176">
        <w:t>in Australia</w:t>
      </w:r>
      <w:r w:rsidR="00CA3D15" w:rsidRPr="00F85176">
        <w:t xml:space="preserve"> sit behind publisher paywalls through the pay-to-read or traditional publishing model.</w:t>
      </w:r>
      <w:r w:rsidR="000A1D03" w:rsidRPr="00F85176">
        <w:rPr>
          <w:rStyle w:val="FootnoteReference"/>
        </w:rPr>
        <w:footnoteReference w:id="11"/>
      </w:r>
      <w:r w:rsidR="00CA3D15" w:rsidRPr="00F85176">
        <w:t xml:space="preserve"> Under the traditional publishing model, authors typically transfer the copyright of accepted articles to publishers. Publishers can then sell access to journal publications through access charges which </w:t>
      </w:r>
      <w:r w:rsidR="0048524E" w:rsidRPr="00F85176">
        <w:t>allow</w:t>
      </w:r>
      <w:r w:rsidR="00CA3D15" w:rsidRPr="00F85176">
        <w:t xml:space="preserve"> readers limited re-use rights depending on the level of access.</w:t>
      </w:r>
    </w:p>
    <w:p w14:paraId="45D92A7D" w14:textId="29685A1D" w:rsidR="003057EA" w:rsidRDefault="003057EA" w:rsidP="00F067EE">
      <w:pPr>
        <w:pStyle w:val="EYBodytextwithoutparaspace"/>
      </w:pPr>
      <w:r w:rsidRPr="003057EA">
        <w:t xml:space="preserve">Under the traditional publishing model, there are two main access charges: one-off fees and subscription agreements. </w:t>
      </w:r>
      <w:r w:rsidR="00E8688F" w:rsidRPr="00335842">
        <w:t>A</w:t>
      </w:r>
      <w:r w:rsidRPr="00335842">
        <w:t xml:space="preserve"> one-off fee </w:t>
      </w:r>
      <w:r w:rsidR="00763D4C" w:rsidRPr="00335842">
        <w:t>provides</w:t>
      </w:r>
      <w:r w:rsidRPr="00335842">
        <w:t xml:space="preserve"> access to </w:t>
      </w:r>
      <w:r w:rsidR="00763D4C" w:rsidRPr="00335842">
        <w:t>a</w:t>
      </w:r>
      <w:r w:rsidRPr="00335842">
        <w:t xml:space="preserve"> single journal </w:t>
      </w:r>
      <w:r w:rsidR="00C80121" w:rsidRPr="00335842">
        <w:t>article</w:t>
      </w:r>
      <w:r w:rsidR="00763D4C" w:rsidRPr="00335842">
        <w:t xml:space="preserve">, with access charges typically ranging </w:t>
      </w:r>
      <w:r w:rsidRPr="00335842">
        <w:t xml:space="preserve">between $50 and $200 </w:t>
      </w:r>
      <w:r w:rsidR="00AB7B67" w:rsidRPr="00335842">
        <w:t>per</w:t>
      </w:r>
      <w:r w:rsidRPr="00335842">
        <w:t xml:space="preserve"> </w:t>
      </w:r>
      <w:r w:rsidR="00E8688F" w:rsidRPr="00335842">
        <w:t>article</w:t>
      </w:r>
      <w:r w:rsidR="00455282" w:rsidRPr="00335842">
        <w:t>.</w:t>
      </w:r>
    </w:p>
    <w:p w14:paraId="60BF7E7E" w14:textId="7613FC0D" w:rsidR="003D76BC" w:rsidRPr="003D76BC" w:rsidRDefault="006E3A89" w:rsidP="00F067EE">
      <w:pPr>
        <w:pStyle w:val="EYBodytextwithoutparaspace"/>
      </w:pPr>
      <w:r>
        <w:t>Universities have</w:t>
      </w:r>
      <w:r w:rsidR="005265D8">
        <w:t xml:space="preserve"> subscription agreements with publisher</w:t>
      </w:r>
      <w:r w:rsidR="008D08B1">
        <w:t>s</w:t>
      </w:r>
      <w:r w:rsidR="005265D8">
        <w:t xml:space="preserve"> to access a range of academic journals</w:t>
      </w:r>
      <w:r w:rsidR="00D3535D">
        <w:t xml:space="preserve"> via an online portal </w:t>
      </w:r>
      <w:r w:rsidR="00582062">
        <w:t>which they typically host and maintain. U</w:t>
      </w:r>
      <w:r w:rsidR="00401697">
        <w:t xml:space="preserve">niversities can either </w:t>
      </w:r>
      <w:r w:rsidR="005C490A">
        <w:t>nominal</w:t>
      </w:r>
      <w:r w:rsidR="00BE0DE1">
        <w:t>ly</w:t>
      </w:r>
      <w:r w:rsidR="005C490A">
        <w:t xml:space="preserve"> </w:t>
      </w:r>
      <w:r w:rsidR="00C175E4">
        <w:t>subscribe</w:t>
      </w:r>
      <w:r w:rsidR="005C490A">
        <w:t xml:space="preserve"> to </w:t>
      </w:r>
      <w:r w:rsidR="0069617C">
        <w:t xml:space="preserve">an </w:t>
      </w:r>
      <w:r w:rsidR="005C490A">
        <w:t>individual journal or enter so called ‘big deals’</w:t>
      </w:r>
      <w:r w:rsidR="00E618DD">
        <w:t xml:space="preserve"> or bundling.</w:t>
      </w:r>
      <w:r w:rsidR="00BE0DE1">
        <w:t xml:space="preserve"> Big deals</w:t>
      </w:r>
      <w:r w:rsidR="00A005C1">
        <w:t>, which represent a growing trend,</w:t>
      </w:r>
      <w:r w:rsidR="005C490A">
        <w:t xml:space="preserve"> </w:t>
      </w:r>
      <w:r w:rsidR="00E31D9F">
        <w:t xml:space="preserve">wrap </w:t>
      </w:r>
      <w:r w:rsidR="00463025">
        <w:t>part</w:t>
      </w:r>
      <w:r w:rsidR="00E31D9F">
        <w:t xml:space="preserve"> or </w:t>
      </w:r>
      <w:r w:rsidR="00A005C1">
        <w:t>an</w:t>
      </w:r>
      <w:r w:rsidR="00E31D9F">
        <w:t xml:space="preserve"> entire</w:t>
      </w:r>
      <w:r w:rsidR="00C175E4">
        <w:t xml:space="preserve"> publisher collection under one licensing agreement.</w:t>
      </w:r>
      <w:r w:rsidR="00C014F3">
        <w:rPr>
          <w:rStyle w:val="FootnoteReference"/>
        </w:rPr>
        <w:footnoteReference w:id="12"/>
      </w:r>
    </w:p>
    <w:p w14:paraId="03C5AB08" w14:textId="66B24FE3" w:rsidR="00BD7997" w:rsidRPr="00BD7997" w:rsidRDefault="009F38A4" w:rsidP="00F067EE">
      <w:pPr>
        <w:pStyle w:val="EYBodytextwithoutparaspace"/>
      </w:pPr>
      <w:r>
        <w:t>B</w:t>
      </w:r>
      <w:r w:rsidR="009A3DA7" w:rsidRPr="009A3DA7">
        <w:t>ig deals are often standard</w:t>
      </w:r>
      <w:r>
        <w:t>ised</w:t>
      </w:r>
      <w:r w:rsidR="009A3DA7" w:rsidRPr="009A3DA7">
        <w:t xml:space="preserve"> product</w:t>
      </w:r>
      <w:r>
        <w:t xml:space="preserve">s which </w:t>
      </w:r>
      <w:r w:rsidR="00C67309">
        <w:t xml:space="preserve">can </w:t>
      </w:r>
      <w:r w:rsidR="009A3DA7" w:rsidRPr="009A3DA7">
        <w:t xml:space="preserve">restrict an organisation’s </w:t>
      </w:r>
      <w:r w:rsidR="00C67309">
        <w:t>scope</w:t>
      </w:r>
      <w:r w:rsidR="009A3DA7" w:rsidRPr="009A3DA7">
        <w:t xml:space="preserve"> to mix and match journals to </w:t>
      </w:r>
      <w:r w:rsidR="005D1DC5">
        <w:t>maximise</w:t>
      </w:r>
      <w:r w:rsidR="009A3DA7" w:rsidRPr="009A3DA7">
        <w:t xml:space="preserve"> </w:t>
      </w:r>
      <w:r w:rsidR="00EE4EB3">
        <w:t>value</w:t>
      </w:r>
      <w:r w:rsidR="009A3DA7" w:rsidRPr="009A3DA7">
        <w:t xml:space="preserve">. </w:t>
      </w:r>
      <w:r w:rsidR="00EE4EB3">
        <w:t>They often include lower impact journals which the organisation would not normally subscribe to in the absence of bundling.</w:t>
      </w:r>
      <w:r w:rsidR="00EE4EB3">
        <w:rPr>
          <w:rStyle w:val="FootnoteReference"/>
        </w:rPr>
        <w:footnoteReference w:id="13"/>
      </w:r>
      <w:r w:rsidR="00EE4EB3">
        <w:t xml:space="preserve"> </w:t>
      </w:r>
      <w:r w:rsidR="00EE4EB3" w:rsidRPr="009A3DA7">
        <w:t xml:space="preserve">Further, </w:t>
      </w:r>
      <w:r w:rsidR="009A3DA7" w:rsidRPr="009A3DA7">
        <w:t xml:space="preserve">big deals offer bulk discounts across a range of journals, </w:t>
      </w:r>
      <w:r w:rsidR="00006A91">
        <w:t>thereby</w:t>
      </w:r>
      <w:r w:rsidR="009A3DA7" w:rsidRPr="009A3DA7">
        <w:t xml:space="preserve"> increas</w:t>
      </w:r>
      <w:r w:rsidR="00006A91">
        <w:t>ing</w:t>
      </w:r>
      <w:r w:rsidR="009A3DA7" w:rsidRPr="009A3DA7">
        <w:t xml:space="preserve"> </w:t>
      </w:r>
      <w:r w:rsidR="00006A91">
        <w:t>subscription</w:t>
      </w:r>
      <w:r w:rsidR="009A3DA7" w:rsidRPr="009A3DA7">
        <w:t xml:space="preserve"> cost</w:t>
      </w:r>
      <w:r w:rsidR="00006A91">
        <w:t xml:space="preserve">s </w:t>
      </w:r>
      <w:r w:rsidR="009A3DA7" w:rsidRPr="009A3DA7">
        <w:t>by including journals that are not widely used.</w:t>
      </w:r>
    </w:p>
    <w:p w14:paraId="245D6598" w14:textId="25670231" w:rsidR="00B75AF8" w:rsidRDefault="00B93017" w:rsidP="00F067EE">
      <w:pPr>
        <w:pStyle w:val="EYBodytextwithoutparaspace"/>
      </w:pPr>
      <w:r w:rsidRPr="00B93017">
        <w:t xml:space="preserve">A survey of </w:t>
      </w:r>
      <w:r w:rsidR="00331E98">
        <w:t>research users</w:t>
      </w:r>
      <w:r w:rsidRPr="00B93017">
        <w:t xml:space="preserve"> which included state and federal government</w:t>
      </w:r>
      <w:r w:rsidR="00424ED2">
        <w:t xml:space="preserve"> libraries and research departments</w:t>
      </w:r>
      <w:r w:rsidR="00E30811">
        <w:t>,</w:t>
      </w:r>
      <w:r w:rsidRPr="00B93017">
        <w:t xml:space="preserve"> </w:t>
      </w:r>
      <w:r w:rsidR="00C32F73">
        <w:t>key</w:t>
      </w:r>
      <w:r w:rsidRPr="00B93017">
        <w:t xml:space="preserve"> industry</w:t>
      </w:r>
      <w:r w:rsidR="00C32F73">
        <w:t xml:space="preserve"> stakeholder</w:t>
      </w:r>
      <w:r w:rsidR="00331E98">
        <w:t>s</w:t>
      </w:r>
      <w:r w:rsidR="00E30811">
        <w:t>,</w:t>
      </w:r>
      <w:r w:rsidRPr="00B93017">
        <w:t xml:space="preserve"> and the university sector, found that Australia is spending approximately $320 million on accessing academic journals</w:t>
      </w:r>
      <w:r w:rsidR="00F55771">
        <w:t xml:space="preserve"> each year</w:t>
      </w:r>
      <w:r w:rsidR="00BB5333">
        <w:t>.</w:t>
      </w:r>
      <w:r w:rsidR="00E75D75">
        <w:rPr>
          <w:rStyle w:val="FootnoteReference"/>
        </w:rPr>
        <w:footnoteReference w:id="14"/>
      </w:r>
      <w:r w:rsidRPr="00B93017">
        <w:t xml:space="preserve"> This figure likely represents the lower bound of subscription expenditure as it does not include spending outside </w:t>
      </w:r>
      <w:r w:rsidR="00170DCE">
        <w:t xml:space="preserve">of </w:t>
      </w:r>
      <w:r w:rsidR="00C32F73">
        <w:t xml:space="preserve">these stakeholders including other </w:t>
      </w:r>
      <w:r w:rsidRPr="00B93017">
        <w:t>government</w:t>
      </w:r>
      <w:r w:rsidR="00C32F73">
        <w:t xml:space="preserve"> use</w:t>
      </w:r>
      <w:r w:rsidRPr="00B93017">
        <w:t xml:space="preserve">, </w:t>
      </w:r>
      <w:r w:rsidR="00C32F73">
        <w:t>the</w:t>
      </w:r>
      <w:r w:rsidRPr="00B93017">
        <w:t xml:space="preserve"> private</w:t>
      </w:r>
      <w:r w:rsidR="00C32F73">
        <w:t xml:space="preserve"> sector</w:t>
      </w:r>
      <w:r w:rsidRPr="00B93017">
        <w:t xml:space="preserve">, </w:t>
      </w:r>
      <w:r w:rsidR="00C32F73">
        <w:t>other</w:t>
      </w:r>
      <w:r w:rsidRPr="00B93017">
        <w:t xml:space="preserve"> industry</w:t>
      </w:r>
      <w:r w:rsidR="00C32F73">
        <w:t xml:space="preserve"> use,</w:t>
      </w:r>
      <w:r w:rsidRPr="00B93017">
        <w:t xml:space="preserve"> or one-</w:t>
      </w:r>
      <w:r w:rsidRPr="006C241B">
        <w:t>off access charges.</w:t>
      </w:r>
    </w:p>
    <w:p w14:paraId="2B41FA42" w14:textId="2E890094" w:rsidR="00CB0810" w:rsidRPr="006C241B" w:rsidRDefault="00F357D0" w:rsidP="00F067EE">
      <w:pPr>
        <w:pStyle w:val="EYBodytextwithoutparaspace"/>
      </w:pPr>
      <w:r w:rsidRPr="006C241B">
        <w:t xml:space="preserve">The Council of Australia Universities Librarians (CAUL) collects subscription expenditure data from Australian universities, including total library expenditure. CAUL data </w:t>
      </w:r>
      <w:r w:rsidR="007E175B">
        <w:t>shows</w:t>
      </w:r>
      <w:r w:rsidRPr="006C241B">
        <w:t xml:space="preserve"> that expenditure on journal subscriptions </w:t>
      </w:r>
      <w:r w:rsidR="006E4D8C">
        <w:t>has been</w:t>
      </w:r>
      <w:r w:rsidRPr="006C241B">
        <w:t xml:space="preserve"> increasing </w:t>
      </w:r>
      <w:r w:rsidR="007E175B">
        <w:t>significant in recent years</w:t>
      </w:r>
      <w:r w:rsidRPr="006C241B">
        <w:t xml:space="preserve">, as seen in </w:t>
      </w:r>
      <w:r w:rsidR="00B716F0">
        <w:fldChar w:fldCharType="begin"/>
      </w:r>
      <w:r w:rsidR="00B716F0">
        <w:instrText xml:space="preserve"> REF _Ref115697478 \h </w:instrText>
      </w:r>
      <w:r w:rsidR="00B716F0">
        <w:fldChar w:fldCharType="separate"/>
      </w:r>
      <w:r w:rsidR="008112E6">
        <w:t xml:space="preserve">Figure </w:t>
      </w:r>
      <w:r w:rsidR="008112E6">
        <w:rPr>
          <w:noProof/>
        </w:rPr>
        <w:t>8</w:t>
      </w:r>
      <w:r w:rsidR="00B716F0">
        <w:fldChar w:fldCharType="end"/>
      </w:r>
      <w:r w:rsidRPr="006C241B">
        <w:t>. Journal expenditure has also risen significantly over the past three years as a proportion of total library expenditure.</w:t>
      </w:r>
    </w:p>
    <w:p w14:paraId="3469554C" w14:textId="44FF1B4F" w:rsidR="009527FE" w:rsidRPr="009527FE" w:rsidRDefault="00380F9B" w:rsidP="005265EE">
      <w:pPr>
        <w:pStyle w:val="Caption"/>
        <w:keepNext/>
        <w:spacing w:after="240"/>
      </w:pPr>
      <w:bookmarkStart w:id="19" w:name="_Ref115697478"/>
      <w:r>
        <w:lastRenderedPageBreak/>
        <w:t xml:space="preserve">Figure </w:t>
      </w:r>
      <w:r w:rsidR="0029059A">
        <w:fldChar w:fldCharType="begin"/>
      </w:r>
      <w:r w:rsidR="0029059A">
        <w:instrText xml:space="preserve"> SEQ Figure \* ARABIC </w:instrText>
      </w:r>
      <w:r w:rsidR="0029059A">
        <w:fldChar w:fldCharType="separate"/>
      </w:r>
      <w:r w:rsidR="008112E6">
        <w:rPr>
          <w:noProof/>
        </w:rPr>
        <w:t>8</w:t>
      </w:r>
      <w:r w:rsidR="0029059A">
        <w:fldChar w:fldCharType="end"/>
      </w:r>
      <w:bookmarkEnd w:id="19"/>
      <w:r>
        <w:t>:</w:t>
      </w:r>
      <w:r w:rsidR="00946E9A">
        <w:t xml:space="preserve"> </w:t>
      </w:r>
      <w:r>
        <w:t xml:space="preserve">Australian </w:t>
      </w:r>
      <w:r w:rsidR="00762B38">
        <w:t>u</w:t>
      </w:r>
      <w:r>
        <w:t xml:space="preserve">niversity </w:t>
      </w:r>
      <w:r w:rsidR="00762B38">
        <w:t>e</w:t>
      </w:r>
      <w:r>
        <w:t xml:space="preserve">xpenditure on </w:t>
      </w:r>
      <w:r w:rsidR="00757F9D">
        <w:t>j</w:t>
      </w:r>
      <w:r>
        <w:t xml:space="preserve">ournal </w:t>
      </w:r>
      <w:r w:rsidR="00757F9D">
        <w:t>s</w:t>
      </w:r>
      <w:r>
        <w:t>ubscriptions</w:t>
      </w:r>
    </w:p>
    <w:p w14:paraId="26F96FB5" w14:textId="637B53CD" w:rsidR="00D94947" w:rsidRDefault="00B471B1" w:rsidP="00A577AC">
      <w:pPr>
        <w:pStyle w:val="EYBodytextwithparaspace"/>
        <w:rPr>
          <w:rFonts w:eastAsia="Cambria"/>
        </w:rPr>
      </w:pPr>
      <w:r w:rsidRPr="00DA77B1">
        <w:rPr>
          <w:noProof/>
          <w:color w:val="auto"/>
        </w:rPr>
        <w:drawing>
          <wp:inline distT="0" distB="0" distL="0" distR="0" wp14:anchorId="33FBA850" wp14:editId="5E883742">
            <wp:extent cx="2915920" cy="2421890"/>
            <wp:effectExtent l="0" t="0" r="0" b="0"/>
            <wp:docPr id="1" name="Chart 1" descr="Their are two separate figures sides by side for figure 8, the first one is a histogram that charts library expenditure (in millions of dollars) for each year from 2012 to 2020. The figure also has an overlayed line graph that charts inflation in that period. ">
              <a:extLst xmlns:a="http://schemas.openxmlformats.org/drawingml/2006/main">
                <a:ext uri="{FF2B5EF4-FFF2-40B4-BE49-F238E27FC236}">
                  <a16:creationId xmlns:a16="http://schemas.microsoft.com/office/drawing/2014/main" id="{21CB1891-49FB-4F20-A861-293860D0F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9632A9" w:rsidRPr="009632A9">
        <w:rPr>
          <w:noProof/>
        </w:rPr>
        <w:t xml:space="preserve"> </w:t>
      </w:r>
      <w:r w:rsidR="00B247CA">
        <w:rPr>
          <w:noProof/>
        </w:rPr>
        <w:drawing>
          <wp:inline distT="0" distB="0" distL="0" distR="0" wp14:anchorId="0D4AD198" wp14:editId="7F1F44A9">
            <wp:extent cx="2689860" cy="2385695"/>
            <wp:effectExtent l="0" t="0" r="0" b="0"/>
            <wp:docPr id="62" name="Chart 62" descr="The second graph is also a histogram that tracks both Journal expenditure (in millions) and Journal expenditure as a percentage of total library expenditure by year from 2018 to 2020. That chart also has two overlayed line graphs that chart inflation and journal expenditure as a percentage of total library expenditure (RHS).">
              <a:extLst xmlns:a="http://schemas.openxmlformats.org/drawingml/2006/main">
                <a:ext uri="{FF2B5EF4-FFF2-40B4-BE49-F238E27FC236}">
                  <a16:creationId xmlns:a16="http://schemas.microsoft.com/office/drawing/2014/main" id="{1809F455-69A8-45B1-B2F5-C1DBF6F8BC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4BE3B18" w14:textId="47A6E14A" w:rsidR="004C7993" w:rsidRPr="004C7993" w:rsidRDefault="004C7993" w:rsidP="00480A68">
      <w:pPr>
        <w:pStyle w:val="Caption"/>
        <w:spacing w:before="240"/>
      </w:pPr>
      <w:r w:rsidRPr="004C7993">
        <w:t>Note: Library expenditure for 2020 fell significantly due to COVID-19.</w:t>
      </w:r>
    </w:p>
    <w:p w14:paraId="20EDE708" w14:textId="220E4A74" w:rsidR="004C7993" w:rsidRDefault="004C7993" w:rsidP="004C7993">
      <w:pPr>
        <w:pStyle w:val="Caption"/>
      </w:pPr>
      <w:r w:rsidRPr="004C7993">
        <w:t>Source: CAUL</w:t>
      </w:r>
    </w:p>
    <w:p w14:paraId="1B8D664C" w14:textId="601C7C70" w:rsidR="004E600C" w:rsidRDefault="00052694" w:rsidP="00653305">
      <w:pPr>
        <w:pStyle w:val="EYHeading1"/>
      </w:pPr>
      <w:bookmarkStart w:id="20" w:name="_Toc115717077"/>
      <w:r>
        <w:lastRenderedPageBreak/>
        <w:t xml:space="preserve">An </w:t>
      </w:r>
      <w:r w:rsidR="009C4730">
        <w:t>o</w:t>
      </w:r>
      <w:r w:rsidR="004E600C">
        <w:t>pen access</w:t>
      </w:r>
      <w:r w:rsidR="00DF2B5D">
        <w:t xml:space="preserve"> </w:t>
      </w:r>
      <w:r w:rsidR="009C4730">
        <w:t xml:space="preserve">scheme </w:t>
      </w:r>
      <w:r w:rsidR="00DF2B5D">
        <w:t>for Australia</w:t>
      </w:r>
      <w:bookmarkEnd w:id="20"/>
    </w:p>
    <w:p w14:paraId="7644B1D0" w14:textId="366A165A" w:rsidR="004E600C" w:rsidRPr="00904253" w:rsidRDefault="001912F6" w:rsidP="002145BB">
      <w:pPr>
        <w:pStyle w:val="EYLeader"/>
        <w:spacing w:line="240" w:lineRule="auto"/>
      </w:pPr>
      <w:r>
        <w:t>The</w:t>
      </w:r>
      <w:r w:rsidR="00132149" w:rsidRPr="00132149">
        <w:t xml:space="preserve"> growing movement toward open access publishing and read-and-publish agreements is challenging traditional publishing model</w:t>
      </w:r>
      <w:r w:rsidR="009B724A">
        <w:t>s</w:t>
      </w:r>
      <w:r w:rsidR="00132149" w:rsidRPr="00132149">
        <w:t>. Open access publishing shift</w:t>
      </w:r>
      <w:r w:rsidR="00670289">
        <w:t xml:space="preserve">s </w:t>
      </w:r>
      <w:r w:rsidR="00132149" w:rsidRPr="00132149">
        <w:t>the cost</w:t>
      </w:r>
      <w:r w:rsidR="00670289">
        <w:t>s</w:t>
      </w:r>
      <w:r w:rsidR="00132149" w:rsidRPr="00132149">
        <w:t xml:space="preserve"> of publishing services</w:t>
      </w:r>
      <w:r w:rsidR="00670289">
        <w:t xml:space="preserve"> from readers</w:t>
      </w:r>
      <w:r w:rsidR="00132149" w:rsidRPr="00132149">
        <w:t xml:space="preserve"> to authors or third part</w:t>
      </w:r>
      <w:r w:rsidR="00844135">
        <w:t>ies</w:t>
      </w:r>
      <w:r w:rsidR="00132149" w:rsidRPr="00132149">
        <w:t xml:space="preserve"> such as research institution</w:t>
      </w:r>
      <w:r w:rsidR="00844135">
        <w:t>s</w:t>
      </w:r>
      <w:r w:rsidR="00132149" w:rsidRPr="00132149">
        <w:t>.</w:t>
      </w:r>
      <w:r>
        <w:t xml:space="preserve"> </w:t>
      </w:r>
      <w:r w:rsidR="00904253" w:rsidRPr="00904253">
        <w:t>Australia is well positioned to implement</w:t>
      </w:r>
      <w:r w:rsidR="003342DB">
        <w:t xml:space="preserve"> a</w:t>
      </w:r>
      <w:r w:rsidR="00904253" w:rsidRPr="00904253">
        <w:t xml:space="preserve"> new </w:t>
      </w:r>
      <w:r w:rsidR="00AC79A7">
        <w:t>o</w:t>
      </w:r>
      <w:r w:rsidR="00904253" w:rsidRPr="00904253">
        <w:t xml:space="preserve">pen </w:t>
      </w:r>
      <w:r w:rsidR="00AC79A7">
        <w:t>a</w:t>
      </w:r>
      <w:r w:rsidR="00904253" w:rsidRPr="00904253">
        <w:t xml:space="preserve">ccess </w:t>
      </w:r>
      <w:r w:rsidR="00AC79A7">
        <w:t>s</w:t>
      </w:r>
      <w:r w:rsidR="00904253" w:rsidRPr="00904253">
        <w:t xml:space="preserve">cheme </w:t>
      </w:r>
      <w:r w:rsidR="00AD35B8">
        <w:t>which</w:t>
      </w:r>
      <w:r w:rsidR="00904253" w:rsidRPr="00904253">
        <w:t xml:space="preserve"> draw</w:t>
      </w:r>
      <w:r w:rsidR="00AD35B8">
        <w:t>s</w:t>
      </w:r>
      <w:r w:rsidR="00904253" w:rsidRPr="00904253">
        <w:t xml:space="preserve"> from international experience.</w:t>
      </w:r>
    </w:p>
    <w:p w14:paraId="27FA561C" w14:textId="77777777" w:rsidR="00E155B1" w:rsidRDefault="00E155B1" w:rsidP="000C5A86">
      <w:pPr>
        <w:pStyle w:val="EYBodytextwithoutparaspace"/>
      </w:pPr>
      <w:r w:rsidRPr="00715B01">
        <w:t xml:space="preserve">Academic journals </w:t>
      </w:r>
      <w:r>
        <w:t xml:space="preserve">provide a major avenue for building and sharing cutting-edge research, underpinned by robust peer review processes. However, most </w:t>
      </w:r>
      <w:r w:rsidRPr="00715B01">
        <w:t xml:space="preserve">journal publications </w:t>
      </w:r>
      <w:r>
        <w:t xml:space="preserve">currently </w:t>
      </w:r>
      <w:r w:rsidRPr="00715B01">
        <w:t xml:space="preserve">sit behind paywalls, limiting the impact of existing, current, and future research. </w:t>
      </w:r>
    </w:p>
    <w:p w14:paraId="49C62F43" w14:textId="77777777" w:rsidR="00E155B1" w:rsidRDefault="00E155B1" w:rsidP="000C5A86">
      <w:pPr>
        <w:pStyle w:val="EYBodytextwithoutparaspace"/>
      </w:pPr>
      <w:r w:rsidRPr="00715B01">
        <w:t>Open access removes barriers to academic information, enabling individuals to read publications freely.</w:t>
      </w:r>
      <w:r>
        <w:t xml:space="preserve"> The open access movement continues to grow internationally, with government and organisations implementing new policies, forming consortiums to negotiate new deals with publishers, and continuing investment into repositories to advance an open access agenda.</w:t>
      </w:r>
    </w:p>
    <w:p w14:paraId="530FF4EE" w14:textId="77777777" w:rsidR="00E155B1" w:rsidRDefault="00E155B1" w:rsidP="000C5A86">
      <w:pPr>
        <w:pStyle w:val="EYBodytextwithoutparaspace"/>
      </w:pPr>
      <w:r w:rsidRPr="000A6282">
        <w:t xml:space="preserve">Reducing paywalls and increasing access to academic journals could provide a range of new growth opportunities. As detailed in </w:t>
      </w:r>
      <w:r>
        <w:t>C</w:t>
      </w:r>
      <w:r w:rsidRPr="000A6282">
        <w:t xml:space="preserve">hapter 4, open access could facilitate new productivity growth and commercial innovation, increase social </w:t>
      </w:r>
      <w:r>
        <w:t>capital, address a growing problem of community misinformation</w:t>
      </w:r>
      <w:r w:rsidRPr="000A6282">
        <w:t>, and reduce inequities across the research system.</w:t>
      </w:r>
      <w:r>
        <w:t xml:space="preserve"> Indeed, the a</w:t>
      </w:r>
      <w:r w:rsidRPr="004A48A3">
        <w:t xml:space="preserve">cademic publishing </w:t>
      </w:r>
      <w:r>
        <w:t>industry</w:t>
      </w:r>
      <w:r w:rsidRPr="004A48A3">
        <w:t xml:space="preserve"> is </w:t>
      </w:r>
      <w:r>
        <w:t>approaching</w:t>
      </w:r>
      <w:r w:rsidRPr="004A48A3">
        <w:t xml:space="preserve"> a </w:t>
      </w:r>
      <w:r>
        <w:t>turning</w:t>
      </w:r>
      <w:r w:rsidRPr="004A48A3">
        <w:t xml:space="preserve"> point</w:t>
      </w:r>
      <w:r>
        <w:t xml:space="preserve"> as the open access movement and digital technologies are challenging </w:t>
      </w:r>
      <w:r w:rsidRPr="004A48A3">
        <w:t>traditional publishing model</w:t>
      </w:r>
      <w:r>
        <w:t>s.</w:t>
      </w:r>
    </w:p>
    <w:p w14:paraId="26343544" w14:textId="3C40D8DF" w:rsidR="00E155B1" w:rsidRDefault="00E155B1" w:rsidP="000C5A86">
      <w:pPr>
        <w:pStyle w:val="EYBodytextwithoutparaspace"/>
      </w:pPr>
      <w:r>
        <w:t>Australia is a relatively small (representing 4% of total research publications) but important member of the international research community.</w:t>
      </w:r>
      <w:r>
        <w:rPr>
          <w:rStyle w:val="FootnoteReference"/>
        </w:rPr>
        <w:footnoteReference w:id="15"/>
      </w:r>
      <w:r>
        <w:t xml:space="preserve"> This creates substantial advantages in moving towards open access because Australia’s scheme is unlikely to negatively disrupt the global research community. Moreover, Australia is in a strong position to learn from international experience in moving towards open access.</w:t>
      </w:r>
    </w:p>
    <w:p w14:paraId="1ECCAB65" w14:textId="0811BD07" w:rsidR="006D3457" w:rsidRDefault="00A935EB" w:rsidP="00BE7236">
      <w:pPr>
        <w:pStyle w:val="EYHeading2"/>
      </w:pPr>
      <w:bookmarkStart w:id="21" w:name="_Toc115717078"/>
      <w:r>
        <w:t>The movement towards open access</w:t>
      </w:r>
      <w:bookmarkEnd w:id="21"/>
      <w:r>
        <w:t xml:space="preserve"> </w:t>
      </w:r>
    </w:p>
    <w:p w14:paraId="4DD5095C" w14:textId="77777777" w:rsidR="00CE1D29" w:rsidRDefault="006D3457" w:rsidP="00A464EB">
      <w:pPr>
        <w:pStyle w:val="EYBodytextwithoutparaspace"/>
      </w:pPr>
      <w:r>
        <w:t>Open access publishing in Australia, consistent with global trends, has expanded substantially over the last 20 years since the first open access university repository was established. With over 110,000 articles published in 2021, total articles published as open access in Australia has grown four-fold. In parallel, open access publishing in Australia is more than 11 times bigger than 20 years ago, with open access publications accounting for 50% of all articles published in 2020 in Australia.</w:t>
      </w:r>
      <w:r>
        <w:rPr>
          <w:rStyle w:val="FootnoteReference"/>
        </w:rPr>
        <w:footnoteReference w:id="16"/>
      </w:r>
    </w:p>
    <w:p w14:paraId="7600CFF7" w14:textId="24A44AC4" w:rsidR="006D3457" w:rsidRDefault="006D3457" w:rsidP="00A464EB">
      <w:pPr>
        <w:pStyle w:val="EYBodytextwithoutparaspace"/>
      </w:pPr>
      <w:r>
        <w:rPr>
          <w:iCs/>
        </w:rPr>
        <w:t>Year-on-year publishing growth has been consistent, at around 8% over the past 20 years. L</w:t>
      </w:r>
      <w:r>
        <w:t xml:space="preserve">ooking at the next 10 years, this trend is likely to continue, with more authors looking to publish their articles to open access journals and repositories. In 2032, 66% of total publishing is expected to be published as open access, with a particular focus on articles published both </w:t>
      </w:r>
      <w:r w:rsidRPr="00587A52">
        <w:t xml:space="preserve">in an </w:t>
      </w:r>
      <w:r>
        <w:t>o</w:t>
      </w:r>
      <w:r w:rsidRPr="00587A52">
        <w:t xml:space="preserve">pen </w:t>
      </w:r>
      <w:r>
        <w:t>a</w:t>
      </w:r>
      <w:r w:rsidRPr="00587A52">
        <w:t xml:space="preserve">ccess </w:t>
      </w:r>
      <w:r>
        <w:t>j</w:t>
      </w:r>
      <w:r w:rsidRPr="00587A52">
        <w:t xml:space="preserve">ournal or made accessible in a </w:t>
      </w:r>
      <w:r>
        <w:t>s</w:t>
      </w:r>
      <w:r w:rsidRPr="00587A52">
        <w:t xml:space="preserve">ubscription </w:t>
      </w:r>
      <w:r>
        <w:t>j</w:t>
      </w:r>
      <w:r w:rsidRPr="00587A52">
        <w:t>ournal</w:t>
      </w:r>
      <w:r>
        <w:t xml:space="preserve"> online.</w:t>
      </w:r>
      <w:r>
        <w:rPr>
          <w:rStyle w:val="FootnoteReference"/>
        </w:rPr>
        <w:footnoteReference w:id="17"/>
      </w:r>
    </w:p>
    <w:p w14:paraId="18372B3F" w14:textId="1167E6A2" w:rsidR="006D3457" w:rsidRDefault="006D3457" w:rsidP="00A464EB">
      <w:pPr>
        <w:pStyle w:val="EYBodytextwithoutparaspace"/>
      </w:pPr>
      <w:r>
        <w:t>The graph below shows the past performance of publishing in Australia, as well as the expected trajectory of publishing over the next 10 years.</w:t>
      </w:r>
      <w:r w:rsidR="000155E2">
        <w:t xml:space="preserve"> </w:t>
      </w:r>
      <w:r w:rsidR="00C81063">
        <w:t>While Australia’s open access publishing numbers are encouraging</w:t>
      </w:r>
      <w:r w:rsidR="0033520C">
        <w:t>, Australia still has a long way to go to keep pace with other nations</w:t>
      </w:r>
      <w:r w:rsidR="00153ABC">
        <w:t xml:space="preserve"> in removing paywalls to academic literature.</w:t>
      </w:r>
    </w:p>
    <w:p w14:paraId="1782D4C0" w14:textId="0A2C2C87" w:rsidR="006D3457" w:rsidRDefault="006D3457" w:rsidP="006D3457">
      <w:pPr>
        <w:pStyle w:val="Caption"/>
        <w:keepNext/>
      </w:pPr>
      <w:r>
        <w:lastRenderedPageBreak/>
        <w:t xml:space="preserve">Figure </w:t>
      </w:r>
      <w:r w:rsidR="0029059A">
        <w:fldChar w:fldCharType="begin"/>
      </w:r>
      <w:r w:rsidR="0029059A">
        <w:instrText xml:space="preserve"> SEQ Figure \* ARABIC </w:instrText>
      </w:r>
      <w:r w:rsidR="0029059A">
        <w:fldChar w:fldCharType="separate"/>
      </w:r>
      <w:r w:rsidR="008112E6">
        <w:rPr>
          <w:noProof/>
        </w:rPr>
        <w:t>9</w:t>
      </w:r>
      <w:r w:rsidR="0029059A">
        <w:fldChar w:fldCharType="end"/>
      </w:r>
      <w:r>
        <w:t>: Volume of open access publications in Australia over time</w:t>
      </w:r>
    </w:p>
    <w:p w14:paraId="11287A75" w14:textId="77777777" w:rsidR="006D3457" w:rsidRDefault="006D3457" w:rsidP="00A577AC">
      <w:pPr>
        <w:pStyle w:val="EYBodytextwithparaspace"/>
      </w:pPr>
      <w:r>
        <w:rPr>
          <w:noProof/>
        </w:rPr>
        <w:drawing>
          <wp:inline distT="0" distB="0" distL="0" distR="0" wp14:anchorId="4293663B" wp14:editId="25538457">
            <wp:extent cx="5733415" cy="3235569"/>
            <wp:effectExtent l="0" t="0" r="0" b="0"/>
            <wp:docPr id="16" name="Chart 16" descr="The figure shows a stacked histogram of the volume of total publications from 2000 and projected out to 2032. The categories of stacked histogram are publisher open access, other platform open access, both and closed access.">
              <a:extLst xmlns:a="http://schemas.openxmlformats.org/drawingml/2006/main">
                <a:ext uri="{FF2B5EF4-FFF2-40B4-BE49-F238E27FC236}">
                  <a16:creationId xmlns:a16="http://schemas.microsoft.com/office/drawing/2014/main" id="{C9CDAB3A-1F27-408B-9C5C-CA9F2128E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EE9087" w14:textId="77777777" w:rsidR="006D3457" w:rsidRPr="00993729" w:rsidRDefault="006D3457" w:rsidP="006D3457">
      <w:pPr>
        <w:pStyle w:val="Caption"/>
      </w:pPr>
      <w:r w:rsidRPr="00993729">
        <w:t>Source: Curtain Open Knowledge Initiative (COKI) data, EY analysis</w:t>
      </w:r>
    </w:p>
    <w:p w14:paraId="532B6375" w14:textId="5FA250E5" w:rsidR="006D3457" w:rsidRDefault="006D3457" w:rsidP="00A577AC">
      <w:pPr>
        <w:pStyle w:val="EYBodytextwithparaspace"/>
      </w:pPr>
    </w:p>
    <w:p w14:paraId="0777CBAA" w14:textId="77777777" w:rsidR="00850228" w:rsidRDefault="00850228" w:rsidP="00590C54">
      <w:pPr>
        <w:pStyle w:val="EYBodytextwithoutparaspace"/>
      </w:pPr>
      <w:r w:rsidRPr="00607F43">
        <w:t xml:space="preserve">In Australia, there is currently no national approach to open access. However, there are two key movements within Australia towards open access the Council of Australian Libraries (CAUL) negotiating read-and-publish head agreements with different publishers and </w:t>
      </w:r>
      <w:r>
        <w:t>major</w:t>
      </w:r>
      <w:r w:rsidRPr="00607F43">
        <w:t xml:space="preserve"> funders of research, the Australian Research Council (ARC) and the National Health and Medical Research Council (NHMRC), implementing open access policies.</w:t>
      </w:r>
    </w:p>
    <w:p w14:paraId="19CCE09F" w14:textId="77777777" w:rsidR="00850228" w:rsidRDefault="00850228" w:rsidP="00590C54">
      <w:pPr>
        <w:pStyle w:val="EYBodytextwithoutparaspace"/>
      </w:pPr>
      <w:r>
        <w:t>CAUL has successfully negotiated 17 different head agreements member institutions can participate it in.</w:t>
      </w:r>
      <w:r>
        <w:rPr>
          <w:rStyle w:val="FootnoteReference"/>
        </w:rPr>
        <w:footnoteReference w:id="18"/>
      </w:r>
      <w:r>
        <w:t xml:space="preserve"> Examples include:</w:t>
      </w:r>
    </w:p>
    <w:p w14:paraId="63D1FF83" w14:textId="24A799AC" w:rsidR="00850228" w:rsidRDefault="00850228" w:rsidP="00BD6B35">
      <w:pPr>
        <w:pStyle w:val="EYBulletnoparaspace"/>
        <w:ind w:left="426"/>
      </w:pPr>
      <w:r w:rsidRPr="00741D72">
        <w:rPr>
          <w:b/>
        </w:rPr>
        <w:t>Cambridge University Press</w:t>
      </w:r>
      <w:r>
        <w:t xml:space="preserve"> — </w:t>
      </w:r>
      <w:r w:rsidR="00061253">
        <w:t>E</w:t>
      </w:r>
      <w:r>
        <w:t>nables authors from participating organisations to publish in gold and hybrid journals at no extra cost. Members of participating organisations are also able to read Cambridge University Press journal content.</w:t>
      </w:r>
      <w:r>
        <w:rPr>
          <w:rStyle w:val="FootnoteReference"/>
        </w:rPr>
        <w:footnoteReference w:id="19"/>
      </w:r>
    </w:p>
    <w:p w14:paraId="0A4436EF" w14:textId="7F226AA7" w:rsidR="00850228" w:rsidRDefault="00850228" w:rsidP="00BD6B35">
      <w:pPr>
        <w:pStyle w:val="EYBulletnoparaspace"/>
        <w:ind w:left="426"/>
      </w:pPr>
      <w:r w:rsidRPr="00741D72">
        <w:rPr>
          <w:b/>
        </w:rPr>
        <w:t xml:space="preserve">CSIRO Publishing </w:t>
      </w:r>
      <w:r>
        <w:t xml:space="preserve">— </w:t>
      </w:r>
      <w:r w:rsidR="00061253">
        <w:t>E</w:t>
      </w:r>
      <w:r>
        <w:t xml:space="preserve">nables unlimited publishing in all journals listed in the included titles of the agreement. In addition, each participating member will receive read access to </w:t>
      </w:r>
      <w:r w:rsidR="00061253">
        <w:t>all</w:t>
      </w:r>
      <w:r>
        <w:t xml:space="preserve"> the CSIRO journal titles.</w:t>
      </w:r>
      <w:r>
        <w:rPr>
          <w:rStyle w:val="FootnoteReference"/>
        </w:rPr>
        <w:footnoteReference w:id="20"/>
      </w:r>
    </w:p>
    <w:p w14:paraId="75FC2957" w14:textId="3B694449" w:rsidR="00850228" w:rsidRDefault="00850228" w:rsidP="00BD6B35">
      <w:pPr>
        <w:pStyle w:val="EYBulletnoparaspace"/>
        <w:ind w:left="426"/>
      </w:pPr>
      <w:r w:rsidRPr="004E117A">
        <w:rPr>
          <w:b/>
          <w:bCs/>
        </w:rPr>
        <w:t>Wiley</w:t>
      </w:r>
      <w:r>
        <w:t xml:space="preserve"> — </w:t>
      </w:r>
      <w:r w:rsidR="00061253">
        <w:t>E</w:t>
      </w:r>
      <w:r>
        <w:t xml:space="preserve">nables authors from participating institutions to publish open access into </w:t>
      </w:r>
      <w:r w:rsidR="002A0841">
        <w:t>most</w:t>
      </w:r>
      <w:r>
        <w:t xml:space="preserve"> Wiley journals, without paying an APC fee, as well as giving researchers access to all hybrid and subscription journals.</w:t>
      </w:r>
      <w:r>
        <w:rPr>
          <w:rStyle w:val="FootnoteReference"/>
        </w:rPr>
        <w:footnoteReference w:id="21"/>
      </w:r>
      <w:r>
        <w:t xml:space="preserve"> </w:t>
      </w:r>
    </w:p>
    <w:p w14:paraId="65CAE97C" w14:textId="77777777" w:rsidR="00850228" w:rsidRDefault="00850228" w:rsidP="00701803">
      <w:pPr>
        <w:pStyle w:val="EYBodytextwithoutparaspace"/>
      </w:pPr>
      <w:r>
        <w:t>The ARC implemented its Open Access policy in 2013. The policy mandates all research outputs that come from ARC funded research, and their metadata, must be made openly accessible within 12 months of publication. Research outputs can be made open through either an institutional repository (green open access), through the publisher’s website, or through an open accessible digital archive as soon as the publication is made open.</w:t>
      </w:r>
      <w:r>
        <w:rPr>
          <w:rStyle w:val="FootnoteReference"/>
        </w:rPr>
        <w:footnoteReference w:id="22"/>
      </w:r>
    </w:p>
    <w:p w14:paraId="346C360E" w14:textId="77777777" w:rsidR="00850228" w:rsidRDefault="00850228" w:rsidP="00701803">
      <w:pPr>
        <w:pStyle w:val="EYBodytextwithoutparaspace"/>
      </w:pPr>
      <w:r>
        <w:lastRenderedPageBreak/>
        <w:t>The NHMRC also has an open access policy which aligns with the ARC. The policy mandates that any peer-reviewed publication arising from NHMRC supported research must be made openly accessible in an institutional repository or other acceptable location (publisher’s website, subject repository) within 12 months of publication. The NHMRC is currently proposing to amend open access polices to facilitate the immediate access of publications funded by their grants, with a priority on implementing this from the start of 2023.</w:t>
      </w:r>
    </w:p>
    <w:p w14:paraId="23A93AFD" w14:textId="0E541D50" w:rsidR="00BF4441" w:rsidRDefault="002070A2" w:rsidP="00701803">
      <w:pPr>
        <w:pStyle w:val="EYBodytextwithoutparaspace"/>
      </w:pPr>
      <w:r w:rsidRPr="002070A2">
        <w:t>Approaches from CAUL, the NHMRC and ARC continue to drive higher levels of open access publishing in Australia and reduce the cost of subscription agreements. However, these approaches only get Australia part of the way there and limit access to the university sector or Australian-led research (which accounts for about 4% of global journal articles). Increasing access to the broader Australian community through national agreements provides a strong pathway forward and follows other international movements to reduce paywalls to academic literature.</w:t>
      </w:r>
    </w:p>
    <w:p w14:paraId="2E2E0FA9" w14:textId="53560486" w:rsidR="004E600C" w:rsidRDefault="00CE06F1" w:rsidP="002145BB">
      <w:pPr>
        <w:pStyle w:val="EYHeading2"/>
      </w:pPr>
      <w:bookmarkStart w:id="22" w:name="_Toc115717079"/>
      <w:r>
        <w:t>The i</w:t>
      </w:r>
      <w:r w:rsidR="00927422">
        <w:t xml:space="preserve">nternational </w:t>
      </w:r>
      <w:r>
        <w:t>experience</w:t>
      </w:r>
      <w:bookmarkEnd w:id="22"/>
    </w:p>
    <w:p w14:paraId="5743180B" w14:textId="5CFDAA91" w:rsidR="00987C85" w:rsidRPr="000B6B79" w:rsidRDefault="00E06A07" w:rsidP="00ED5C6E">
      <w:pPr>
        <w:pStyle w:val="EYBodytextwithoutparaspace"/>
      </w:pPr>
      <w:r>
        <w:t xml:space="preserve">Many </w:t>
      </w:r>
      <w:r w:rsidR="003F26BD" w:rsidRPr="000B6B79">
        <w:t xml:space="preserve">countries are </w:t>
      </w:r>
      <w:r>
        <w:t>promoting</w:t>
      </w:r>
      <w:r w:rsidR="003F26BD" w:rsidRPr="000B6B79">
        <w:t xml:space="preserve"> </w:t>
      </w:r>
      <w:r w:rsidR="00844D67">
        <w:t>open access</w:t>
      </w:r>
      <w:r w:rsidR="005231B5">
        <w:t xml:space="preserve"> (see </w:t>
      </w:r>
      <w:r w:rsidR="005231B5">
        <w:fldChar w:fldCharType="begin"/>
      </w:r>
      <w:r w:rsidR="005231B5">
        <w:instrText xml:space="preserve"> REF _Ref115697515 \h </w:instrText>
      </w:r>
      <w:r w:rsidR="005231B5">
        <w:fldChar w:fldCharType="separate"/>
      </w:r>
      <w:r w:rsidR="008112E6">
        <w:t xml:space="preserve">Figure </w:t>
      </w:r>
      <w:r w:rsidR="008112E6">
        <w:rPr>
          <w:noProof/>
        </w:rPr>
        <w:t>10</w:t>
      </w:r>
      <w:r w:rsidR="005231B5">
        <w:fldChar w:fldCharType="end"/>
      </w:r>
      <w:r w:rsidR="005231B5">
        <w:t>)</w:t>
      </w:r>
      <w:r>
        <w:t xml:space="preserve">. </w:t>
      </w:r>
      <w:r w:rsidR="00836594">
        <w:t xml:space="preserve">While arrangements vary, they tend to involve </w:t>
      </w:r>
      <w:r w:rsidR="00987C85" w:rsidRPr="000B6B79">
        <w:t xml:space="preserve">funders agreements to promote open access for publicly funded research, </w:t>
      </w:r>
      <w:r w:rsidR="00836594">
        <w:t xml:space="preserve">as well as </w:t>
      </w:r>
      <w:r w:rsidR="00AC0406" w:rsidRPr="000B6B79">
        <w:t xml:space="preserve">transformative agreements to access </w:t>
      </w:r>
      <w:r w:rsidR="00836594">
        <w:t>publishers’</w:t>
      </w:r>
      <w:r w:rsidR="00AC0406" w:rsidRPr="000B6B79">
        <w:t xml:space="preserve"> back catalogue</w:t>
      </w:r>
      <w:r w:rsidR="00836594">
        <w:t>s</w:t>
      </w:r>
      <w:r w:rsidR="00B52638" w:rsidRPr="000B6B79">
        <w:t>.</w:t>
      </w:r>
    </w:p>
    <w:p w14:paraId="3F1D50C9" w14:textId="18F4D0E1" w:rsidR="001156D6" w:rsidRDefault="000403D4" w:rsidP="00ED5C6E">
      <w:pPr>
        <w:pStyle w:val="EYBodytextwithoutparaspace"/>
      </w:pPr>
      <w:r w:rsidRPr="000B6B79">
        <w:t>Australia is not the only country moving in this direction</w:t>
      </w:r>
      <w:r w:rsidR="00622DFF">
        <w:t xml:space="preserve"> and </w:t>
      </w:r>
      <w:r w:rsidRPr="000B6B79">
        <w:t xml:space="preserve">can learn from this </w:t>
      </w:r>
      <w:r w:rsidR="00622DFF">
        <w:t xml:space="preserve">international </w:t>
      </w:r>
      <w:r w:rsidRPr="000B6B79">
        <w:t>experience.</w:t>
      </w:r>
      <w:r w:rsidR="00C80E9C" w:rsidRPr="000B6B79">
        <w:t xml:space="preserve"> </w:t>
      </w:r>
      <w:r w:rsidR="00E15A7E" w:rsidRPr="000B6B79">
        <w:t>This includes ensuring safeguards on perpetual access</w:t>
      </w:r>
      <w:r w:rsidR="00CE37DF">
        <w:t xml:space="preserve">. </w:t>
      </w:r>
      <w:r w:rsidR="00E15A7E" w:rsidRPr="000B6B79">
        <w:t>The UK has been highly successful in pursuing an open access agenda</w:t>
      </w:r>
      <w:r w:rsidR="000B6B79" w:rsidRPr="000B6B79">
        <w:t xml:space="preserve"> but does</w:t>
      </w:r>
      <w:r w:rsidR="00E85D3F">
        <w:t xml:space="preserve"> </w:t>
      </w:r>
      <w:r w:rsidR="000B6B79" w:rsidRPr="000B6B79">
        <w:t>n</w:t>
      </w:r>
      <w:r w:rsidR="00E85D3F">
        <w:t>o</w:t>
      </w:r>
      <w:r w:rsidR="000B6B79" w:rsidRPr="000B6B79">
        <w:t>t include the public or industry which will be a key feature of an Australian model.</w:t>
      </w:r>
    </w:p>
    <w:p w14:paraId="2E46D3DB" w14:textId="1A8F71BB" w:rsidR="001156D6" w:rsidRDefault="001156D6" w:rsidP="001156D6">
      <w:pPr>
        <w:pStyle w:val="Caption"/>
        <w:keepNext/>
      </w:pPr>
      <w:bookmarkStart w:id="23" w:name="_Ref115697515"/>
      <w:r>
        <w:t xml:space="preserve">Figure </w:t>
      </w:r>
      <w:r w:rsidR="0029059A">
        <w:fldChar w:fldCharType="begin"/>
      </w:r>
      <w:r w:rsidR="0029059A">
        <w:instrText xml:space="preserve"> SEQ Figure \* ARABIC </w:instrText>
      </w:r>
      <w:r w:rsidR="0029059A">
        <w:fldChar w:fldCharType="separate"/>
      </w:r>
      <w:r w:rsidR="008112E6">
        <w:rPr>
          <w:noProof/>
        </w:rPr>
        <w:t>10</w:t>
      </w:r>
      <w:r w:rsidR="0029059A">
        <w:fldChar w:fldCharType="end"/>
      </w:r>
      <w:bookmarkEnd w:id="23"/>
      <w:r>
        <w:t>: Global open access movements</w:t>
      </w:r>
    </w:p>
    <w:p w14:paraId="719B8347" w14:textId="77777777" w:rsidR="001156D6" w:rsidRDefault="001156D6" w:rsidP="00CE37DF">
      <w:pPr>
        <w:pStyle w:val="EYBodytextwithoutparaspace"/>
        <w:keepNext/>
        <w:jc w:val="center"/>
      </w:pPr>
      <w:r>
        <w:rPr>
          <w:noProof/>
        </w:rPr>
        <w:drawing>
          <wp:inline distT="0" distB="0" distL="0" distR="0" wp14:anchorId="7EFAD1ED" wp14:editId="2EAE7966">
            <wp:extent cx="5361709" cy="2958465"/>
            <wp:effectExtent l="0" t="0" r="0" b="0"/>
            <wp:docPr id="1471" name="Picture 1471" descr="The figure displays a world map with markings showing the locations of some of the significant open access initiatives. These locations  are Australia with CAUL, The Chief Scientist of Australia, ARC and the NHMRC. India with the One nation, one subscription policy. Sweden with the Bibsam agreements. Switzerland with the Consortium of Swiss Libraries. The United Kingdom with the JISC transformative agreements and the United States of America with an open access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Picture 1471" descr="The figure displays a world map with markings showing the locations of some of the significant open access initiatives. These locations  are Australia with CAUL, The Chief Scientist of Australia, ARC and the NHMRC. India with the One nation, one subscription policy. Sweden with the Bibsam agreements. Switzerland with the Consortium of Swiss Libraries. The United Kingdom with the JISC transformative agreements and the United States of America with an open access announc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0743" cy="2968968"/>
                    </a:xfrm>
                    <a:prstGeom prst="rect">
                      <a:avLst/>
                    </a:prstGeom>
                    <a:noFill/>
                  </pic:spPr>
                </pic:pic>
              </a:graphicData>
            </a:graphic>
          </wp:inline>
        </w:drawing>
      </w:r>
    </w:p>
    <w:p w14:paraId="0EC6D4D2" w14:textId="2E4C1C04" w:rsidR="00997AE6" w:rsidRPr="000B6B79" w:rsidRDefault="001156D6" w:rsidP="00FA594C">
      <w:pPr>
        <w:pStyle w:val="Caption"/>
      </w:pPr>
      <w:r>
        <w:t>Source:</w:t>
      </w:r>
      <w:r w:rsidR="00CE37DF">
        <w:t xml:space="preserve"> </w:t>
      </w:r>
      <w:r>
        <w:t>EY analysis</w:t>
      </w:r>
    </w:p>
    <w:p w14:paraId="7AEA2766" w14:textId="3FED536A" w:rsidR="00BF44E4" w:rsidRDefault="000B6B79" w:rsidP="000B7D09">
      <w:pPr>
        <w:pStyle w:val="EYBodytextwithoutparaspace"/>
        <w:spacing w:before="240"/>
      </w:pPr>
      <w:r>
        <w:t xml:space="preserve">A summary table is </w:t>
      </w:r>
      <w:r w:rsidR="00DE19EA">
        <w:t xml:space="preserve">shown </w:t>
      </w:r>
      <w:r>
        <w:t>below.</w:t>
      </w:r>
    </w:p>
    <w:p w14:paraId="0EA5E73F" w14:textId="77777777" w:rsidR="00BF44E4" w:rsidRDefault="00BF44E4">
      <w:pPr>
        <w:autoSpaceDE/>
        <w:autoSpaceDN/>
        <w:adjustRightInd/>
      </w:pPr>
      <w:r>
        <w:br w:type="page"/>
      </w:r>
    </w:p>
    <w:p w14:paraId="211FE603" w14:textId="3F2E815B" w:rsidR="00622DFF" w:rsidRDefault="00622DFF" w:rsidP="00622DFF">
      <w:pPr>
        <w:pStyle w:val="Caption"/>
        <w:keepNext/>
      </w:pPr>
      <w:r>
        <w:lastRenderedPageBreak/>
        <w:t xml:space="preserve">Table </w:t>
      </w:r>
      <w:r>
        <w:fldChar w:fldCharType="begin"/>
      </w:r>
      <w:r>
        <w:instrText xml:space="preserve"> SEQ Table \* ARABIC </w:instrText>
      </w:r>
      <w:r>
        <w:fldChar w:fldCharType="separate"/>
      </w:r>
      <w:r w:rsidR="008112E6">
        <w:rPr>
          <w:noProof/>
        </w:rPr>
        <w:t>2</w:t>
      </w:r>
      <w:r>
        <w:fldChar w:fldCharType="end"/>
      </w:r>
      <w:r>
        <w:t>: Key international open access systems</w:t>
      </w:r>
    </w:p>
    <w:tbl>
      <w:tblPr>
        <w:tblStyle w:val="TableGrid"/>
        <w:tblW w:w="0" w:type="auto"/>
        <w:tblBorders>
          <w:top w:val="none" w:sz="0" w:space="0" w:color="auto"/>
          <w:left w:val="none" w:sz="0" w:space="0" w:color="auto"/>
          <w:bottom w:val="none" w:sz="0" w:space="0" w:color="auto"/>
          <w:right w:val="none" w:sz="0" w:space="0" w:color="auto"/>
          <w:insideH w:val="single" w:sz="4" w:space="0" w:color="787890" w:themeColor="text1" w:themeTint="99"/>
          <w:insideV w:val="none" w:sz="0" w:space="0" w:color="auto"/>
        </w:tblBorders>
        <w:tblLook w:val="04A0" w:firstRow="1" w:lastRow="0" w:firstColumn="1" w:lastColumn="0" w:noHBand="0" w:noVBand="1"/>
      </w:tblPr>
      <w:tblGrid>
        <w:gridCol w:w="1437"/>
        <w:gridCol w:w="3797"/>
        <w:gridCol w:w="3795"/>
      </w:tblGrid>
      <w:tr w:rsidR="00EE296A" w:rsidRPr="00841D24" w14:paraId="49A51C2E" w14:textId="77777777" w:rsidTr="00133A03">
        <w:tc>
          <w:tcPr>
            <w:tcW w:w="1437" w:type="dxa"/>
            <w:shd w:val="clear" w:color="auto" w:fill="787890" w:themeFill="text1" w:themeFillTint="99"/>
          </w:tcPr>
          <w:p w14:paraId="48B8CFEB" w14:textId="41F963C5" w:rsidR="001E1B9F" w:rsidRPr="001F3039" w:rsidRDefault="001A4DBD" w:rsidP="00A577AC">
            <w:pPr>
              <w:pStyle w:val="EYBodytextwithparaspace"/>
              <w:rPr>
                <w:rFonts w:ascii="EYInterstate Light" w:hAnsi="EYInterstate Light"/>
                <w:color w:val="FFFFFF" w:themeColor="background1"/>
              </w:rPr>
            </w:pPr>
            <w:r>
              <w:rPr>
                <w:rFonts w:ascii="EYInterstate Light" w:hAnsi="EYInterstate Light"/>
                <w:color w:val="FFFFFF" w:themeColor="background1"/>
              </w:rPr>
              <w:t>C</w:t>
            </w:r>
            <w:r w:rsidR="001E1B9F" w:rsidRPr="001F3039">
              <w:rPr>
                <w:rFonts w:ascii="EYInterstate Light" w:hAnsi="EYInterstate Light"/>
                <w:color w:val="FFFFFF" w:themeColor="background1"/>
              </w:rPr>
              <w:t>ountr</w:t>
            </w:r>
            <w:r>
              <w:rPr>
                <w:rFonts w:ascii="EYInterstate Light" w:hAnsi="EYInterstate Light"/>
                <w:color w:val="FFFFFF" w:themeColor="background1"/>
              </w:rPr>
              <w:t>y</w:t>
            </w:r>
          </w:p>
        </w:tc>
        <w:tc>
          <w:tcPr>
            <w:tcW w:w="3797" w:type="dxa"/>
            <w:shd w:val="clear" w:color="auto" w:fill="787890" w:themeFill="text1" w:themeFillTint="99"/>
          </w:tcPr>
          <w:p w14:paraId="750D44F5" w14:textId="325ED1A2" w:rsidR="001E1B9F" w:rsidRPr="001F3039" w:rsidRDefault="001E1B9F" w:rsidP="00A577AC">
            <w:pPr>
              <w:pStyle w:val="EYBodytextwithparaspace"/>
              <w:rPr>
                <w:rFonts w:ascii="EYInterstate Light" w:hAnsi="EYInterstate Light"/>
                <w:color w:val="FFFFFF" w:themeColor="background1"/>
              </w:rPr>
            </w:pPr>
            <w:r w:rsidRPr="001F3039">
              <w:rPr>
                <w:rFonts w:ascii="EYInterstate Light" w:hAnsi="EYInterstate Light"/>
                <w:color w:val="FFFFFF" w:themeColor="background1"/>
              </w:rPr>
              <w:t>Main features</w:t>
            </w:r>
          </w:p>
        </w:tc>
        <w:tc>
          <w:tcPr>
            <w:tcW w:w="3795" w:type="dxa"/>
            <w:shd w:val="clear" w:color="auto" w:fill="787890" w:themeFill="text1" w:themeFillTint="99"/>
          </w:tcPr>
          <w:p w14:paraId="191B5C00" w14:textId="7F0977D5" w:rsidR="001E1B9F" w:rsidRPr="001F3039" w:rsidRDefault="001E1B9F" w:rsidP="00A577AC">
            <w:pPr>
              <w:pStyle w:val="EYBodytextwithparaspace"/>
              <w:rPr>
                <w:rFonts w:ascii="EYInterstate Light" w:hAnsi="EYInterstate Light"/>
                <w:color w:val="FFFFFF" w:themeColor="background1"/>
              </w:rPr>
            </w:pPr>
            <w:r w:rsidRPr="001F3039">
              <w:rPr>
                <w:rFonts w:ascii="EYInterstate Light" w:hAnsi="EYInterstate Light"/>
                <w:color w:val="FFFFFF" w:themeColor="background1"/>
              </w:rPr>
              <w:t>Coverage</w:t>
            </w:r>
          </w:p>
        </w:tc>
      </w:tr>
      <w:tr w:rsidR="004B0509" w:rsidRPr="00841D24" w14:paraId="44BBFC02" w14:textId="77777777" w:rsidTr="00133A03">
        <w:tc>
          <w:tcPr>
            <w:tcW w:w="1437" w:type="dxa"/>
          </w:tcPr>
          <w:p w14:paraId="7E945DFE" w14:textId="106B2562" w:rsidR="004B0509" w:rsidRPr="00983417" w:rsidRDefault="004B0509" w:rsidP="00A577AC">
            <w:pPr>
              <w:pStyle w:val="EYBodytextwithparaspace"/>
              <w:rPr>
                <w:sz w:val="18"/>
                <w:szCs w:val="18"/>
              </w:rPr>
            </w:pPr>
            <w:r w:rsidRPr="00983417">
              <w:rPr>
                <w:rFonts w:ascii="EYInterstate Light" w:hAnsi="EYInterstate Light"/>
                <w:sz w:val="18"/>
                <w:szCs w:val="18"/>
              </w:rPr>
              <w:t>U</w:t>
            </w:r>
            <w:r w:rsidR="001A4DBD">
              <w:rPr>
                <w:rFonts w:ascii="EYInterstate Light" w:hAnsi="EYInterstate Light"/>
                <w:sz w:val="18"/>
                <w:szCs w:val="18"/>
              </w:rPr>
              <w:t>nited States</w:t>
            </w:r>
            <w:r w:rsidRPr="00983417">
              <w:rPr>
                <w:rStyle w:val="FootnoteReference"/>
                <w:sz w:val="18"/>
                <w:szCs w:val="18"/>
              </w:rPr>
              <w:footnoteReference w:id="23"/>
            </w:r>
          </w:p>
        </w:tc>
        <w:tc>
          <w:tcPr>
            <w:tcW w:w="3797" w:type="dxa"/>
          </w:tcPr>
          <w:p w14:paraId="17753C9C" w14:textId="77777777" w:rsidR="004B0509" w:rsidRPr="00983417" w:rsidRDefault="004B0509"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Government led mandate for all publicly funded research be free to read immediatel</w:t>
            </w:r>
            <w:r w:rsidRPr="00983417">
              <w:rPr>
                <w:sz w:val="18"/>
                <w:szCs w:val="18"/>
              </w:rPr>
              <w:t>y</w:t>
            </w:r>
            <w:r w:rsidRPr="00983417">
              <w:rPr>
                <w:rFonts w:ascii="EYInterstate Light" w:hAnsi="EYInterstate Light"/>
                <w:sz w:val="18"/>
                <w:szCs w:val="18"/>
              </w:rPr>
              <w:t xml:space="preserve"> after publication</w:t>
            </w:r>
            <w:r w:rsidRPr="00983417">
              <w:rPr>
                <w:rStyle w:val="FootnoteReference"/>
                <w:sz w:val="18"/>
                <w:szCs w:val="18"/>
              </w:rPr>
              <w:footnoteReference w:id="24"/>
            </w:r>
          </w:p>
          <w:p w14:paraId="07A2F8E1" w14:textId="77777777" w:rsidR="004B0509" w:rsidRPr="00983417" w:rsidRDefault="004B0509"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Immediate open access publishing</w:t>
            </w:r>
          </w:p>
          <w:p w14:paraId="1CE6E41E" w14:textId="123278CD" w:rsidR="004B0509" w:rsidRPr="00983417" w:rsidRDefault="004B0509" w:rsidP="00622DFF">
            <w:pPr>
              <w:pStyle w:val="EYBodytextwithparaspace"/>
              <w:numPr>
                <w:ilvl w:val="0"/>
                <w:numId w:val="44"/>
              </w:numPr>
              <w:spacing w:before="40" w:after="40" w:line="240" w:lineRule="auto"/>
              <w:ind w:left="425" w:hanging="425"/>
              <w:rPr>
                <w:sz w:val="18"/>
                <w:szCs w:val="18"/>
              </w:rPr>
            </w:pPr>
            <w:r w:rsidRPr="00983417">
              <w:rPr>
                <w:rFonts w:ascii="EYInterstate Light" w:hAnsi="EYInterstate Light"/>
                <w:sz w:val="18"/>
                <w:szCs w:val="18"/>
              </w:rPr>
              <w:t>R</w:t>
            </w:r>
            <w:r w:rsidRPr="00983417">
              <w:rPr>
                <w:sz w:val="18"/>
                <w:szCs w:val="18"/>
              </w:rPr>
              <w:t>epository</w:t>
            </w:r>
            <w:r w:rsidRPr="00983417">
              <w:rPr>
                <w:rFonts w:ascii="EYInterstate Light" w:hAnsi="EYInterstate Light"/>
                <w:sz w:val="18"/>
                <w:szCs w:val="18"/>
              </w:rPr>
              <w:t xml:space="preserve"> based open access</w:t>
            </w:r>
          </w:p>
        </w:tc>
        <w:tc>
          <w:tcPr>
            <w:tcW w:w="3795" w:type="dxa"/>
          </w:tcPr>
          <w:p w14:paraId="7B98BB56" w14:textId="77777777" w:rsidR="004B0509" w:rsidRPr="00983417" w:rsidRDefault="004B0509"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Publicly funded research</w:t>
            </w:r>
          </w:p>
          <w:p w14:paraId="60CA1CB3" w14:textId="77777777" w:rsidR="004B0509" w:rsidRPr="00983417" w:rsidRDefault="004B0509" w:rsidP="00622DFF">
            <w:pPr>
              <w:pStyle w:val="EYBodytextwithparaspace"/>
              <w:spacing w:before="40" w:after="40" w:line="240" w:lineRule="auto"/>
              <w:ind w:left="425"/>
              <w:rPr>
                <w:sz w:val="18"/>
                <w:szCs w:val="18"/>
              </w:rPr>
            </w:pPr>
          </w:p>
        </w:tc>
      </w:tr>
      <w:tr w:rsidR="00EE296A" w:rsidRPr="00841D24" w14:paraId="28681311" w14:textId="77777777" w:rsidTr="00133A03">
        <w:tc>
          <w:tcPr>
            <w:tcW w:w="1437" w:type="dxa"/>
          </w:tcPr>
          <w:p w14:paraId="5E36E2AE" w14:textId="71998EB8" w:rsidR="001E1B9F" w:rsidRPr="00983417" w:rsidRDefault="001E1B9F" w:rsidP="00A577AC">
            <w:pPr>
              <w:pStyle w:val="EYBodytextwithparaspace"/>
              <w:rPr>
                <w:rFonts w:ascii="EYInterstate Light" w:hAnsi="EYInterstate Light"/>
                <w:sz w:val="18"/>
                <w:szCs w:val="18"/>
              </w:rPr>
            </w:pPr>
            <w:r w:rsidRPr="00983417">
              <w:rPr>
                <w:rFonts w:ascii="EYInterstate Light" w:hAnsi="EYInterstate Light"/>
                <w:sz w:val="18"/>
                <w:szCs w:val="18"/>
              </w:rPr>
              <w:t>U</w:t>
            </w:r>
            <w:r w:rsidR="001A4DBD">
              <w:rPr>
                <w:rFonts w:ascii="EYInterstate Light" w:hAnsi="EYInterstate Light"/>
                <w:sz w:val="18"/>
                <w:szCs w:val="18"/>
              </w:rPr>
              <w:t>nited Kingdom</w:t>
            </w:r>
            <w:r w:rsidR="00D77C7E" w:rsidRPr="00983417">
              <w:rPr>
                <w:rStyle w:val="FootnoteReference"/>
                <w:sz w:val="18"/>
                <w:szCs w:val="18"/>
              </w:rPr>
              <w:footnoteReference w:id="25"/>
            </w:r>
          </w:p>
        </w:tc>
        <w:tc>
          <w:tcPr>
            <w:tcW w:w="3797" w:type="dxa"/>
          </w:tcPr>
          <w:p w14:paraId="440270C8" w14:textId="26D41C8F" w:rsidR="001E1B9F" w:rsidRPr="00983417" w:rsidRDefault="003B7BF2"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 xml:space="preserve">Transformative agreements </w:t>
            </w:r>
            <w:r w:rsidR="00A71521" w:rsidRPr="00983417">
              <w:rPr>
                <w:rFonts w:ascii="EYInterstate Light" w:hAnsi="EYInterstate Light"/>
                <w:sz w:val="18"/>
                <w:szCs w:val="18"/>
              </w:rPr>
              <w:t>with individual publishers</w:t>
            </w:r>
          </w:p>
          <w:p w14:paraId="5C01D612" w14:textId="1B1463FD" w:rsidR="003B7BF2" w:rsidRPr="00983417" w:rsidRDefault="003B7BF2"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Agreements negotiated by JISC</w:t>
            </w:r>
            <w:r w:rsidR="00A71521" w:rsidRPr="00983417">
              <w:rPr>
                <w:rFonts w:ascii="EYInterstate Light" w:hAnsi="EYInterstate Light"/>
                <w:sz w:val="18"/>
                <w:szCs w:val="18"/>
              </w:rPr>
              <w:t xml:space="preserve"> Collections</w:t>
            </w:r>
          </w:p>
          <w:p w14:paraId="0FBD3E39" w14:textId="5AE1140A" w:rsidR="003B7BF2" w:rsidRPr="00983417" w:rsidRDefault="00A71521"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Immediate open access publishing</w:t>
            </w:r>
          </w:p>
          <w:p w14:paraId="7AA32278" w14:textId="39EB9916" w:rsidR="00A71521" w:rsidRPr="00983417" w:rsidRDefault="00A71521"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 xml:space="preserve">Read </w:t>
            </w:r>
            <w:r w:rsidR="00325437" w:rsidRPr="00983417">
              <w:rPr>
                <w:rFonts w:ascii="EYInterstate Light" w:hAnsi="EYInterstate Light"/>
                <w:sz w:val="18"/>
                <w:szCs w:val="18"/>
              </w:rPr>
              <w:t>access for licensed publications</w:t>
            </w:r>
          </w:p>
        </w:tc>
        <w:tc>
          <w:tcPr>
            <w:tcW w:w="3795" w:type="dxa"/>
          </w:tcPr>
          <w:p w14:paraId="24326267" w14:textId="28D852B3" w:rsidR="00A71521" w:rsidRPr="00983417" w:rsidRDefault="00552BAB"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Participating universities</w:t>
            </w:r>
          </w:p>
          <w:p w14:paraId="6AAFCAFB" w14:textId="1D9F71F0" w:rsidR="00552BAB" w:rsidRPr="00983417" w:rsidRDefault="00552BAB"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Agreements include, Wiley, SAGE, Cambridge University Press, IOP Publishing</w:t>
            </w:r>
          </w:p>
          <w:p w14:paraId="5F6E600F" w14:textId="77777777" w:rsidR="001E1B9F" w:rsidRPr="00983417" w:rsidRDefault="001E1B9F" w:rsidP="00622DFF">
            <w:pPr>
              <w:pStyle w:val="EYBodytextwithparaspace"/>
              <w:spacing w:before="40" w:after="40" w:line="240" w:lineRule="auto"/>
              <w:rPr>
                <w:rFonts w:ascii="EYInterstate Light" w:hAnsi="EYInterstate Light"/>
                <w:sz w:val="18"/>
                <w:szCs w:val="18"/>
              </w:rPr>
            </w:pPr>
          </w:p>
        </w:tc>
      </w:tr>
      <w:tr w:rsidR="00EE296A" w:rsidRPr="00841D24" w14:paraId="18E5010D" w14:textId="77777777" w:rsidTr="00133A03">
        <w:tc>
          <w:tcPr>
            <w:tcW w:w="1437" w:type="dxa"/>
          </w:tcPr>
          <w:p w14:paraId="3BB03111" w14:textId="2B818BC2" w:rsidR="001E1B9F" w:rsidRPr="00983417" w:rsidRDefault="001E1B9F" w:rsidP="00A577AC">
            <w:pPr>
              <w:pStyle w:val="EYBodytextwithparaspace"/>
              <w:rPr>
                <w:rFonts w:ascii="EYInterstate Light" w:hAnsi="EYInterstate Light"/>
                <w:sz w:val="18"/>
                <w:szCs w:val="18"/>
              </w:rPr>
            </w:pPr>
            <w:r w:rsidRPr="00983417">
              <w:rPr>
                <w:rFonts w:ascii="EYInterstate Light" w:hAnsi="EYInterstate Light"/>
                <w:sz w:val="18"/>
                <w:szCs w:val="18"/>
              </w:rPr>
              <w:t>Sweden</w:t>
            </w:r>
            <w:r w:rsidR="00F512F0" w:rsidRPr="00983417">
              <w:rPr>
                <w:rStyle w:val="FootnoteReference"/>
                <w:sz w:val="18"/>
                <w:szCs w:val="18"/>
              </w:rPr>
              <w:footnoteReference w:id="26"/>
            </w:r>
          </w:p>
        </w:tc>
        <w:tc>
          <w:tcPr>
            <w:tcW w:w="3797" w:type="dxa"/>
          </w:tcPr>
          <w:p w14:paraId="5FF206A4" w14:textId="0C65F709" w:rsidR="00A71521" w:rsidRPr="00983417" w:rsidRDefault="00A273CF"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Read-and-publish agreements with individual publishers</w:t>
            </w:r>
          </w:p>
          <w:p w14:paraId="62F5A59B" w14:textId="3F0856B3" w:rsidR="00A71521" w:rsidRPr="00983417" w:rsidRDefault="00A71521"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 xml:space="preserve">Agreements negotiated by </w:t>
            </w:r>
            <w:r w:rsidR="00A273CF" w:rsidRPr="00983417">
              <w:rPr>
                <w:rFonts w:ascii="EYInterstate Light" w:hAnsi="EYInterstate Light"/>
                <w:sz w:val="18"/>
                <w:szCs w:val="18"/>
              </w:rPr>
              <w:t>the Swedish library consortium (</w:t>
            </w:r>
            <w:proofErr w:type="spellStart"/>
            <w:r w:rsidR="00A273CF" w:rsidRPr="00983417">
              <w:rPr>
                <w:rFonts w:ascii="EYInterstate Light" w:hAnsi="EYInterstate Light"/>
                <w:sz w:val="18"/>
                <w:szCs w:val="18"/>
              </w:rPr>
              <w:t>Bibsam</w:t>
            </w:r>
            <w:proofErr w:type="spellEnd"/>
            <w:r w:rsidR="00A273CF" w:rsidRPr="00983417">
              <w:rPr>
                <w:rFonts w:ascii="EYInterstate Light" w:hAnsi="EYInterstate Light"/>
                <w:sz w:val="18"/>
                <w:szCs w:val="18"/>
              </w:rPr>
              <w:t>)</w:t>
            </w:r>
          </w:p>
          <w:p w14:paraId="04DF17F5" w14:textId="446B8C69" w:rsidR="00A71521" w:rsidRPr="00983417" w:rsidRDefault="00A273CF"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Immediate open access publishing</w:t>
            </w:r>
          </w:p>
          <w:p w14:paraId="7157345C" w14:textId="2A0BD0D0" w:rsidR="001E1B9F" w:rsidRPr="00983417" w:rsidRDefault="00A273CF"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 xml:space="preserve">Read access </w:t>
            </w:r>
            <w:r w:rsidR="00325437" w:rsidRPr="00983417">
              <w:rPr>
                <w:rFonts w:ascii="EYInterstate Light" w:hAnsi="EYInterstate Light"/>
                <w:sz w:val="18"/>
                <w:szCs w:val="18"/>
              </w:rPr>
              <w:t xml:space="preserve">for </w:t>
            </w:r>
            <w:r w:rsidR="00AA24E4">
              <w:rPr>
                <w:rFonts w:ascii="EYInterstate Light" w:hAnsi="EYInterstate Light"/>
                <w:sz w:val="18"/>
                <w:szCs w:val="18"/>
              </w:rPr>
              <w:t>paywalled</w:t>
            </w:r>
            <w:r w:rsidR="00325437" w:rsidRPr="00983417">
              <w:rPr>
                <w:rFonts w:ascii="EYInterstate Light" w:hAnsi="EYInterstate Light"/>
                <w:sz w:val="18"/>
                <w:szCs w:val="18"/>
              </w:rPr>
              <w:t xml:space="preserve"> publications</w:t>
            </w:r>
          </w:p>
        </w:tc>
        <w:tc>
          <w:tcPr>
            <w:tcW w:w="3795" w:type="dxa"/>
          </w:tcPr>
          <w:p w14:paraId="6C27DAA3" w14:textId="070D467D" w:rsidR="00A273CF" w:rsidRPr="00983417" w:rsidRDefault="002A0D29"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Participating universitie</w:t>
            </w:r>
            <w:r w:rsidRPr="00983417">
              <w:rPr>
                <w:sz w:val="18"/>
                <w:szCs w:val="18"/>
              </w:rPr>
              <w:t>s</w:t>
            </w:r>
          </w:p>
          <w:p w14:paraId="3980AFCC" w14:textId="3E1BE1C5" w:rsidR="001E1B9F" w:rsidRPr="00983417" w:rsidRDefault="002A0D29"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Agreements include, Elsevier, Wiley, Sage, the American Chemical Society</w:t>
            </w:r>
          </w:p>
        </w:tc>
      </w:tr>
      <w:tr w:rsidR="00EE296A" w:rsidRPr="00841D24" w14:paraId="6F53C66A" w14:textId="77777777" w:rsidTr="00844D67">
        <w:tc>
          <w:tcPr>
            <w:tcW w:w="1437" w:type="dxa"/>
            <w:tcBorders>
              <w:bottom w:val="single" w:sz="4" w:space="0" w:color="787890" w:themeColor="text1" w:themeTint="99"/>
            </w:tcBorders>
          </w:tcPr>
          <w:p w14:paraId="2465FE54" w14:textId="5495BFD1" w:rsidR="001E1B9F" w:rsidRPr="00983417" w:rsidRDefault="001E1B9F" w:rsidP="00A577AC">
            <w:pPr>
              <w:pStyle w:val="EYBodytextwithparaspace"/>
              <w:rPr>
                <w:rFonts w:ascii="EYInterstate Light" w:hAnsi="EYInterstate Light"/>
                <w:sz w:val="18"/>
                <w:szCs w:val="18"/>
              </w:rPr>
            </w:pPr>
            <w:r w:rsidRPr="00983417">
              <w:rPr>
                <w:rFonts w:ascii="EYInterstate Light" w:hAnsi="EYInterstate Light"/>
                <w:sz w:val="18"/>
                <w:szCs w:val="18"/>
              </w:rPr>
              <w:t>Switzerland</w:t>
            </w:r>
            <w:r w:rsidR="004718B2" w:rsidRPr="00983417">
              <w:rPr>
                <w:rStyle w:val="FootnoteReference"/>
                <w:sz w:val="18"/>
                <w:szCs w:val="18"/>
              </w:rPr>
              <w:footnoteReference w:id="27"/>
            </w:r>
          </w:p>
        </w:tc>
        <w:tc>
          <w:tcPr>
            <w:tcW w:w="3797" w:type="dxa"/>
            <w:tcBorders>
              <w:bottom w:val="single" w:sz="4" w:space="0" w:color="787890" w:themeColor="text1" w:themeTint="99"/>
            </w:tcBorders>
          </w:tcPr>
          <w:p w14:paraId="1EE387C8" w14:textId="77777777" w:rsidR="001E1B9F" w:rsidRPr="00983417" w:rsidRDefault="004F402E"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Read-and-publish agreements with individual publishers</w:t>
            </w:r>
          </w:p>
          <w:p w14:paraId="39301272" w14:textId="3A335818" w:rsidR="004F402E" w:rsidRPr="00983417" w:rsidRDefault="004F402E"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 xml:space="preserve">Agreements negotiated by the Consortium of Swiss Academic </w:t>
            </w:r>
            <w:r w:rsidR="0077792C">
              <w:rPr>
                <w:rFonts w:ascii="EYInterstate Light" w:hAnsi="EYInterstate Light"/>
                <w:sz w:val="18"/>
                <w:szCs w:val="18"/>
              </w:rPr>
              <w:t>L</w:t>
            </w:r>
            <w:r w:rsidRPr="00983417">
              <w:rPr>
                <w:rFonts w:ascii="EYInterstate Light" w:hAnsi="EYInterstate Light"/>
                <w:sz w:val="18"/>
                <w:szCs w:val="18"/>
              </w:rPr>
              <w:t>ibraries and other key representative across the academic and government sector</w:t>
            </w:r>
          </w:p>
          <w:p w14:paraId="59FC6BD9" w14:textId="6AFA7461" w:rsidR="00325437" w:rsidRPr="00983417" w:rsidRDefault="0077792C" w:rsidP="00622DFF">
            <w:pPr>
              <w:pStyle w:val="EYBodytextwithparaspace"/>
              <w:numPr>
                <w:ilvl w:val="0"/>
                <w:numId w:val="44"/>
              </w:numPr>
              <w:spacing w:before="40" w:after="40" w:line="240" w:lineRule="auto"/>
              <w:ind w:left="425" w:hanging="425"/>
              <w:rPr>
                <w:rFonts w:ascii="EYInterstate Light" w:hAnsi="EYInterstate Light"/>
                <w:sz w:val="18"/>
                <w:szCs w:val="18"/>
              </w:rPr>
            </w:pPr>
            <w:r>
              <w:rPr>
                <w:rFonts w:ascii="EYInterstate Light" w:hAnsi="EYInterstate Light"/>
                <w:sz w:val="18"/>
                <w:szCs w:val="18"/>
              </w:rPr>
              <w:t>Costs of open access publishing covered by agreements</w:t>
            </w:r>
          </w:p>
          <w:p w14:paraId="77DAB59A" w14:textId="7E977EDC" w:rsidR="00325437" w:rsidRPr="00983417" w:rsidRDefault="00325437"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Read access for licensed publications</w:t>
            </w:r>
          </w:p>
        </w:tc>
        <w:tc>
          <w:tcPr>
            <w:tcW w:w="3795" w:type="dxa"/>
            <w:tcBorders>
              <w:bottom w:val="single" w:sz="4" w:space="0" w:color="787890" w:themeColor="text1" w:themeTint="99"/>
            </w:tcBorders>
          </w:tcPr>
          <w:p w14:paraId="2794977A" w14:textId="4D27444B" w:rsidR="00325437" w:rsidRPr="00983417" w:rsidRDefault="00325437"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Participating universities</w:t>
            </w:r>
          </w:p>
          <w:p w14:paraId="68979309" w14:textId="777623D6" w:rsidR="00987704" w:rsidRPr="00983417" w:rsidRDefault="00915CAA"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 xml:space="preserve">Agreements include a </w:t>
            </w:r>
            <w:r w:rsidR="003A237D" w:rsidRPr="00983417">
              <w:rPr>
                <w:rFonts w:ascii="EYInterstate Light" w:hAnsi="EYInterstate Light"/>
                <w:sz w:val="18"/>
                <w:szCs w:val="18"/>
              </w:rPr>
              <w:t>Memorandum of understanding</w:t>
            </w:r>
            <w:r w:rsidRPr="00983417">
              <w:rPr>
                <w:rFonts w:ascii="EYInterstate Light" w:hAnsi="EYInterstate Light"/>
                <w:sz w:val="18"/>
                <w:szCs w:val="18"/>
              </w:rPr>
              <w:t xml:space="preserve"> with</w:t>
            </w:r>
            <w:r w:rsidR="003A237D" w:rsidRPr="00983417">
              <w:rPr>
                <w:rFonts w:ascii="EYInterstate Light" w:hAnsi="EYInterstate Light"/>
                <w:sz w:val="18"/>
                <w:szCs w:val="18"/>
              </w:rPr>
              <w:t xml:space="preserve"> Elsevier, and a read</w:t>
            </w:r>
            <w:r w:rsidRPr="00983417">
              <w:rPr>
                <w:rFonts w:ascii="EYInterstate Light" w:hAnsi="EYInterstate Light"/>
                <w:sz w:val="18"/>
                <w:szCs w:val="18"/>
              </w:rPr>
              <w:t>-and-publish agreement with Springer Nature</w:t>
            </w:r>
          </w:p>
          <w:p w14:paraId="1C75D407" w14:textId="69062CF6" w:rsidR="001E1B9F" w:rsidRPr="00983417" w:rsidRDefault="001E1B9F" w:rsidP="00622DFF">
            <w:pPr>
              <w:pStyle w:val="EYBodytextwithparaspace"/>
              <w:spacing w:before="40" w:after="40" w:line="240" w:lineRule="auto"/>
              <w:rPr>
                <w:rFonts w:ascii="EYInterstate Light" w:hAnsi="EYInterstate Light"/>
                <w:sz w:val="18"/>
                <w:szCs w:val="18"/>
              </w:rPr>
            </w:pPr>
          </w:p>
        </w:tc>
      </w:tr>
      <w:tr w:rsidR="00EE296A" w:rsidRPr="00841D24" w14:paraId="17A7FD7B" w14:textId="77777777" w:rsidTr="00844D67">
        <w:tc>
          <w:tcPr>
            <w:tcW w:w="1437" w:type="dxa"/>
            <w:tcBorders>
              <w:top w:val="single" w:sz="4" w:space="0" w:color="787890" w:themeColor="text1" w:themeTint="99"/>
              <w:bottom w:val="single" w:sz="4" w:space="0" w:color="auto"/>
            </w:tcBorders>
          </w:tcPr>
          <w:p w14:paraId="62D27270" w14:textId="511A53C7" w:rsidR="001E1B9F" w:rsidRPr="00983417" w:rsidRDefault="001E1B9F" w:rsidP="00A577AC">
            <w:pPr>
              <w:pStyle w:val="EYBodytextwithparaspace"/>
              <w:rPr>
                <w:rFonts w:ascii="EYInterstate Light" w:hAnsi="EYInterstate Light"/>
                <w:sz w:val="18"/>
                <w:szCs w:val="18"/>
              </w:rPr>
            </w:pPr>
            <w:r w:rsidRPr="00983417">
              <w:rPr>
                <w:rFonts w:ascii="EYInterstate Light" w:hAnsi="EYInterstate Light"/>
                <w:sz w:val="18"/>
                <w:szCs w:val="18"/>
              </w:rPr>
              <w:t>India</w:t>
            </w:r>
            <w:r w:rsidR="00D77C7E" w:rsidRPr="00983417">
              <w:rPr>
                <w:rStyle w:val="FootnoteReference"/>
                <w:sz w:val="18"/>
                <w:szCs w:val="18"/>
              </w:rPr>
              <w:footnoteReference w:id="28"/>
            </w:r>
          </w:p>
        </w:tc>
        <w:tc>
          <w:tcPr>
            <w:tcW w:w="3797" w:type="dxa"/>
            <w:tcBorders>
              <w:top w:val="single" w:sz="4" w:space="0" w:color="787890" w:themeColor="text1" w:themeTint="99"/>
              <w:bottom w:val="single" w:sz="4" w:space="0" w:color="auto"/>
            </w:tcBorders>
          </w:tcPr>
          <w:p w14:paraId="4BE2D31A" w14:textId="38506780" w:rsidR="002D0A46" w:rsidRPr="00983417" w:rsidRDefault="007E67B9"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w:t>
            </w:r>
            <w:r w:rsidR="002D0A46" w:rsidRPr="00983417">
              <w:rPr>
                <w:rFonts w:ascii="EYInterstate Light" w:hAnsi="EYInterstate Light"/>
                <w:sz w:val="18"/>
                <w:szCs w:val="18"/>
              </w:rPr>
              <w:t xml:space="preserve">One </w:t>
            </w:r>
            <w:r w:rsidRPr="00983417">
              <w:rPr>
                <w:rFonts w:ascii="EYInterstate Light" w:hAnsi="EYInterstate Light"/>
                <w:sz w:val="18"/>
                <w:szCs w:val="18"/>
              </w:rPr>
              <w:t xml:space="preserve">nation, one subscription’ where the government would subscribe to </w:t>
            </w:r>
            <w:r w:rsidR="008419DC" w:rsidRPr="00983417">
              <w:rPr>
                <w:rFonts w:ascii="EYInterstate Light" w:hAnsi="EYInterstate Light"/>
                <w:sz w:val="18"/>
                <w:szCs w:val="18"/>
              </w:rPr>
              <w:t>scientific</w:t>
            </w:r>
            <w:r w:rsidRPr="00983417">
              <w:rPr>
                <w:rFonts w:ascii="EYInterstate Light" w:hAnsi="EYInterstate Light"/>
                <w:sz w:val="18"/>
                <w:szCs w:val="18"/>
              </w:rPr>
              <w:t xml:space="preserve"> journals </w:t>
            </w:r>
            <w:r w:rsidR="008419DC" w:rsidRPr="00983417">
              <w:rPr>
                <w:rFonts w:ascii="EYInterstate Light" w:hAnsi="EYInterstate Light"/>
                <w:sz w:val="18"/>
                <w:szCs w:val="18"/>
              </w:rPr>
              <w:t>for all individuals in India to access</w:t>
            </w:r>
          </w:p>
          <w:p w14:paraId="3E7D2AF3" w14:textId="19CBBEE8" w:rsidR="001E1B9F" w:rsidRPr="00983417" w:rsidRDefault="008419DC"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 xml:space="preserve">Government </w:t>
            </w:r>
            <w:r w:rsidR="00AC14B5" w:rsidRPr="00983417">
              <w:rPr>
                <w:rFonts w:ascii="EYInterstate Light" w:hAnsi="EYInterstate Light"/>
                <w:sz w:val="18"/>
                <w:szCs w:val="18"/>
              </w:rPr>
              <w:t>negotiate</w:t>
            </w:r>
            <w:r w:rsidR="00AC14B5" w:rsidRPr="00983417">
              <w:rPr>
                <w:sz w:val="18"/>
                <w:szCs w:val="18"/>
              </w:rPr>
              <w:t>s</w:t>
            </w:r>
            <w:r w:rsidRPr="00983417">
              <w:rPr>
                <w:rFonts w:ascii="EYInterstate Light" w:hAnsi="EYInterstate Light"/>
                <w:sz w:val="18"/>
                <w:szCs w:val="18"/>
              </w:rPr>
              <w:t xml:space="preserve"> subscription deals with individual publishers</w:t>
            </w:r>
          </w:p>
        </w:tc>
        <w:tc>
          <w:tcPr>
            <w:tcW w:w="3795" w:type="dxa"/>
            <w:tcBorders>
              <w:top w:val="single" w:sz="4" w:space="0" w:color="787890" w:themeColor="text1" w:themeTint="99"/>
              <w:bottom w:val="single" w:sz="4" w:space="0" w:color="auto"/>
            </w:tcBorders>
          </w:tcPr>
          <w:p w14:paraId="3045BA1A" w14:textId="3148FA0C" w:rsidR="008419DC" w:rsidRPr="00983417" w:rsidRDefault="00BA5269" w:rsidP="00622DFF">
            <w:pPr>
              <w:pStyle w:val="EYBodytextwithparaspace"/>
              <w:numPr>
                <w:ilvl w:val="0"/>
                <w:numId w:val="44"/>
              </w:numPr>
              <w:spacing w:before="40" w:after="40" w:line="240" w:lineRule="auto"/>
              <w:ind w:left="425" w:hanging="425"/>
              <w:rPr>
                <w:rFonts w:ascii="EYInterstate Light" w:hAnsi="EYInterstate Light"/>
                <w:sz w:val="18"/>
                <w:szCs w:val="18"/>
              </w:rPr>
            </w:pPr>
            <w:r w:rsidRPr="00983417">
              <w:rPr>
                <w:rFonts w:ascii="EYInterstate Light" w:hAnsi="EYInterstate Light"/>
                <w:sz w:val="18"/>
                <w:szCs w:val="18"/>
              </w:rPr>
              <w:t>Read access to all s</w:t>
            </w:r>
            <w:r w:rsidR="00AD20EB" w:rsidRPr="00983417">
              <w:rPr>
                <w:rFonts w:ascii="EYInterstate Light" w:hAnsi="EYInterstate Light"/>
                <w:sz w:val="18"/>
                <w:szCs w:val="18"/>
              </w:rPr>
              <w:t xml:space="preserve">cientific papers for all individuals in </w:t>
            </w:r>
            <w:r w:rsidRPr="00983417">
              <w:rPr>
                <w:rFonts w:ascii="EYInterstate Light" w:hAnsi="EYInterstate Light"/>
                <w:sz w:val="18"/>
                <w:szCs w:val="18"/>
              </w:rPr>
              <w:t xml:space="preserve">India </w:t>
            </w:r>
          </w:p>
          <w:p w14:paraId="62E57435" w14:textId="77777777" w:rsidR="001E1B9F" w:rsidRPr="00983417" w:rsidRDefault="001E1B9F" w:rsidP="00622DFF">
            <w:pPr>
              <w:pStyle w:val="EYBodytextwithparaspace"/>
              <w:spacing w:before="40" w:after="40" w:line="240" w:lineRule="auto"/>
              <w:rPr>
                <w:rFonts w:ascii="EYInterstate Light" w:hAnsi="EYInterstate Light"/>
                <w:sz w:val="18"/>
                <w:szCs w:val="18"/>
              </w:rPr>
            </w:pPr>
          </w:p>
        </w:tc>
      </w:tr>
    </w:tbl>
    <w:p w14:paraId="665D345F" w14:textId="1F5AD6AB" w:rsidR="0026005C" w:rsidRDefault="0026005C" w:rsidP="00844D67">
      <w:pPr>
        <w:pStyle w:val="EYBodytextwithoutparaspace"/>
        <w:spacing w:before="240"/>
      </w:pPr>
      <w:r w:rsidRPr="005D563D">
        <w:t>Australia is a relatively small but significant player within the international research community. This well positions Australia to implement a new national strategy without significantly impacting the sector. Moreover, as other countries have moved toward open access over the last five years, Australia can draw on this significant international experience to design and deliver the new scheme.</w:t>
      </w:r>
    </w:p>
    <w:p w14:paraId="4E0D013E" w14:textId="77777777" w:rsidR="00411B86" w:rsidRDefault="008254BF" w:rsidP="00411B86">
      <w:pPr>
        <w:pStyle w:val="EYBodytextwithoutparaspace"/>
      </w:pPr>
      <w:r w:rsidRPr="00C66ACA">
        <w:t xml:space="preserve">There are several </w:t>
      </w:r>
      <w:r>
        <w:t xml:space="preserve">international </w:t>
      </w:r>
      <w:r w:rsidRPr="00C66ACA">
        <w:t xml:space="preserve">approaches </w:t>
      </w:r>
      <w:r>
        <w:t>for</w:t>
      </w:r>
      <w:r w:rsidRPr="00C66ACA">
        <w:t xml:space="preserve"> open access, with universities forming consortiums to negotiate transformative agreements with publishers, new open access policies, and investment </w:t>
      </w:r>
      <w:r w:rsidRPr="00C66ACA">
        <w:lastRenderedPageBreak/>
        <w:t xml:space="preserve">into repositories. The movement toward open access is especially prominent throughout Europe </w:t>
      </w:r>
      <w:r>
        <w:t>as seen in</w:t>
      </w:r>
      <w:r w:rsidRPr="00C66ACA">
        <w:t xml:space="preserve"> the </w:t>
      </w:r>
      <w:r>
        <w:t>case studies outlined below.</w:t>
      </w:r>
    </w:p>
    <w:p w14:paraId="49E81E54" w14:textId="2148FA6C" w:rsidR="0020797E" w:rsidRPr="007511E7" w:rsidRDefault="0020797E" w:rsidP="00411B86">
      <w:pPr>
        <w:pStyle w:val="EYBodytextwithoutparaspace"/>
      </w:pPr>
      <w:r>
        <w:t>There are multiple forms and avenues for open access outlined in</w:t>
      </w:r>
      <w:r w:rsidR="009D4807">
        <w:t xml:space="preserve"> </w:t>
      </w:r>
      <w:r w:rsidR="009D4807">
        <w:fldChar w:fldCharType="begin"/>
      </w:r>
      <w:r w:rsidR="009D4807">
        <w:instrText xml:space="preserve"> REF _Ref115697594 \h </w:instrText>
      </w:r>
      <w:r w:rsidR="009D4807">
        <w:fldChar w:fldCharType="separate"/>
      </w:r>
      <w:r w:rsidR="008112E6">
        <w:t xml:space="preserve">Table </w:t>
      </w:r>
      <w:r w:rsidR="008112E6">
        <w:rPr>
          <w:noProof/>
        </w:rPr>
        <w:t>3</w:t>
      </w:r>
      <w:r w:rsidR="009D4807">
        <w:fldChar w:fldCharType="end"/>
      </w:r>
      <w:r>
        <w:t>.</w:t>
      </w:r>
    </w:p>
    <w:p w14:paraId="76401BE1" w14:textId="1C7722E2" w:rsidR="00C66889" w:rsidRDefault="00C66889" w:rsidP="00C66889">
      <w:pPr>
        <w:pStyle w:val="Caption"/>
        <w:keepNext/>
      </w:pPr>
      <w:bookmarkStart w:id="24" w:name="_Ref115697594"/>
      <w:r>
        <w:t xml:space="preserve">Table </w:t>
      </w:r>
      <w:r>
        <w:fldChar w:fldCharType="begin"/>
      </w:r>
      <w:r>
        <w:instrText xml:space="preserve"> SEQ Table \* ARABIC </w:instrText>
      </w:r>
      <w:r>
        <w:fldChar w:fldCharType="separate"/>
      </w:r>
      <w:r w:rsidR="008112E6">
        <w:rPr>
          <w:noProof/>
        </w:rPr>
        <w:t>3</w:t>
      </w:r>
      <w:r>
        <w:fldChar w:fldCharType="end"/>
      </w:r>
      <w:bookmarkEnd w:id="24"/>
      <w:r>
        <w:t xml:space="preserve">: </w:t>
      </w:r>
      <w:r w:rsidR="000B6DAA">
        <w:t>Forms of open access</w:t>
      </w:r>
      <w:r w:rsidR="00537E2A">
        <w:t xml:space="preserve"> and their features</w:t>
      </w:r>
    </w:p>
    <w:tbl>
      <w:tblPr>
        <w:tblStyle w:val="TableGrid"/>
        <w:tblW w:w="9401" w:type="dxa"/>
        <w:tblBorders>
          <w:top w:val="none" w:sz="0" w:space="0" w:color="auto"/>
          <w:left w:val="none" w:sz="0" w:space="0" w:color="auto"/>
          <w:right w:val="none" w:sz="0" w:space="0" w:color="auto"/>
          <w:insideH w:val="single" w:sz="4" w:space="0" w:color="787890" w:themeColor="text1" w:themeTint="99"/>
          <w:insideV w:val="none" w:sz="0" w:space="0" w:color="auto"/>
        </w:tblBorders>
        <w:tblCellMar>
          <w:top w:w="113" w:type="dxa"/>
          <w:bottom w:w="113" w:type="dxa"/>
        </w:tblCellMar>
        <w:tblLook w:val="04A0" w:firstRow="1" w:lastRow="0" w:firstColumn="1" w:lastColumn="0" w:noHBand="0" w:noVBand="1"/>
      </w:tblPr>
      <w:tblGrid>
        <w:gridCol w:w="1802"/>
        <w:gridCol w:w="7599"/>
      </w:tblGrid>
      <w:tr w:rsidR="0020797E" w:rsidRPr="00955A0F" w14:paraId="23EC9744" w14:textId="77777777" w:rsidTr="00691AC3">
        <w:trPr>
          <w:trHeight w:val="355"/>
          <w:tblHeader/>
        </w:trPr>
        <w:tc>
          <w:tcPr>
            <w:tcW w:w="1802" w:type="dxa"/>
            <w:shd w:val="clear" w:color="auto" w:fill="787890" w:themeFill="text1" w:themeFillTint="99"/>
          </w:tcPr>
          <w:p w14:paraId="68E05D3F" w14:textId="4A04998F" w:rsidR="0020797E" w:rsidRPr="00955A0F" w:rsidRDefault="0020797E" w:rsidP="00024522">
            <w:pPr>
              <w:rPr>
                <w:rFonts w:ascii="EYInterstate Light" w:hAnsi="EYInterstate Light"/>
                <w:b/>
                <w:color w:val="FFFFFF" w:themeColor="background1"/>
                <w:sz w:val="18"/>
                <w:szCs w:val="18"/>
              </w:rPr>
            </w:pPr>
            <w:r w:rsidRPr="00955A0F">
              <w:rPr>
                <w:rFonts w:ascii="EYInterstate Light" w:hAnsi="EYInterstate Light"/>
                <w:b/>
                <w:color w:val="FFFFFF" w:themeColor="background1"/>
                <w:sz w:val="18"/>
                <w:szCs w:val="18"/>
              </w:rPr>
              <w:t xml:space="preserve">Open </w:t>
            </w:r>
            <w:r w:rsidR="002004C4" w:rsidRPr="00955A0F">
              <w:rPr>
                <w:rFonts w:ascii="EYInterstate Light" w:hAnsi="EYInterstate Light"/>
                <w:b/>
                <w:color w:val="FFFFFF" w:themeColor="background1"/>
                <w:sz w:val="18"/>
                <w:szCs w:val="18"/>
              </w:rPr>
              <w:t>a</w:t>
            </w:r>
            <w:r w:rsidRPr="00955A0F">
              <w:rPr>
                <w:rFonts w:ascii="EYInterstate Light" w:hAnsi="EYInterstate Light"/>
                <w:b/>
                <w:color w:val="FFFFFF" w:themeColor="background1"/>
                <w:sz w:val="18"/>
                <w:szCs w:val="18"/>
              </w:rPr>
              <w:t xml:space="preserve">ccess </w:t>
            </w:r>
            <w:r w:rsidR="002004C4" w:rsidRPr="00955A0F">
              <w:rPr>
                <w:rFonts w:ascii="EYInterstate Light" w:hAnsi="EYInterstate Light"/>
                <w:b/>
                <w:color w:val="FFFFFF" w:themeColor="background1"/>
                <w:sz w:val="18"/>
                <w:szCs w:val="18"/>
              </w:rPr>
              <w:t>p</w:t>
            </w:r>
            <w:r w:rsidRPr="00955A0F">
              <w:rPr>
                <w:rFonts w:ascii="EYInterstate Light" w:hAnsi="EYInterstate Light"/>
                <w:b/>
                <w:color w:val="FFFFFF" w:themeColor="background1"/>
                <w:sz w:val="18"/>
                <w:szCs w:val="18"/>
              </w:rPr>
              <w:t>athway</w:t>
            </w:r>
          </w:p>
        </w:tc>
        <w:tc>
          <w:tcPr>
            <w:tcW w:w="7599" w:type="dxa"/>
            <w:shd w:val="clear" w:color="auto" w:fill="787890" w:themeFill="text1" w:themeFillTint="99"/>
          </w:tcPr>
          <w:p w14:paraId="026626D6" w14:textId="77777777" w:rsidR="0020797E" w:rsidRPr="00955A0F" w:rsidRDefault="0020797E" w:rsidP="00024522">
            <w:pPr>
              <w:rPr>
                <w:rFonts w:ascii="EYInterstate Light" w:hAnsi="EYInterstate Light"/>
                <w:b/>
                <w:color w:val="FFFFFF" w:themeColor="background1"/>
                <w:sz w:val="18"/>
                <w:szCs w:val="18"/>
              </w:rPr>
            </w:pPr>
            <w:r w:rsidRPr="00955A0F">
              <w:rPr>
                <w:rFonts w:ascii="EYInterstate Light" w:hAnsi="EYInterstate Light"/>
                <w:b/>
                <w:color w:val="FFFFFF" w:themeColor="background1"/>
                <w:sz w:val="18"/>
                <w:szCs w:val="18"/>
              </w:rPr>
              <w:t>Features</w:t>
            </w:r>
          </w:p>
        </w:tc>
      </w:tr>
      <w:tr w:rsidR="0020797E" w:rsidRPr="00B634BB" w14:paraId="5DA3AB0B" w14:textId="77777777" w:rsidTr="00691AC3">
        <w:trPr>
          <w:trHeight w:val="319"/>
        </w:trPr>
        <w:tc>
          <w:tcPr>
            <w:tcW w:w="1802" w:type="dxa"/>
          </w:tcPr>
          <w:p w14:paraId="4673D609" w14:textId="77777777" w:rsidR="0020797E" w:rsidRPr="006A1F66" w:rsidRDefault="0020797E" w:rsidP="00024522">
            <w:pPr>
              <w:rPr>
                <w:rFonts w:ascii="EYInterstate Light" w:hAnsi="EYInterstate Light"/>
                <w:sz w:val="18"/>
                <w:szCs w:val="18"/>
              </w:rPr>
            </w:pPr>
            <w:r w:rsidRPr="006A1F66">
              <w:rPr>
                <w:rFonts w:ascii="EYInterstate Light" w:hAnsi="EYInterstate Light"/>
                <w:sz w:val="18"/>
                <w:szCs w:val="18"/>
              </w:rPr>
              <w:t xml:space="preserve">Gold </w:t>
            </w:r>
          </w:p>
        </w:tc>
        <w:tc>
          <w:tcPr>
            <w:tcW w:w="7599" w:type="dxa"/>
          </w:tcPr>
          <w:p w14:paraId="64E6E8F0" w14:textId="77777777" w:rsidR="0020797E" w:rsidRPr="006A1F66" w:rsidRDefault="0020797E" w:rsidP="00024522">
            <w:pPr>
              <w:pStyle w:val="ListParagraph"/>
              <w:numPr>
                <w:ilvl w:val="0"/>
                <w:numId w:val="11"/>
              </w:numPr>
              <w:ind w:left="782" w:hanging="425"/>
              <w:rPr>
                <w:rFonts w:ascii="EYInterstate Light" w:hAnsi="EYInterstate Light"/>
                <w:sz w:val="18"/>
                <w:szCs w:val="18"/>
              </w:rPr>
            </w:pPr>
            <w:r>
              <w:rPr>
                <w:rFonts w:ascii="EYInterstate Light" w:hAnsi="EYInterstate Light"/>
                <w:sz w:val="18"/>
                <w:szCs w:val="18"/>
              </w:rPr>
              <w:t>A</w:t>
            </w:r>
            <w:r w:rsidRPr="006A1F66">
              <w:rPr>
                <w:rFonts w:ascii="EYInterstate Light" w:hAnsi="EYInterstate Light"/>
                <w:sz w:val="18"/>
                <w:szCs w:val="18"/>
              </w:rPr>
              <w:t>rticles in a gold open access journal are freely available to readers without an additional fee.</w:t>
            </w:r>
          </w:p>
          <w:p w14:paraId="09833EF2" w14:textId="77777777" w:rsidR="0020797E" w:rsidRPr="006A1F66" w:rsidRDefault="0020797E" w:rsidP="00024522">
            <w:pPr>
              <w:pStyle w:val="ListParagraph"/>
              <w:numPr>
                <w:ilvl w:val="0"/>
                <w:numId w:val="11"/>
              </w:numPr>
              <w:ind w:left="782" w:hanging="425"/>
              <w:rPr>
                <w:rFonts w:ascii="EYInterstate Light" w:hAnsi="EYInterstate Light"/>
                <w:sz w:val="18"/>
                <w:szCs w:val="18"/>
              </w:rPr>
            </w:pPr>
            <w:r w:rsidRPr="006A1F66">
              <w:rPr>
                <w:rFonts w:ascii="EYInterstate Light" w:hAnsi="EYInterstate Light"/>
                <w:sz w:val="18"/>
                <w:szCs w:val="18"/>
              </w:rPr>
              <w:t xml:space="preserve">The author pays an Article Processing Charge (APC) to </w:t>
            </w:r>
            <w:r>
              <w:rPr>
                <w:rFonts w:ascii="EYInterstate Light" w:hAnsi="EYInterstate Light"/>
                <w:sz w:val="18"/>
                <w:szCs w:val="18"/>
              </w:rPr>
              <w:t>a</w:t>
            </w:r>
            <w:r w:rsidRPr="006A1F66">
              <w:rPr>
                <w:rFonts w:ascii="EYInterstate Light" w:hAnsi="EYInterstate Light"/>
                <w:sz w:val="18"/>
                <w:szCs w:val="18"/>
              </w:rPr>
              <w:t xml:space="preserve"> publisher which can be up to $17,000 per paper for a high impact factor journal.</w:t>
            </w:r>
          </w:p>
          <w:p w14:paraId="0B1271C8" w14:textId="77777777" w:rsidR="0020797E" w:rsidRPr="006A1F66" w:rsidRDefault="0020797E" w:rsidP="00024522">
            <w:pPr>
              <w:pStyle w:val="ListParagraph"/>
              <w:numPr>
                <w:ilvl w:val="0"/>
                <w:numId w:val="11"/>
              </w:numPr>
              <w:ind w:left="782" w:hanging="425"/>
              <w:rPr>
                <w:rFonts w:ascii="EYInterstate Light" w:hAnsi="EYInterstate Light"/>
                <w:sz w:val="18"/>
                <w:szCs w:val="18"/>
              </w:rPr>
            </w:pPr>
            <w:r w:rsidRPr="006A1F66">
              <w:rPr>
                <w:rFonts w:ascii="EYInterstate Light" w:hAnsi="EYInterstate Light"/>
                <w:sz w:val="18"/>
                <w:szCs w:val="18"/>
              </w:rPr>
              <w:t xml:space="preserve">The publisher is responsible </w:t>
            </w:r>
            <w:r>
              <w:rPr>
                <w:rFonts w:ascii="EYInterstate Light" w:hAnsi="EYInterstate Light"/>
                <w:sz w:val="18"/>
                <w:szCs w:val="18"/>
              </w:rPr>
              <w:t>for</w:t>
            </w:r>
            <w:r w:rsidRPr="006A1F66">
              <w:rPr>
                <w:rFonts w:ascii="EYInterstate Light" w:hAnsi="EYInterstate Light"/>
                <w:sz w:val="18"/>
                <w:szCs w:val="18"/>
              </w:rPr>
              <w:t xml:space="preserve"> publishing </w:t>
            </w:r>
            <w:r>
              <w:rPr>
                <w:rFonts w:ascii="EYInterstate Light" w:hAnsi="EYInterstate Light"/>
                <w:sz w:val="18"/>
                <w:szCs w:val="18"/>
              </w:rPr>
              <w:t>activities</w:t>
            </w:r>
            <w:r w:rsidRPr="006A1F66">
              <w:rPr>
                <w:rFonts w:ascii="EYInterstate Light" w:hAnsi="EYInterstate Light"/>
                <w:sz w:val="18"/>
                <w:szCs w:val="18"/>
              </w:rPr>
              <w:t xml:space="preserve"> and maintaining online infrastructure.</w:t>
            </w:r>
          </w:p>
        </w:tc>
      </w:tr>
      <w:tr w:rsidR="0020797E" w:rsidRPr="00B634BB" w14:paraId="042C98F7" w14:textId="77777777" w:rsidTr="00691AC3">
        <w:trPr>
          <w:trHeight w:val="154"/>
        </w:trPr>
        <w:tc>
          <w:tcPr>
            <w:tcW w:w="1802" w:type="dxa"/>
          </w:tcPr>
          <w:p w14:paraId="6AE5B756" w14:textId="77777777" w:rsidR="0020797E" w:rsidRPr="006A1F66" w:rsidRDefault="0020797E" w:rsidP="00024522">
            <w:pPr>
              <w:rPr>
                <w:rFonts w:ascii="EYInterstate Light" w:hAnsi="EYInterstate Light"/>
                <w:bCs/>
                <w:sz w:val="18"/>
                <w:szCs w:val="18"/>
              </w:rPr>
            </w:pPr>
            <w:r w:rsidRPr="006A1F66">
              <w:rPr>
                <w:rFonts w:ascii="EYInterstate Light" w:hAnsi="EYInterstate Light"/>
                <w:bCs/>
                <w:sz w:val="18"/>
                <w:szCs w:val="18"/>
              </w:rPr>
              <w:t>Platinum</w:t>
            </w:r>
          </w:p>
        </w:tc>
        <w:tc>
          <w:tcPr>
            <w:tcW w:w="7599" w:type="dxa"/>
          </w:tcPr>
          <w:p w14:paraId="563F2316" w14:textId="263E5AFD" w:rsidR="00163678" w:rsidRDefault="0020797E" w:rsidP="00024522">
            <w:pPr>
              <w:pStyle w:val="ListParagraph"/>
              <w:numPr>
                <w:ilvl w:val="0"/>
                <w:numId w:val="11"/>
              </w:numPr>
              <w:ind w:left="782" w:hanging="425"/>
              <w:rPr>
                <w:rFonts w:ascii="EYInterstate Light" w:hAnsi="EYInterstate Light"/>
                <w:sz w:val="18"/>
                <w:szCs w:val="18"/>
              </w:rPr>
            </w:pPr>
            <w:r w:rsidRPr="006A1F66">
              <w:rPr>
                <w:rFonts w:ascii="EYInterstate Light" w:hAnsi="EYInterstate Light"/>
                <w:sz w:val="18"/>
                <w:szCs w:val="18"/>
              </w:rPr>
              <w:t xml:space="preserve">Platinum open access </w:t>
            </w:r>
            <w:r w:rsidR="00163678">
              <w:rPr>
                <w:rFonts w:ascii="EYInterstate Light" w:hAnsi="EYInterstate Light"/>
                <w:sz w:val="18"/>
                <w:szCs w:val="18"/>
              </w:rPr>
              <w:t xml:space="preserve">is </w:t>
            </w:r>
            <w:proofErr w:type="gramStart"/>
            <w:r w:rsidR="00163678">
              <w:rPr>
                <w:rFonts w:ascii="EYInterstate Light" w:hAnsi="EYInterstate Light"/>
                <w:sz w:val="18"/>
                <w:szCs w:val="18"/>
              </w:rPr>
              <w:t>similar to</w:t>
            </w:r>
            <w:proofErr w:type="gramEnd"/>
            <w:r w:rsidR="00163678">
              <w:rPr>
                <w:rFonts w:ascii="EYInterstate Light" w:hAnsi="EYInterstate Light"/>
                <w:sz w:val="18"/>
                <w:szCs w:val="18"/>
              </w:rPr>
              <w:t xml:space="preserve"> gold open access, with all articles contained in the journal </w:t>
            </w:r>
            <w:r w:rsidR="008722D1">
              <w:rPr>
                <w:rFonts w:ascii="EYInterstate Light" w:hAnsi="EYInterstate Light"/>
                <w:sz w:val="18"/>
                <w:szCs w:val="18"/>
              </w:rPr>
              <w:t>freely available to readers without an additional fee.</w:t>
            </w:r>
          </w:p>
          <w:p w14:paraId="55FD8338" w14:textId="2AC2DCA0" w:rsidR="0020797E" w:rsidRPr="006A1F66" w:rsidRDefault="0020797E" w:rsidP="00024522">
            <w:pPr>
              <w:pStyle w:val="ListParagraph"/>
              <w:numPr>
                <w:ilvl w:val="0"/>
                <w:numId w:val="11"/>
              </w:numPr>
              <w:ind w:left="782" w:hanging="425"/>
              <w:rPr>
                <w:rFonts w:ascii="EYInterstate Light" w:hAnsi="EYInterstate Light"/>
                <w:sz w:val="18"/>
                <w:szCs w:val="18"/>
              </w:rPr>
            </w:pPr>
            <w:r w:rsidRPr="006A1F66">
              <w:rPr>
                <w:rFonts w:ascii="EYInterstate Light" w:hAnsi="EYInterstate Light"/>
                <w:sz w:val="18"/>
                <w:szCs w:val="18"/>
              </w:rPr>
              <w:t xml:space="preserve">A sponsoring </w:t>
            </w:r>
            <w:r w:rsidR="002814ED">
              <w:rPr>
                <w:rFonts w:ascii="EYInterstate Light" w:hAnsi="EYInterstate Light"/>
                <w:sz w:val="18"/>
                <w:szCs w:val="18"/>
              </w:rPr>
              <w:t>institution, or fund</w:t>
            </w:r>
            <w:r w:rsidR="008722D1">
              <w:rPr>
                <w:rFonts w:ascii="EYInterstate Light" w:hAnsi="EYInterstate Light"/>
                <w:sz w:val="18"/>
                <w:szCs w:val="18"/>
              </w:rPr>
              <w:t>er</w:t>
            </w:r>
            <w:r w:rsidR="002814ED">
              <w:rPr>
                <w:rFonts w:ascii="EYInterstate Light" w:hAnsi="EYInterstate Light"/>
                <w:sz w:val="18"/>
                <w:szCs w:val="18"/>
              </w:rPr>
              <w:t xml:space="preserve"> may </w:t>
            </w:r>
            <w:r w:rsidR="00AF2C4D">
              <w:rPr>
                <w:rFonts w:ascii="EYInterstate Light" w:hAnsi="EYInterstate Light"/>
                <w:sz w:val="18"/>
                <w:szCs w:val="18"/>
              </w:rPr>
              <w:t xml:space="preserve">pay </w:t>
            </w:r>
            <w:r w:rsidRPr="006A1F66">
              <w:rPr>
                <w:rFonts w:ascii="EYInterstate Light" w:hAnsi="EYInterstate Light"/>
                <w:sz w:val="18"/>
                <w:szCs w:val="18"/>
              </w:rPr>
              <w:t xml:space="preserve">the </w:t>
            </w:r>
            <w:r w:rsidR="00AF2C4D">
              <w:rPr>
                <w:rFonts w:ascii="EYInterstate Light" w:hAnsi="EYInterstate Light"/>
                <w:sz w:val="18"/>
                <w:szCs w:val="18"/>
              </w:rPr>
              <w:t xml:space="preserve">APC </w:t>
            </w:r>
            <w:r w:rsidRPr="006A1F66">
              <w:rPr>
                <w:rFonts w:ascii="EYInterstate Light" w:hAnsi="EYInterstate Light"/>
                <w:sz w:val="18"/>
                <w:szCs w:val="18"/>
              </w:rPr>
              <w:t>publication costs of the journal</w:t>
            </w:r>
            <w:r w:rsidR="00AF2C4D">
              <w:rPr>
                <w:rFonts w:ascii="EYInterstate Light" w:hAnsi="EYInterstate Light"/>
                <w:sz w:val="18"/>
                <w:szCs w:val="18"/>
              </w:rPr>
              <w:t xml:space="preserve"> to publish open access</w:t>
            </w:r>
          </w:p>
          <w:p w14:paraId="799FD7F4" w14:textId="77777777" w:rsidR="0020797E" w:rsidRPr="006A1F66" w:rsidRDefault="0020797E" w:rsidP="00024522">
            <w:pPr>
              <w:pStyle w:val="ListParagraph"/>
              <w:numPr>
                <w:ilvl w:val="0"/>
                <w:numId w:val="11"/>
              </w:numPr>
              <w:ind w:left="782" w:hanging="425"/>
              <w:rPr>
                <w:rFonts w:ascii="EYInterstate Light" w:hAnsi="EYInterstate Light"/>
                <w:sz w:val="18"/>
                <w:szCs w:val="18"/>
              </w:rPr>
            </w:pPr>
            <w:r w:rsidRPr="006A1F66">
              <w:rPr>
                <w:rFonts w:ascii="EYInterstate Light" w:hAnsi="EYInterstate Light"/>
                <w:sz w:val="18"/>
                <w:szCs w:val="18"/>
              </w:rPr>
              <w:t xml:space="preserve">The publishers are responsible </w:t>
            </w:r>
            <w:r>
              <w:rPr>
                <w:rFonts w:ascii="EYInterstate Light" w:hAnsi="EYInterstate Light"/>
                <w:sz w:val="18"/>
                <w:szCs w:val="18"/>
              </w:rPr>
              <w:t xml:space="preserve">for </w:t>
            </w:r>
            <w:r w:rsidRPr="006A1F66">
              <w:rPr>
                <w:rFonts w:ascii="EYInterstate Light" w:hAnsi="EYInterstate Light"/>
                <w:sz w:val="18"/>
                <w:szCs w:val="18"/>
              </w:rPr>
              <w:t xml:space="preserve">publishing </w:t>
            </w:r>
            <w:r>
              <w:rPr>
                <w:rFonts w:ascii="EYInterstate Light" w:hAnsi="EYInterstate Light"/>
                <w:sz w:val="18"/>
                <w:szCs w:val="18"/>
              </w:rPr>
              <w:t>activities</w:t>
            </w:r>
            <w:r w:rsidRPr="006A1F66">
              <w:rPr>
                <w:rFonts w:ascii="EYInterstate Light" w:hAnsi="EYInterstate Light"/>
                <w:sz w:val="18"/>
                <w:szCs w:val="18"/>
              </w:rPr>
              <w:t xml:space="preserve"> and maintaining online infrastructure.</w:t>
            </w:r>
          </w:p>
        </w:tc>
      </w:tr>
      <w:tr w:rsidR="0020797E" w:rsidRPr="00B634BB" w14:paraId="6FB386CA" w14:textId="77777777" w:rsidTr="00691AC3">
        <w:trPr>
          <w:trHeight w:val="849"/>
        </w:trPr>
        <w:tc>
          <w:tcPr>
            <w:tcW w:w="1802" w:type="dxa"/>
          </w:tcPr>
          <w:p w14:paraId="3DF4EFCE" w14:textId="77777777" w:rsidR="0020797E" w:rsidRPr="006A1F66" w:rsidRDefault="0020797E" w:rsidP="00024522">
            <w:pPr>
              <w:rPr>
                <w:rFonts w:ascii="EYInterstate Light" w:hAnsi="EYInterstate Light"/>
                <w:bCs/>
                <w:sz w:val="18"/>
                <w:szCs w:val="18"/>
              </w:rPr>
            </w:pPr>
            <w:r w:rsidRPr="006A1F66">
              <w:rPr>
                <w:rFonts w:ascii="EYInterstate Light" w:hAnsi="EYInterstate Light"/>
                <w:bCs/>
                <w:sz w:val="18"/>
                <w:szCs w:val="18"/>
              </w:rPr>
              <w:t>Hybrid</w:t>
            </w:r>
          </w:p>
        </w:tc>
        <w:tc>
          <w:tcPr>
            <w:tcW w:w="7599" w:type="dxa"/>
          </w:tcPr>
          <w:p w14:paraId="78A094E3" w14:textId="77777777" w:rsidR="0020797E" w:rsidRPr="006A1F66" w:rsidRDefault="0020797E" w:rsidP="00024522">
            <w:pPr>
              <w:pStyle w:val="ListParagraph"/>
              <w:numPr>
                <w:ilvl w:val="0"/>
                <w:numId w:val="11"/>
              </w:numPr>
              <w:ind w:left="782" w:hanging="425"/>
              <w:rPr>
                <w:rFonts w:ascii="EYInterstate Light" w:hAnsi="EYInterstate Light"/>
                <w:sz w:val="18"/>
                <w:szCs w:val="18"/>
              </w:rPr>
            </w:pPr>
            <w:r w:rsidRPr="006A1F66">
              <w:rPr>
                <w:rFonts w:ascii="EYInterstate Light" w:hAnsi="EYInterstate Light"/>
                <w:sz w:val="18"/>
                <w:szCs w:val="18"/>
              </w:rPr>
              <w:t>Hybrid journals contain both free-to-read and paywalled journal articles.</w:t>
            </w:r>
          </w:p>
          <w:p w14:paraId="437CCD9D" w14:textId="77777777" w:rsidR="0020797E" w:rsidRPr="006A1F66" w:rsidRDefault="0020797E" w:rsidP="00024522">
            <w:pPr>
              <w:pStyle w:val="ListParagraph"/>
              <w:numPr>
                <w:ilvl w:val="0"/>
                <w:numId w:val="11"/>
              </w:numPr>
              <w:ind w:left="782" w:hanging="425"/>
              <w:rPr>
                <w:rFonts w:ascii="EYInterstate Light" w:hAnsi="EYInterstate Light"/>
                <w:sz w:val="18"/>
                <w:szCs w:val="18"/>
              </w:rPr>
            </w:pPr>
            <w:r w:rsidRPr="006A1F66">
              <w:rPr>
                <w:rFonts w:ascii="EYInterstate Light" w:hAnsi="EYInterstate Light"/>
                <w:sz w:val="18"/>
                <w:szCs w:val="18"/>
              </w:rPr>
              <w:t xml:space="preserve">Authors can pay an optional APC to </w:t>
            </w:r>
            <w:r>
              <w:rPr>
                <w:rFonts w:ascii="EYInterstate Light" w:hAnsi="EYInterstate Light"/>
                <w:sz w:val="18"/>
                <w:szCs w:val="18"/>
              </w:rPr>
              <w:t>publish</w:t>
            </w:r>
            <w:r w:rsidRPr="006A1F66">
              <w:rPr>
                <w:rFonts w:ascii="EYInterstate Light" w:hAnsi="EYInterstate Light"/>
                <w:sz w:val="18"/>
                <w:szCs w:val="18"/>
              </w:rPr>
              <w:t xml:space="preserve"> their article </w:t>
            </w:r>
            <w:r>
              <w:rPr>
                <w:rFonts w:ascii="EYInterstate Light" w:hAnsi="EYInterstate Light"/>
                <w:sz w:val="18"/>
                <w:szCs w:val="18"/>
              </w:rPr>
              <w:t xml:space="preserve">as </w:t>
            </w:r>
            <w:r w:rsidRPr="006A1F66">
              <w:rPr>
                <w:rFonts w:ascii="EYInterstate Light" w:hAnsi="EYInterstate Light"/>
                <w:sz w:val="18"/>
                <w:szCs w:val="18"/>
              </w:rPr>
              <w:t>open access.</w:t>
            </w:r>
          </w:p>
          <w:p w14:paraId="25E8D156" w14:textId="77777777" w:rsidR="0020797E" w:rsidRPr="006A1F66" w:rsidRDefault="0020797E" w:rsidP="00024522">
            <w:pPr>
              <w:pStyle w:val="ListParagraph"/>
              <w:numPr>
                <w:ilvl w:val="0"/>
                <w:numId w:val="11"/>
              </w:numPr>
              <w:ind w:left="782" w:hanging="425"/>
              <w:rPr>
                <w:rFonts w:ascii="EYInterstate Light" w:hAnsi="EYInterstate Light"/>
                <w:sz w:val="18"/>
                <w:szCs w:val="18"/>
              </w:rPr>
            </w:pPr>
            <w:r w:rsidRPr="006A1F66">
              <w:rPr>
                <w:rFonts w:ascii="EYInterstate Light" w:hAnsi="EYInterstate Light"/>
                <w:sz w:val="18"/>
                <w:szCs w:val="18"/>
              </w:rPr>
              <w:t xml:space="preserve">The publisher is responsible </w:t>
            </w:r>
            <w:r>
              <w:rPr>
                <w:rFonts w:ascii="EYInterstate Light" w:hAnsi="EYInterstate Light"/>
                <w:sz w:val="18"/>
                <w:szCs w:val="18"/>
              </w:rPr>
              <w:t xml:space="preserve">for </w:t>
            </w:r>
            <w:r w:rsidRPr="006A1F66">
              <w:rPr>
                <w:rFonts w:ascii="EYInterstate Light" w:hAnsi="EYInterstate Light"/>
                <w:sz w:val="18"/>
                <w:szCs w:val="18"/>
              </w:rPr>
              <w:t xml:space="preserve">publishing </w:t>
            </w:r>
            <w:r>
              <w:rPr>
                <w:rFonts w:ascii="EYInterstate Light" w:hAnsi="EYInterstate Light"/>
                <w:sz w:val="18"/>
                <w:szCs w:val="18"/>
              </w:rPr>
              <w:t>activities</w:t>
            </w:r>
            <w:r w:rsidRPr="006A1F66">
              <w:rPr>
                <w:rFonts w:ascii="EYInterstate Light" w:hAnsi="EYInterstate Light"/>
                <w:sz w:val="18"/>
                <w:szCs w:val="18"/>
              </w:rPr>
              <w:t xml:space="preserve"> and maintaining online infrastructure.</w:t>
            </w:r>
          </w:p>
        </w:tc>
      </w:tr>
      <w:tr w:rsidR="0020797E" w:rsidRPr="00B634BB" w14:paraId="76050DCA" w14:textId="77777777" w:rsidTr="00691AC3">
        <w:trPr>
          <w:trHeight w:val="117"/>
        </w:trPr>
        <w:tc>
          <w:tcPr>
            <w:tcW w:w="1802" w:type="dxa"/>
          </w:tcPr>
          <w:p w14:paraId="5546D636" w14:textId="77777777" w:rsidR="0020797E" w:rsidRPr="006A1F66" w:rsidRDefault="0020797E" w:rsidP="00024522">
            <w:pPr>
              <w:rPr>
                <w:rFonts w:ascii="EYInterstate Light" w:hAnsi="EYInterstate Light"/>
                <w:bCs/>
                <w:sz w:val="18"/>
                <w:szCs w:val="18"/>
              </w:rPr>
            </w:pPr>
            <w:r w:rsidRPr="006A1F66">
              <w:rPr>
                <w:rFonts w:ascii="EYInterstate Light" w:hAnsi="EYInterstate Light"/>
                <w:bCs/>
                <w:sz w:val="18"/>
                <w:szCs w:val="18"/>
              </w:rPr>
              <w:t>Green or repository based open access</w:t>
            </w:r>
          </w:p>
        </w:tc>
        <w:tc>
          <w:tcPr>
            <w:tcW w:w="7599" w:type="dxa"/>
          </w:tcPr>
          <w:p w14:paraId="1994C5F0" w14:textId="77777777" w:rsidR="0020797E" w:rsidRPr="006A1F66" w:rsidRDefault="0020797E" w:rsidP="00024522">
            <w:pPr>
              <w:pStyle w:val="ListParagraph"/>
              <w:numPr>
                <w:ilvl w:val="0"/>
                <w:numId w:val="11"/>
              </w:numPr>
              <w:ind w:left="782" w:hanging="425"/>
              <w:rPr>
                <w:rFonts w:ascii="EYInterstate Light" w:hAnsi="EYInterstate Light"/>
                <w:sz w:val="18"/>
                <w:szCs w:val="18"/>
              </w:rPr>
            </w:pPr>
            <w:r w:rsidRPr="006A1F66">
              <w:rPr>
                <w:rFonts w:ascii="EYInterstate Light" w:hAnsi="EYInterstate Light"/>
                <w:sz w:val="18"/>
                <w:szCs w:val="18"/>
              </w:rPr>
              <w:t>Commonly, freely accessible repositories contain either author-submitted, author-accepted, or published versions of articles.</w:t>
            </w:r>
          </w:p>
          <w:p w14:paraId="1CEAC7F0" w14:textId="41983792" w:rsidR="0020797E" w:rsidRPr="008722D1" w:rsidRDefault="0020797E" w:rsidP="008722D1">
            <w:pPr>
              <w:pStyle w:val="ListParagraph"/>
              <w:numPr>
                <w:ilvl w:val="0"/>
                <w:numId w:val="11"/>
              </w:numPr>
              <w:ind w:left="782" w:hanging="425"/>
              <w:rPr>
                <w:rFonts w:ascii="EYInterstate Light" w:hAnsi="EYInterstate Light"/>
                <w:sz w:val="18"/>
                <w:szCs w:val="18"/>
              </w:rPr>
            </w:pPr>
            <w:r w:rsidRPr="006A1F66">
              <w:rPr>
                <w:rFonts w:ascii="EYInterstate Light" w:hAnsi="EYInterstate Light"/>
                <w:sz w:val="18"/>
                <w:szCs w:val="18"/>
              </w:rPr>
              <w:t>The host institution</w:t>
            </w:r>
            <w:r w:rsidR="008722D1">
              <w:rPr>
                <w:rFonts w:ascii="EYInterstate Light" w:hAnsi="EYInterstate Light"/>
                <w:sz w:val="18"/>
                <w:szCs w:val="18"/>
              </w:rPr>
              <w:t xml:space="preserve">s maintain </w:t>
            </w:r>
            <w:r w:rsidR="00117EAA">
              <w:rPr>
                <w:rFonts w:ascii="EYInterstate Light" w:hAnsi="EYInterstate Light"/>
                <w:sz w:val="18"/>
                <w:szCs w:val="18"/>
              </w:rPr>
              <w:t>each repository.</w:t>
            </w:r>
          </w:p>
        </w:tc>
      </w:tr>
    </w:tbl>
    <w:p w14:paraId="3AEEE2CA" w14:textId="77777777" w:rsidR="0020797E" w:rsidRPr="00AD0D57" w:rsidRDefault="0020797E" w:rsidP="00A577AC">
      <w:pPr>
        <w:pStyle w:val="EYBodytextwithparaspace"/>
      </w:pPr>
    </w:p>
    <w:p w14:paraId="25EC0A35" w14:textId="404DA7FD" w:rsidR="004E600C" w:rsidRDefault="004E600C" w:rsidP="002145BB">
      <w:pPr>
        <w:pStyle w:val="EYHeading2"/>
      </w:pPr>
      <w:bookmarkStart w:id="25" w:name="_Toc115717080"/>
      <w:r>
        <w:t xml:space="preserve">Options for Australia’s </w:t>
      </w:r>
      <w:r w:rsidR="005E0C88">
        <w:t>o</w:t>
      </w:r>
      <w:r>
        <w:t xml:space="preserve">pen </w:t>
      </w:r>
      <w:r w:rsidR="005E0C88">
        <w:t>a</w:t>
      </w:r>
      <w:r>
        <w:t xml:space="preserve">ccess </w:t>
      </w:r>
      <w:r w:rsidR="005E0C88">
        <w:t>s</w:t>
      </w:r>
      <w:r>
        <w:t>cheme</w:t>
      </w:r>
      <w:bookmarkEnd w:id="25"/>
    </w:p>
    <w:p w14:paraId="6B505EEE" w14:textId="5242C1C4" w:rsidR="004E600C" w:rsidRDefault="00EC475F" w:rsidP="00411B86">
      <w:pPr>
        <w:pStyle w:val="EYBodytextwithoutparaspace"/>
      </w:pPr>
      <w:r w:rsidRPr="00EC475F">
        <w:t xml:space="preserve">As outlined above, there are multiple different approaches to open access both here in Australia and across the world. Generally, each approach aims to ensure publicly funded research is openly accessible and to reduce the cost of accessing academic journals. While policies vary, looking at international models, </w:t>
      </w:r>
      <w:r w:rsidR="00DF4725">
        <w:t>there are</w:t>
      </w:r>
      <w:r w:rsidRPr="00EC475F">
        <w:t xml:space="preserve"> three </w:t>
      </w:r>
      <w:proofErr w:type="gramStart"/>
      <w:r w:rsidRPr="00EC475F">
        <w:t>potential</w:t>
      </w:r>
      <w:proofErr w:type="gramEnd"/>
      <w:r w:rsidRPr="00EC475F">
        <w:t xml:space="preserve"> </w:t>
      </w:r>
      <w:r w:rsidR="00FB70A1">
        <w:t>‘</w:t>
      </w:r>
      <w:r w:rsidRPr="00EC475F">
        <w:t xml:space="preserve">best of breed’ approaches for Australia’s </w:t>
      </w:r>
      <w:r w:rsidR="00DF4725">
        <w:t>o</w:t>
      </w:r>
      <w:r w:rsidRPr="00EC475F">
        <w:t xml:space="preserve">pen </w:t>
      </w:r>
      <w:r w:rsidR="00DF4725">
        <w:t>a</w:t>
      </w:r>
      <w:r w:rsidRPr="00EC475F">
        <w:t xml:space="preserve">ccess </w:t>
      </w:r>
      <w:r w:rsidR="00DF4725">
        <w:t>s</w:t>
      </w:r>
      <w:r w:rsidRPr="00EC475F">
        <w:t>trategy.</w:t>
      </w:r>
    </w:p>
    <w:p w14:paraId="6B70BF74" w14:textId="1B4FFE4C" w:rsidR="004E600C" w:rsidRDefault="00BB233A" w:rsidP="00AC728B">
      <w:pPr>
        <w:pStyle w:val="EYBulletnoparaspace"/>
        <w:ind w:left="426"/>
      </w:pPr>
      <w:r w:rsidRPr="002F62D6">
        <w:rPr>
          <w:b/>
          <w:bCs/>
        </w:rPr>
        <w:t>A single c</w:t>
      </w:r>
      <w:r w:rsidR="004E600C" w:rsidRPr="002F62D6">
        <w:rPr>
          <w:b/>
          <w:bCs/>
        </w:rPr>
        <w:t xml:space="preserve">entral </w:t>
      </w:r>
      <w:r w:rsidR="0022363E" w:rsidRPr="002F62D6">
        <w:rPr>
          <w:b/>
          <w:bCs/>
        </w:rPr>
        <w:t>implementation</w:t>
      </w:r>
      <w:r w:rsidR="004E600C" w:rsidRPr="002F62D6">
        <w:rPr>
          <w:b/>
          <w:bCs/>
        </w:rPr>
        <w:t xml:space="preserve"> body</w:t>
      </w:r>
      <w:r w:rsidR="004E600C">
        <w:t xml:space="preserve"> </w:t>
      </w:r>
      <w:r w:rsidR="002F62D6">
        <w:t xml:space="preserve">— </w:t>
      </w:r>
      <w:r w:rsidR="004414FD">
        <w:t>N</w:t>
      </w:r>
      <w:r w:rsidR="00D62D5A" w:rsidRPr="00D62D5A">
        <w:t>egotiat</w:t>
      </w:r>
      <w:r w:rsidR="00364353">
        <w:t>ing</w:t>
      </w:r>
      <w:r w:rsidR="00D62D5A" w:rsidRPr="00D62D5A">
        <w:t xml:space="preserve"> new agreements with publishers, which enable all participating users to read all the publisher journals and publish all Australian</w:t>
      </w:r>
      <w:r w:rsidR="003871C6">
        <w:t>-</w:t>
      </w:r>
      <w:r w:rsidR="00D62D5A" w:rsidRPr="00D62D5A">
        <w:t xml:space="preserve">led </w:t>
      </w:r>
      <w:r w:rsidR="003871C6">
        <w:t xml:space="preserve">journal </w:t>
      </w:r>
      <w:r w:rsidR="003E08C8">
        <w:t>articles</w:t>
      </w:r>
      <w:r w:rsidR="00D62D5A" w:rsidRPr="00D62D5A">
        <w:t xml:space="preserve"> </w:t>
      </w:r>
      <w:r w:rsidR="000577FC">
        <w:t>as</w:t>
      </w:r>
      <w:r w:rsidR="00D62D5A" w:rsidRPr="00D62D5A">
        <w:t xml:space="preserve"> open access.</w:t>
      </w:r>
    </w:p>
    <w:p w14:paraId="5F6DC69D" w14:textId="57F90638" w:rsidR="004E600C" w:rsidRDefault="00DE6860" w:rsidP="00AC728B">
      <w:pPr>
        <w:pStyle w:val="EYBulletnoparaspace"/>
        <w:ind w:left="426"/>
      </w:pPr>
      <w:r w:rsidRPr="002F62D6">
        <w:rPr>
          <w:b/>
          <w:bCs/>
        </w:rPr>
        <w:t>R</w:t>
      </w:r>
      <w:r w:rsidR="004E600C" w:rsidRPr="002F62D6">
        <w:rPr>
          <w:b/>
          <w:bCs/>
        </w:rPr>
        <w:t>epository</w:t>
      </w:r>
      <w:r w:rsidR="0022363E" w:rsidRPr="002F62D6">
        <w:rPr>
          <w:b/>
          <w:bCs/>
        </w:rPr>
        <w:t>-</w:t>
      </w:r>
      <w:r w:rsidR="004E600C" w:rsidRPr="002F62D6">
        <w:rPr>
          <w:b/>
          <w:bCs/>
        </w:rPr>
        <w:t>based open access</w:t>
      </w:r>
      <w:r w:rsidR="004E600C">
        <w:t xml:space="preserve"> </w:t>
      </w:r>
      <w:r w:rsidR="002F62D6">
        <w:t>—</w:t>
      </w:r>
      <w:r w:rsidR="004E600C">
        <w:t xml:space="preserve"> </w:t>
      </w:r>
      <w:r w:rsidR="0022363E">
        <w:t>Australia</w:t>
      </w:r>
      <w:r w:rsidR="004E600C">
        <w:t xml:space="preserve"> invest</w:t>
      </w:r>
      <w:r w:rsidR="0022363E">
        <w:t>s</w:t>
      </w:r>
      <w:r w:rsidR="004E600C">
        <w:t xml:space="preserve"> into a centralised repository, or by virtually linking all Australian institutional repositories. </w:t>
      </w:r>
    </w:p>
    <w:p w14:paraId="11697072" w14:textId="00070C56" w:rsidR="004E600C" w:rsidRDefault="003E08C8" w:rsidP="00AC728B">
      <w:pPr>
        <w:pStyle w:val="EYBulletnoparaspace"/>
        <w:ind w:left="426"/>
      </w:pPr>
      <w:r w:rsidRPr="002F62D6">
        <w:rPr>
          <w:b/>
          <w:bCs/>
        </w:rPr>
        <w:t>Funding mandates</w:t>
      </w:r>
      <w:r w:rsidR="004E600C">
        <w:t xml:space="preserve"> </w:t>
      </w:r>
      <w:r w:rsidR="002F62D6">
        <w:t>—</w:t>
      </w:r>
      <w:r w:rsidR="004E600C">
        <w:t xml:space="preserve"> Similar</w:t>
      </w:r>
      <w:r>
        <w:t xml:space="preserve"> but slightly different to current </w:t>
      </w:r>
      <w:r w:rsidR="004E600C">
        <w:t>ARC and NHMRC</w:t>
      </w:r>
      <w:r>
        <w:t xml:space="preserve"> open access polices</w:t>
      </w:r>
      <w:r w:rsidR="004E600C">
        <w:t xml:space="preserve">, the Australian government would mandate </w:t>
      </w:r>
      <w:r w:rsidR="001A59B1">
        <w:t xml:space="preserve">that </w:t>
      </w:r>
      <w:r w:rsidR="004E600C">
        <w:t xml:space="preserve">as a condition of funding, that all research outputs </w:t>
      </w:r>
      <w:r w:rsidR="009062F9">
        <w:t>funded with</w:t>
      </w:r>
      <w:r w:rsidR="004E600C">
        <w:t xml:space="preserve"> taxpayer funding would be made openly accessible</w:t>
      </w:r>
      <w:r w:rsidR="00E305E5">
        <w:t xml:space="preserve"> immediately after publication</w:t>
      </w:r>
      <w:r w:rsidR="004E600C">
        <w:t>.</w:t>
      </w:r>
    </w:p>
    <w:p w14:paraId="150B7F1D" w14:textId="4E6F94BE" w:rsidR="004E600C" w:rsidRDefault="00816217" w:rsidP="00A577AC">
      <w:pPr>
        <w:pStyle w:val="EYBodytextwithparaspace"/>
      </w:pPr>
      <w:r>
        <w:fldChar w:fldCharType="begin"/>
      </w:r>
      <w:r>
        <w:instrText xml:space="preserve"> REF _Ref115692644 \h </w:instrText>
      </w:r>
      <w:r>
        <w:fldChar w:fldCharType="separate"/>
      </w:r>
      <w:r w:rsidR="008112E6">
        <w:t xml:space="preserve">Table </w:t>
      </w:r>
      <w:r w:rsidR="008112E6">
        <w:rPr>
          <w:noProof/>
        </w:rPr>
        <w:t>4</w:t>
      </w:r>
      <w:r>
        <w:fldChar w:fldCharType="end"/>
      </w:r>
      <w:r>
        <w:t xml:space="preserve"> </w:t>
      </w:r>
      <w:r w:rsidR="004E600C">
        <w:t>provides greater detail on the different options</w:t>
      </w:r>
      <w:r w:rsidR="00891D69">
        <w:t xml:space="preserve">. </w:t>
      </w:r>
    </w:p>
    <w:p w14:paraId="7395F01C" w14:textId="77777777" w:rsidR="00411B86" w:rsidRDefault="00411B86" w:rsidP="00A577AC">
      <w:pPr>
        <w:pStyle w:val="EYBodytextwithparaspace"/>
      </w:pPr>
    </w:p>
    <w:p w14:paraId="751829C3" w14:textId="6EFC491F" w:rsidR="004E600C" w:rsidRDefault="004E600C" w:rsidP="002145BB">
      <w:pPr>
        <w:pStyle w:val="Caption"/>
        <w:keepNext/>
      </w:pPr>
      <w:bookmarkStart w:id="26" w:name="_Ref115692644"/>
      <w:r>
        <w:lastRenderedPageBreak/>
        <w:t xml:space="preserve">Table </w:t>
      </w:r>
      <w:r>
        <w:fldChar w:fldCharType="begin"/>
      </w:r>
      <w:r>
        <w:instrText xml:space="preserve"> SEQ Table \* ARABIC </w:instrText>
      </w:r>
      <w:r>
        <w:fldChar w:fldCharType="separate"/>
      </w:r>
      <w:r w:rsidR="008112E6">
        <w:rPr>
          <w:noProof/>
        </w:rPr>
        <w:t>4</w:t>
      </w:r>
      <w:r>
        <w:fldChar w:fldCharType="end"/>
      </w:r>
      <w:bookmarkEnd w:id="26"/>
      <w:r>
        <w:t xml:space="preserve">: Potential </w:t>
      </w:r>
      <w:r w:rsidR="001D2AF2">
        <w:t>o</w:t>
      </w:r>
      <w:r>
        <w:t xml:space="preserve">pen </w:t>
      </w:r>
      <w:r w:rsidR="001D2AF2">
        <w:t>a</w:t>
      </w:r>
      <w:r>
        <w:t xml:space="preserve">ccess </w:t>
      </w:r>
      <w:r w:rsidR="001D2AF2">
        <w:t>o</w:t>
      </w:r>
      <w:r>
        <w:t>ptions</w:t>
      </w:r>
    </w:p>
    <w:tbl>
      <w:tblPr>
        <w:tblW w:w="9021" w:type="dxa"/>
        <w:tblInd w:w="-45"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firstRow="0" w:lastRow="0" w:firstColumn="0" w:lastColumn="0" w:noHBand="0" w:noVBand="0"/>
      </w:tblPr>
      <w:tblGrid>
        <w:gridCol w:w="140"/>
        <w:gridCol w:w="689"/>
        <w:gridCol w:w="2732"/>
        <w:gridCol w:w="2730"/>
        <w:gridCol w:w="2730"/>
      </w:tblGrid>
      <w:tr w:rsidR="00342DF8" w:rsidRPr="00691AC3" w14:paraId="72596354" w14:textId="77777777" w:rsidTr="00691AC3">
        <w:trPr>
          <w:trHeight w:val="21"/>
          <w:tblHeader/>
        </w:trPr>
        <w:tc>
          <w:tcPr>
            <w:tcW w:w="829" w:type="dxa"/>
            <w:gridSpan w:val="2"/>
            <w:tcBorders>
              <w:bottom w:val="single" w:sz="36" w:space="0" w:color="FFFFFF"/>
            </w:tcBorders>
            <w:shd w:val="clear" w:color="auto" w:fill="auto"/>
          </w:tcPr>
          <w:p w14:paraId="3B0720D1" w14:textId="77777777" w:rsidR="004E600C" w:rsidRPr="00691AC3" w:rsidRDefault="004E600C" w:rsidP="002145BB">
            <w:pPr>
              <w:autoSpaceDE/>
              <w:autoSpaceDN/>
              <w:adjustRightInd/>
              <w:spacing w:before="60" w:after="60"/>
              <w:rPr>
                <w:rFonts w:eastAsia="Cambria" w:cs="Cambria"/>
                <w:b/>
                <w:color w:val="747480"/>
                <w:sz w:val="18"/>
                <w:szCs w:val="28"/>
              </w:rPr>
            </w:pPr>
          </w:p>
        </w:tc>
        <w:tc>
          <w:tcPr>
            <w:tcW w:w="2732" w:type="dxa"/>
            <w:tcBorders>
              <w:bottom w:val="single" w:sz="36" w:space="0" w:color="FFFFFF"/>
            </w:tcBorders>
            <w:shd w:val="clear" w:color="auto" w:fill="FFE600" w:themeFill="text2"/>
            <w:vAlign w:val="center"/>
          </w:tcPr>
          <w:p w14:paraId="1B82B8E3" w14:textId="77777777" w:rsidR="004E600C" w:rsidRPr="00691AC3" w:rsidRDefault="004E600C" w:rsidP="002145BB">
            <w:pPr>
              <w:autoSpaceDE/>
              <w:autoSpaceDN/>
              <w:adjustRightInd/>
              <w:spacing w:before="60" w:after="60"/>
              <w:rPr>
                <w:rFonts w:eastAsia="EYInterstate" w:cs="Cambria"/>
                <w:b/>
                <w:color w:val="747480"/>
                <w:sz w:val="18"/>
                <w:szCs w:val="28"/>
              </w:rPr>
            </w:pPr>
            <w:r w:rsidRPr="00691AC3">
              <w:rPr>
                <w:rFonts w:eastAsia="Cambria" w:cs="Cambria"/>
                <w:b/>
                <w:color w:val="747480"/>
                <w:sz w:val="18"/>
                <w:szCs w:val="28"/>
              </w:rPr>
              <w:t>Repository based open access</w:t>
            </w:r>
          </w:p>
        </w:tc>
        <w:tc>
          <w:tcPr>
            <w:tcW w:w="2730" w:type="dxa"/>
            <w:tcBorders>
              <w:bottom w:val="single" w:sz="36" w:space="0" w:color="FFFFFF"/>
            </w:tcBorders>
            <w:shd w:val="clear" w:color="auto" w:fill="FFE600" w:themeFill="text2"/>
            <w:vAlign w:val="center"/>
          </w:tcPr>
          <w:p w14:paraId="00FB9078" w14:textId="1982D911" w:rsidR="004E600C" w:rsidRPr="00691AC3" w:rsidRDefault="00DE6860" w:rsidP="002145BB">
            <w:pPr>
              <w:autoSpaceDE/>
              <w:autoSpaceDN/>
              <w:adjustRightInd/>
              <w:spacing w:before="60" w:after="60"/>
              <w:rPr>
                <w:rFonts w:eastAsia="EYInterstate" w:cs="Cambria"/>
                <w:b/>
                <w:color w:val="747480"/>
                <w:sz w:val="18"/>
                <w:szCs w:val="28"/>
              </w:rPr>
            </w:pPr>
            <w:r w:rsidRPr="00691AC3">
              <w:rPr>
                <w:rFonts w:eastAsia="Cambria" w:cs="Cambria"/>
                <w:b/>
                <w:color w:val="747480"/>
                <w:sz w:val="18"/>
                <w:szCs w:val="28"/>
              </w:rPr>
              <w:t>Central implement</w:t>
            </w:r>
            <w:r w:rsidR="007C4B0A" w:rsidRPr="00691AC3">
              <w:rPr>
                <w:rFonts w:eastAsia="Cambria" w:cs="Cambria"/>
                <w:b/>
                <w:color w:val="747480"/>
                <w:sz w:val="18"/>
                <w:szCs w:val="28"/>
              </w:rPr>
              <w:t>ation</w:t>
            </w:r>
            <w:r w:rsidRPr="00691AC3">
              <w:rPr>
                <w:rFonts w:eastAsia="Cambria" w:cs="Cambria"/>
                <w:b/>
                <w:color w:val="747480"/>
                <w:sz w:val="18"/>
                <w:szCs w:val="28"/>
              </w:rPr>
              <w:t xml:space="preserve"> body</w:t>
            </w:r>
          </w:p>
        </w:tc>
        <w:tc>
          <w:tcPr>
            <w:tcW w:w="2730" w:type="dxa"/>
            <w:tcBorders>
              <w:bottom w:val="single" w:sz="36" w:space="0" w:color="FFFFFF"/>
            </w:tcBorders>
            <w:shd w:val="clear" w:color="auto" w:fill="FFE600" w:themeFill="text2"/>
            <w:vAlign w:val="center"/>
          </w:tcPr>
          <w:p w14:paraId="4DE20151" w14:textId="77777777" w:rsidR="004E600C" w:rsidRPr="00691AC3" w:rsidRDefault="004E600C" w:rsidP="002145BB">
            <w:pPr>
              <w:autoSpaceDE/>
              <w:autoSpaceDN/>
              <w:adjustRightInd/>
              <w:spacing w:before="60" w:after="60"/>
              <w:rPr>
                <w:rFonts w:eastAsia="EYInterstate" w:cs="Cambria"/>
                <w:b/>
                <w:color w:val="747480"/>
                <w:sz w:val="18"/>
                <w:szCs w:val="28"/>
              </w:rPr>
            </w:pPr>
            <w:r w:rsidRPr="00691AC3">
              <w:rPr>
                <w:rFonts w:eastAsia="Cambria" w:cs="Cambria"/>
                <w:b/>
                <w:color w:val="747480"/>
                <w:sz w:val="18"/>
                <w:szCs w:val="28"/>
              </w:rPr>
              <w:t>Funding mandates</w:t>
            </w:r>
          </w:p>
        </w:tc>
      </w:tr>
      <w:tr w:rsidR="00342DF8" w:rsidRPr="00691AC3" w14:paraId="250CCD2C" w14:textId="77777777" w:rsidTr="00691AC3">
        <w:trPr>
          <w:gridBefore w:val="1"/>
          <w:wBefore w:w="140" w:type="dxa"/>
          <w:cantSplit/>
          <w:trHeight w:val="1493"/>
        </w:trPr>
        <w:tc>
          <w:tcPr>
            <w:tcW w:w="688" w:type="dxa"/>
            <w:shd w:val="clear" w:color="auto" w:fill="808080" w:themeFill="background1" w:themeFillShade="80"/>
            <w:textDirection w:val="btLr"/>
            <w:vAlign w:val="center"/>
          </w:tcPr>
          <w:p w14:paraId="6A449030" w14:textId="77777777" w:rsidR="004E600C" w:rsidRPr="00691AC3" w:rsidRDefault="004E600C" w:rsidP="002145BB">
            <w:pPr>
              <w:autoSpaceDE/>
              <w:autoSpaceDN/>
              <w:adjustRightInd/>
              <w:spacing w:before="60" w:after="60"/>
              <w:jc w:val="center"/>
              <w:rPr>
                <w:rFonts w:eastAsia="Cambria" w:cs="Cambria"/>
                <w:b/>
                <w:color w:val="FFFFFF"/>
                <w:sz w:val="18"/>
                <w:szCs w:val="28"/>
              </w:rPr>
            </w:pPr>
            <w:r w:rsidRPr="00691AC3">
              <w:rPr>
                <w:rFonts w:eastAsia="Cambria" w:cs="Cambria"/>
                <w:b/>
                <w:color w:val="FFFFFF"/>
                <w:sz w:val="18"/>
                <w:szCs w:val="28"/>
              </w:rPr>
              <w:t>Functionality</w:t>
            </w:r>
          </w:p>
        </w:tc>
        <w:tc>
          <w:tcPr>
            <w:tcW w:w="2732" w:type="dxa"/>
            <w:shd w:val="clear" w:color="auto" w:fill="C4C4CD"/>
            <w:noWrap/>
          </w:tcPr>
          <w:p w14:paraId="635C793F" w14:textId="080AC34B" w:rsidR="004E600C" w:rsidRPr="00691AC3" w:rsidRDefault="004E600C" w:rsidP="002145BB">
            <w:pPr>
              <w:autoSpaceDE/>
              <w:autoSpaceDN/>
              <w:adjustRightInd/>
              <w:spacing w:before="60" w:after="60"/>
              <w:rPr>
                <w:rFonts w:eastAsia="Cambria" w:cs="Cambria"/>
                <w:sz w:val="18"/>
                <w:szCs w:val="28"/>
              </w:rPr>
            </w:pPr>
            <w:r w:rsidRPr="00691AC3">
              <w:rPr>
                <w:rFonts w:eastAsia="Cambria" w:cs="Cambria"/>
                <w:sz w:val="18"/>
                <w:szCs w:val="28"/>
              </w:rPr>
              <w:t xml:space="preserve">Government supports a central repository or virtual repository which enables access </w:t>
            </w:r>
            <w:r w:rsidR="00484B74" w:rsidRPr="00691AC3">
              <w:rPr>
                <w:rFonts w:eastAsia="Cambria" w:cs="Cambria"/>
                <w:sz w:val="18"/>
                <w:szCs w:val="28"/>
              </w:rPr>
              <w:t xml:space="preserve">to </w:t>
            </w:r>
            <w:r w:rsidR="001626C5" w:rsidRPr="00691AC3">
              <w:rPr>
                <w:rFonts w:eastAsia="Cambria" w:cs="Cambria"/>
                <w:sz w:val="18"/>
                <w:szCs w:val="28"/>
              </w:rPr>
              <w:t>author-submitted</w:t>
            </w:r>
            <w:r w:rsidRPr="00691AC3">
              <w:rPr>
                <w:rFonts w:eastAsia="Cambria" w:cs="Cambria"/>
                <w:sz w:val="18"/>
                <w:szCs w:val="28"/>
              </w:rPr>
              <w:t xml:space="preserve"> versions of academic journal articles</w:t>
            </w:r>
            <w:r w:rsidR="007C5F53">
              <w:rPr>
                <w:rFonts w:eastAsia="Cambria" w:cs="Cambria"/>
                <w:sz w:val="18"/>
                <w:szCs w:val="28"/>
              </w:rPr>
              <w:t>.</w:t>
            </w:r>
          </w:p>
        </w:tc>
        <w:tc>
          <w:tcPr>
            <w:tcW w:w="2730" w:type="dxa"/>
            <w:shd w:val="clear" w:color="auto" w:fill="C4C4CD"/>
            <w:noWrap/>
          </w:tcPr>
          <w:p w14:paraId="6DA450BB" w14:textId="1FF2C2EE" w:rsidR="004E600C" w:rsidRPr="00691AC3" w:rsidRDefault="004E600C" w:rsidP="002145BB">
            <w:pPr>
              <w:autoSpaceDE/>
              <w:autoSpaceDN/>
              <w:adjustRightInd/>
              <w:spacing w:before="60" w:after="60"/>
              <w:rPr>
                <w:rFonts w:eastAsia="Cambria" w:cs="Cambria"/>
                <w:sz w:val="18"/>
                <w:szCs w:val="28"/>
              </w:rPr>
            </w:pPr>
            <w:r w:rsidRPr="00691AC3">
              <w:rPr>
                <w:rFonts w:eastAsia="Cambria" w:cs="Cambria"/>
                <w:sz w:val="18"/>
                <w:szCs w:val="28"/>
              </w:rPr>
              <w:t xml:space="preserve">Relevant stakeholders form a </w:t>
            </w:r>
            <w:r w:rsidR="00580AB7" w:rsidRPr="00691AC3">
              <w:rPr>
                <w:rFonts w:eastAsia="Cambria" w:cs="Cambria"/>
                <w:sz w:val="18"/>
                <w:szCs w:val="28"/>
              </w:rPr>
              <w:t xml:space="preserve">central implementing </w:t>
            </w:r>
            <w:r w:rsidRPr="00691AC3">
              <w:rPr>
                <w:rFonts w:eastAsia="Cambria" w:cs="Cambria"/>
                <w:sz w:val="18"/>
                <w:szCs w:val="28"/>
              </w:rPr>
              <w:t>consortium to negotiate agreements with individual publishers</w:t>
            </w:r>
            <w:r w:rsidR="007C5F53">
              <w:rPr>
                <w:rFonts w:eastAsia="Cambria" w:cs="Cambria"/>
                <w:sz w:val="18"/>
                <w:szCs w:val="28"/>
              </w:rPr>
              <w:t>.</w:t>
            </w:r>
          </w:p>
        </w:tc>
        <w:tc>
          <w:tcPr>
            <w:tcW w:w="2730" w:type="dxa"/>
            <w:shd w:val="clear" w:color="auto" w:fill="C4C4CD"/>
            <w:noWrap/>
          </w:tcPr>
          <w:p w14:paraId="53BA16E2" w14:textId="3F2CDE28" w:rsidR="004E600C" w:rsidRPr="00691AC3" w:rsidRDefault="004E600C" w:rsidP="002145BB">
            <w:pPr>
              <w:autoSpaceDE/>
              <w:autoSpaceDN/>
              <w:adjustRightInd/>
              <w:spacing w:before="60" w:after="60"/>
              <w:rPr>
                <w:rFonts w:eastAsia="Cambria" w:cs="Cambria"/>
                <w:sz w:val="18"/>
                <w:szCs w:val="28"/>
              </w:rPr>
            </w:pPr>
            <w:r w:rsidRPr="00691AC3">
              <w:rPr>
                <w:rFonts w:eastAsia="Cambria" w:cs="Cambria"/>
                <w:sz w:val="18"/>
                <w:szCs w:val="28"/>
              </w:rPr>
              <w:t>Research funders mandate as a condition of funding, all research produced as a result must be published as open access</w:t>
            </w:r>
            <w:r w:rsidR="007C5F53">
              <w:rPr>
                <w:rFonts w:eastAsia="Cambria" w:cs="Cambria"/>
                <w:sz w:val="18"/>
                <w:szCs w:val="28"/>
              </w:rPr>
              <w:t>.</w:t>
            </w:r>
          </w:p>
        </w:tc>
      </w:tr>
      <w:tr w:rsidR="00342DF8" w:rsidRPr="00691AC3" w14:paraId="3E869CDE" w14:textId="77777777" w:rsidTr="00691AC3">
        <w:trPr>
          <w:gridBefore w:val="1"/>
          <w:wBefore w:w="140" w:type="dxa"/>
          <w:cantSplit/>
          <w:trHeight w:val="1446"/>
        </w:trPr>
        <w:tc>
          <w:tcPr>
            <w:tcW w:w="688" w:type="dxa"/>
            <w:shd w:val="clear" w:color="auto" w:fill="808080" w:themeFill="background1" w:themeFillShade="80"/>
            <w:textDirection w:val="btLr"/>
            <w:vAlign w:val="center"/>
          </w:tcPr>
          <w:p w14:paraId="7727C821" w14:textId="77777777" w:rsidR="004E600C" w:rsidRPr="00691AC3" w:rsidRDefault="004E600C" w:rsidP="002145BB">
            <w:pPr>
              <w:autoSpaceDE/>
              <w:autoSpaceDN/>
              <w:adjustRightInd/>
              <w:spacing w:before="60" w:after="60"/>
              <w:jc w:val="center"/>
              <w:rPr>
                <w:rFonts w:eastAsia="Cambria" w:cs="Cambria"/>
                <w:b/>
                <w:color w:val="FFFFFF"/>
                <w:sz w:val="18"/>
                <w:szCs w:val="28"/>
              </w:rPr>
            </w:pPr>
            <w:r w:rsidRPr="00691AC3">
              <w:rPr>
                <w:rFonts w:eastAsia="Cambria" w:cs="Cambria"/>
                <w:b/>
                <w:color w:val="FFFFFF"/>
                <w:sz w:val="18"/>
                <w:szCs w:val="28"/>
              </w:rPr>
              <w:t>Read access</w:t>
            </w:r>
          </w:p>
        </w:tc>
        <w:tc>
          <w:tcPr>
            <w:tcW w:w="2732" w:type="dxa"/>
            <w:shd w:val="clear" w:color="auto" w:fill="C4C4CD"/>
            <w:noWrap/>
          </w:tcPr>
          <w:p w14:paraId="4C358E34" w14:textId="37537920" w:rsidR="004E600C" w:rsidRPr="00691AC3" w:rsidRDefault="004E600C" w:rsidP="002145BB">
            <w:pPr>
              <w:autoSpaceDE/>
              <w:autoSpaceDN/>
              <w:adjustRightInd/>
              <w:spacing w:before="60" w:after="60"/>
              <w:rPr>
                <w:rFonts w:eastAsia="Cambria" w:cs="Cambria"/>
                <w:sz w:val="18"/>
                <w:szCs w:val="28"/>
              </w:rPr>
            </w:pPr>
            <w:r w:rsidRPr="00691AC3">
              <w:rPr>
                <w:rFonts w:eastAsia="Cambria" w:cs="Cambria"/>
                <w:sz w:val="18"/>
                <w:szCs w:val="28"/>
              </w:rPr>
              <w:t xml:space="preserve">All individuals can read and download </w:t>
            </w:r>
            <w:r w:rsidR="00AE03D2" w:rsidRPr="00691AC3">
              <w:rPr>
                <w:rFonts w:eastAsia="Cambria" w:cs="Cambria"/>
                <w:sz w:val="18"/>
                <w:szCs w:val="28"/>
              </w:rPr>
              <w:t xml:space="preserve">the </w:t>
            </w:r>
            <w:r w:rsidRPr="00691AC3">
              <w:rPr>
                <w:rFonts w:eastAsia="Cambria" w:cs="Cambria"/>
                <w:sz w:val="18"/>
                <w:szCs w:val="28"/>
              </w:rPr>
              <w:t>article</w:t>
            </w:r>
            <w:r w:rsidR="00AA6A6D" w:rsidRPr="00691AC3">
              <w:rPr>
                <w:rFonts w:eastAsia="Cambria" w:cs="Cambria"/>
                <w:sz w:val="18"/>
                <w:szCs w:val="28"/>
              </w:rPr>
              <w:t>s</w:t>
            </w:r>
            <w:r w:rsidRPr="00691AC3">
              <w:rPr>
                <w:rFonts w:eastAsia="Cambria" w:cs="Cambria"/>
                <w:sz w:val="18"/>
                <w:szCs w:val="28"/>
              </w:rPr>
              <w:t xml:space="preserve"> </w:t>
            </w:r>
            <w:r w:rsidR="005B3282" w:rsidRPr="00691AC3">
              <w:rPr>
                <w:rFonts w:eastAsia="Cambria" w:cs="Cambria"/>
                <w:sz w:val="18"/>
                <w:szCs w:val="28"/>
              </w:rPr>
              <w:t xml:space="preserve">archived </w:t>
            </w:r>
            <w:r w:rsidRPr="00691AC3">
              <w:rPr>
                <w:rFonts w:eastAsia="Cambria" w:cs="Cambria"/>
                <w:sz w:val="18"/>
                <w:szCs w:val="28"/>
              </w:rPr>
              <w:t xml:space="preserve">within </w:t>
            </w:r>
            <w:r w:rsidR="00DA06EA" w:rsidRPr="00691AC3">
              <w:rPr>
                <w:rFonts w:eastAsia="Cambria" w:cs="Cambria"/>
                <w:sz w:val="18"/>
                <w:szCs w:val="28"/>
              </w:rPr>
              <w:t>the</w:t>
            </w:r>
            <w:r w:rsidRPr="00691AC3">
              <w:rPr>
                <w:rFonts w:eastAsia="Cambria" w:cs="Cambria"/>
                <w:sz w:val="18"/>
                <w:szCs w:val="28"/>
              </w:rPr>
              <w:t xml:space="preserve"> repository</w:t>
            </w:r>
            <w:r w:rsidR="00BD1123" w:rsidRPr="00691AC3">
              <w:rPr>
                <w:rFonts w:eastAsia="Cambria" w:cs="Cambria"/>
                <w:sz w:val="18"/>
                <w:szCs w:val="28"/>
              </w:rPr>
              <w:t xml:space="preserve">. </w:t>
            </w:r>
            <w:r w:rsidR="00564C47" w:rsidRPr="00691AC3">
              <w:rPr>
                <w:rFonts w:eastAsia="Cambria" w:cs="Cambria"/>
                <w:sz w:val="18"/>
                <w:szCs w:val="28"/>
              </w:rPr>
              <w:t>Read access is limited to articles deposited within the repository</w:t>
            </w:r>
            <w:r w:rsidR="007C5F53">
              <w:rPr>
                <w:rFonts w:eastAsia="Cambria" w:cs="Cambria"/>
                <w:sz w:val="18"/>
                <w:szCs w:val="28"/>
              </w:rPr>
              <w:t>.</w:t>
            </w:r>
          </w:p>
          <w:p w14:paraId="3D9D303D" w14:textId="77777777" w:rsidR="004E600C" w:rsidRPr="00691AC3" w:rsidRDefault="004E600C" w:rsidP="002145BB">
            <w:pPr>
              <w:autoSpaceDE/>
              <w:autoSpaceDN/>
              <w:adjustRightInd/>
              <w:spacing w:before="60" w:after="60"/>
              <w:rPr>
                <w:rFonts w:eastAsia="Cambria" w:cs="Cambria"/>
                <w:sz w:val="18"/>
                <w:szCs w:val="28"/>
              </w:rPr>
            </w:pPr>
          </w:p>
        </w:tc>
        <w:tc>
          <w:tcPr>
            <w:tcW w:w="2730" w:type="dxa"/>
            <w:shd w:val="clear" w:color="auto" w:fill="C4C4CD"/>
            <w:noWrap/>
          </w:tcPr>
          <w:p w14:paraId="52507BB6" w14:textId="11912153" w:rsidR="004E600C" w:rsidRPr="00691AC3" w:rsidRDefault="004E600C" w:rsidP="002145BB">
            <w:pPr>
              <w:autoSpaceDE/>
              <w:autoSpaceDN/>
              <w:adjustRightInd/>
              <w:spacing w:before="60" w:after="60"/>
              <w:rPr>
                <w:rFonts w:eastAsia="Cambria" w:cs="Cambria"/>
                <w:sz w:val="18"/>
                <w:szCs w:val="28"/>
              </w:rPr>
            </w:pPr>
            <w:r w:rsidRPr="00691AC3">
              <w:rPr>
                <w:rFonts w:eastAsia="Cambria" w:cs="Cambria"/>
                <w:sz w:val="18"/>
                <w:szCs w:val="28"/>
              </w:rPr>
              <w:t>C</w:t>
            </w:r>
            <w:r w:rsidR="00DB2455">
              <w:rPr>
                <w:rFonts w:eastAsia="Cambria" w:cs="Cambria"/>
                <w:sz w:val="18"/>
                <w:szCs w:val="28"/>
              </w:rPr>
              <w:t>entral implementation body</w:t>
            </w:r>
            <w:r w:rsidRPr="00691AC3">
              <w:rPr>
                <w:rFonts w:eastAsia="Cambria" w:cs="Cambria"/>
                <w:sz w:val="18"/>
                <w:szCs w:val="28"/>
              </w:rPr>
              <w:t xml:space="preserve"> provides read access to paywalled journal articles for </w:t>
            </w:r>
            <w:r w:rsidR="00806E9A" w:rsidRPr="00691AC3">
              <w:rPr>
                <w:rFonts w:eastAsia="Cambria" w:cs="Cambria"/>
                <w:sz w:val="18"/>
                <w:szCs w:val="28"/>
              </w:rPr>
              <w:t>researchers</w:t>
            </w:r>
            <w:r w:rsidRPr="00691AC3">
              <w:rPr>
                <w:rFonts w:eastAsia="Cambria" w:cs="Cambria"/>
                <w:sz w:val="18"/>
                <w:szCs w:val="28"/>
              </w:rPr>
              <w:t xml:space="preserve"> and affiliated organisations</w:t>
            </w:r>
            <w:r w:rsidR="00B64A1A">
              <w:rPr>
                <w:rFonts w:eastAsia="Cambria" w:cs="Cambria"/>
                <w:sz w:val="18"/>
                <w:szCs w:val="28"/>
              </w:rPr>
              <w:t>.</w:t>
            </w:r>
          </w:p>
        </w:tc>
        <w:tc>
          <w:tcPr>
            <w:tcW w:w="2730" w:type="dxa"/>
            <w:shd w:val="clear" w:color="auto" w:fill="C4C4CD"/>
            <w:noWrap/>
          </w:tcPr>
          <w:p w14:paraId="74A6D001" w14:textId="7A661A5B" w:rsidR="004E600C" w:rsidRPr="00691AC3" w:rsidRDefault="0015719B" w:rsidP="002145BB">
            <w:pPr>
              <w:autoSpaceDE/>
              <w:autoSpaceDN/>
              <w:adjustRightInd/>
              <w:spacing w:before="60" w:after="60"/>
              <w:rPr>
                <w:rFonts w:eastAsia="Cambria" w:cs="Cambria"/>
                <w:sz w:val="18"/>
                <w:szCs w:val="28"/>
              </w:rPr>
            </w:pPr>
            <w:r>
              <w:rPr>
                <w:rFonts w:eastAsia="Cambria" w:cs="Cambria"/>
                <w:sz w:val="18"/>
                <w:szCs w:val="28"/>
              </w:rPr>
              <w:t xml:space="preserve">Provides read access to </w:t>
            </w:r>
            <w:r w:rsidR="007C5F53">
              <w:rPr>
                <w:rFonts w:eastAsia="Cambria" w:cs="Cambria"/>
                <w:sz w:val="18"/>
                <w:szCs w:val="28"/>
              </w:rPr>
              <w:t>Australian publicly funded research</w:t>
            </w:r>
            <w:r w:rsidR="00DB2455">
              <w:rPr>
                <w:rFonts w:eastAsia="Cambria" w:cs="Cambria"/>
                <w:sz w:val="18"/>
                <w:szCs w:val="28"/>
              </w:rPr>
              <w:t>.</w:t>
            </w:r>
            <w:r w:rsidR="007C5F53">
              <w:rPr>
                <w:rFonts w:eastAsia="Cambria" w:cs="Cambria"/>
                <w:sz w:val="18"/>
                <w:szCs w:val="28"/>
              </w:rPr>
              <w:t xml:space="preserve"> Does not facilitate access to paywalled non-Australian journal articles.</w:t>
            </w:r>
          </w:p>
        </w:tc>
      </w:tr>
      <w:tr w:rsidR="00342DF8" w:rsidRPr="00691AC3" w14:paraId="14AFD056" w14:textId="77777777" w:rsidTr="00691AC3">
        <w:trPr>
          <w:gridBefore w:val="1"/>
          <w:wBefore w:w="140" w:type="dxa"/>
          <w:cantSplit/>
          <w:trHeight w:val="1446"/>
        </w:trPr>
        <w:tc>
          <w:tcPr>
            <w:tcW w:w="688" w:type="dxa"/>
            <w:shd w:val="clear" w:color="auto" w:fill="808080" w:themeFill="background1" w:themeFillShade="80"/>
            <w:textDirection w:val="btLr"/>
            <w:vAlign w:val="center"/>
          </w:tcPr>
          <w:p w14:paraId="4D3CB6B5" w14:textId="77777777" w:rsidR="004E600C" w:rsidRPr="00691AC3" w:rsidRDefault="004E600C" w:rsidP="002145BB">
            <w:pPr>
              <w:autoSpaceDE/>
              <w:autoSpaceDN/>
              <w:adjustRightInd/>
              <w:spacing w:before="60" w:after="60"/>
              <w:jc w:val="center"/>
              <w:rPr>
                <w:rFonts w:eastAsia="Cambria" w:cs="Cambria"/>
                <w:b/>
                <w:color w:val="FFFFFF"/>
                <w:sz w:val="18"/>
                <w:szCs w:val="28"/>
              </w:rPr>
            </w:pPr>
            <w:r w:rsidRPr="00691AC3">
              <w:rPr>
                <w:rFonts w:eastAsia="Cambria" w:cs="Cambria"/>
                <w:b/>
                <w:color w:val="FFFFFF"/>
                <w:sz w:val="18"/>
                <w:szCs w:val="28"/>
              </w:rPr>
              <w:t>APC funding</w:t>
            </w:r>
          </w:p>
        </w:tc>
        <w:tc>
          <w:tcPr>
            <w:tcW w:w="2732" w:type="dxa"/>
            <w:shd w:val="clear" w:color="auto" w:fill="C4C4CD"/>
            <w:noWrap/>
          </w:tcPr>
          <w:p w14:paraId="2D3A113A" w14:textId="21BCDD43" w:rsidR="004E600C" w:rsidRPr="00691AC3" w:rsidRDefault="00606446" w:rsidP="002145BB">
            <w:pPr>
              <w:autoSpaceDE/>
              <w:autoSpaceDN/>
              <w:adjustRightInd/>
              <w:spacing w:before="60" w:after="60"/>
              <w:rPr>
                <w:rFonts w:eastAsia="Cambria" w:cs="Cambria"/>
                <w:sz w:val="18"/>
                <w:szCs w:val="28"/>
              </w:rPr>
            </w:pPr>
            <w:r w:rsidRPr="00691AC3">
              <w:rPr>
                <w:rFonts w:eastAsia="Cambria" w:cs="Cambria"/>
                <w:sz w:val="18"/>
                <w:szCs w:val="28"/>
              </w:rPr>
              <w:t>Not applicable</w:t>
            </w:r>
          </w:p>
        </w:tc>
        <w:tc>
          <w:tcPr>
            <w:tcW w:w="2730" w:type="dxa"/>
            <w:shd w:val="clear" w:color="auto" w:fill="C4C4CD"/>
            <w:noWrap/>
          </w:tcPr>
          <w:p w14:paraId="27B39EE3" w14:textId="63F4B855" w:rsidR="004E600C" w:rsidRPr="00691AC3" w:rsidRDefault="00B64A1A" w:rsidP="002145BB">
            <w:pPr>
              <w:autoSpaceDE/>
              <w:autoSpaceDN/>
              <w:adjustRightInd/>
              <w:spacing w:before="60" w:after="60"/>
              <w:rPr>
                <w:rFonts w:eastAsia="Cambria" w:cs="Cambria"/>
                <w:sz w:val="18"/>
                <w:szCs w:val="28"/>
              </w:rPr>
            </w:pPr>
            <w:r>
              <w:rPr>
                <w:rFonts w:eastAsia="Cambria" w:cs="Cambria"/>
                <w:sz w:val="18"/>
                <w:szCs w:val="28"/>
              </w:rPr>
              <w:t xml:space="preserve">Central implementation body covers all </w:t>
            </w:r>
            <w:r w:rsidR="007F287C">
              <w:rPr>
                <w:rFonts w:eastAsia="Cambria" w:cs="Cambria"/>
                <w:sz w:val="18"/>
                <w:szCs w:val="28"/>
              </w:rPr>
              <w:t>costs (APCs) associated with open access publishing for Australian-led research</w:t>
            </w:r>
          </w:p>
        </w:tc>
        <w:tc>
          <w:tcPr>
            <w:tcW w:w="2730" w:type="dxa"/>
            <w:shd w:val="clear" w:color="auto" w:fill="C4C4CD"/>
            <w:noWrap/>
          </w:tcPr>
          <w:p w14:paraId="30E32283" w14:textId="68DC4278" w:rsidR="004E600C" w:rsidRPr="00691AC3" w:rsidRDefault="00D64624" w:rsidP="002145BB">
            <w:pPr>
              <w:autoSpaceDE/>
              <w:autoSpaceDN/>
              <w:adjustRightInd/>
              <w:spacing w:before="60" w:after="60"/>
              <w:rPr>
                <w:rFonts w:eastAsia="Cambria" w:cs="Cambria"/>
                <w:sz w:val="18"/>
                <w:szCs w:val="28"/>
              </w:rPr>
            </w:pPr>
            <w:r w:rsidRPr="00691AC3">
              <w:rPr>
                <w:rFonts w:eastAsia="Cambria" w:cs="Cambria"/>
                <w:sz w:val="18"/>
                <w:szCs w:val="28"/>
              </w:rPr>
              <w:t xml:space="preserve">In some cases, </w:t>
            </w:r>
            <w:r w:rsidR="004F1FF7" w:rsidRPr="00691AC3">
              <w:rPr>
                <w:rFonts w:eastAsia="Cambria" w:cs="Cambria"/>
                <w:sz w:val="18"/>
                <w:szCs w:val="28"/>
              </w:rPr>
              <w:t xml:space="preserve">APCs may be paid by </w:t>
            </w:r>
            <w:r w:rsidR="00D24117" w:rsidRPr="00691AC3">
              <w:rPr>
                <w:rFonts w:eastAsia="Cambria" w:cs="Cambria"/>
                <w:sz w:val="18"/>
                <w:szCs w:val="28"/>
              </w:rPr>
              <w:t>institutional or</w:t>
            </w:r>
            <w:r w:rsidR="004F1FF7" w:rsidRPr="00691AC3">
              <w:rPr>
                <w:rFonts w:eastAsia="Cambria" w:cs="Cambria"/>
                <w:sz w:val="18"/>
                <w:szCs w:val="28"/>
              </w:rPr>
              <w:t xml:space="preserve"> grant funding</w:t>
            </w:r>
          </w:p>
        </w:tc>
      </w:tr>
      <w:tr w:rsidR="00342DF8" w:rsidRPr="00691AC3" w14:paraId="687B8E33" w14:textId="77777777" w:rsidTr="00691AC3">
        <w:trPr>
          <w:gridBefore w:val="1"/>
          <w:wBefore w:w="140" w:type="dxa"/>
          <w:cantSplit/>
          <w:trHeight w:val="1446"/>
        </w:trPr>
        <w:tc>
          <w:tcPr>
            <w:tcW w:w="688" w:type="dxa"/>
            <w:shd w:val="clear" w:color="auto" w:fill="808080" w:themeFill="background1" w:themeFillShade="80"/>
            <w:textDirection w:val="btLr"/>
            <w:vAlign w:val="center"/>
          </w:tcPr>
          <w:p w14:paraId="37D8376E" w14:textId="1D8D410A" w:rsidR="004E600C" w:rsidRPr="00691AC3" w:rsidRDefault="004E600C" w:rsidP="002145BB">
            <w:pPr>
              <w:autoSpaceDE/>
              <w:autoSpaceDN/>
              <w:adjustRightInd/>
              <w:spacing w:before="60" w:after="60"/>
              <w:jc w:val="center"/>
              <w:rPr>
                <w:rFonts w:eastAsia="Cambria" w:cs="Cambria"/>
                <w:b/>
                <w:color w:val="FFFFFF"/>
                <w:sz w:val="18"/>
                <w:szCs w:val="28"/>
              </w:rPr>
            </w:pPr>
            <w:r w:rsidRPr="00691AC3">
              <w:rPr>
                <w:rFonts w:eastAsia="Cambria" w:cs="Cambria"/>
                <w:b/>
                <w:color w:val="FFFFFF"/>
                <w:sz w:val="18"/>
                <w:szCs w:val="28"/>
              </w:rPr>
              <w:t xml:space="preserve">Open </w:t>
            </w:r>
            <w:r w:rsidR="00B14164">
              <w:rPr>
                <w:rFonts w:eastAsia="Cambria" w:cs="Cambria"/>
                <w:b/>
                <w:color w:val="FFFFFF"/>
                <w:sz w:val="18"/>
                <w:szCs w:val="28"/>
              </w:rPr>
              <w:t>a</w:t>
            </w:r>
            <w:r w:rsidRPr="00691AC3">
              <w:rPr>
                <w:rFonts w:eastAsia="Cambria" w:cs="Cambria"/>
                <w:b/>
                <w:color w:val="FFFFFF"/>
                <w:sz w:val="18"/>
                <w:szCs w:val="28"/>
              </w:rPr>
              <w:t>ccess publishing</w:t>
            </w:r>
          </w:p>
        </w:tc>
        <w:tc>
          <w:tcPr>
            <w:tcW w:w="2732" w:type="dxa"/>
            <w:shd w:val="clear" w:color="auto" w:fill="C4C4CD"/>
            <w:noWrap/>
          </w:tcPr>
          <w:p w14:paraId="7CD335AC" w14:textId="1F416F89" w:rsidR="004E600C" w:rsidRPr="00691AC3" w:rsidRDefault="00606446" w:rsidP="002145BB">
            <w:pPr>
              <w:autoSpaceDE/>
              <w:autoSpaceDN/>
              <w:adjustRightInd/>
              <w:spacing w:before="60" w:after="60"/>
              <w:rPr>
                <w:rFonts w:eastAsia="Cambria" w:cs="Cambria"/>
                <w:sz w:val="18"/>
                <w:szCs w:val="28"/>
              </w:rPr>
            </w:pPr>
            <w:r w:rsidRPr="00691AC3">
              <w:rPr>
                <w:rFonts w:eastAsia="Cambria" w:cs="Cambria"/>
                <w:sz w:val="18"/>
                <w:szCs w:val="28"/>
              </w:rPr>
              <w:t>Green open access</w:t>
            </w:r>
          </w:p>
        </w:tc>
        <w:tc>
          <w:tcPr>
            <w:tcW w:w="2730" w:type="dxa"/>
            <w:shd w:val="clear" w:color="auto" w:fill="C4C4CD"/>
            <w:noWrap/>
          </w:tcPr>
          <w:p w14:paraId="4DBF08F6" w14:textId="0AF84276" w:rsidR="004E600C" w:rsidRPr="00691AC3" w:rsidRDefault="004E600C" w:rsidP="002145BB">
            <w:pPr>
              <w:autoSpaceDE/>
              <w:autoSpaceDN/>
              <w:adjustRightInd/>
              <w:spacing w:before="60" w:after="60"/>
              <w:rPr>
                <w:rFonts w:eastAsia="Cambria" w:cs="Cambria"/>
                <w:sz w:val="18"/>
                <w:szCs w:val="28"/>
              </w:rPr>
            </w:pPr>
            <w:r w:rsidRPr="00691AC3">
              <w:rPr>
                <w:rFonts w:eastAsia="Cambria" w:cs="Cambria"/>
                <w:sz w:val="18"/>
                <w:szCs w:val="28"/>
              </w:rPr>
              <w:t xml:space="preserve">Supports </w:t>
            </w:r>
            <w:r w:rsidR="003E398A" w:rsidRPr="00691AC3">
              <w:rPr>
                <w:rFonts w:eastAsia="Cambria" w:cs="Cambria"/>
                <w:sz w:val="18"/>
                <w:szCs w:val="28"/>
              </w:rPr>
              <w:t>g</w:t>
            </w:r>
            <w:r w:rsidRPr="00691AC3">
              <w:rPr>
                <w:rFonts w:eastAsia="Cambria" w:cs="Cambria"/>
                <w:sz w:val="18"/>
                <w:szCs w:val="28"/>
              </w:rPr>
              <w:t>old</w:t>
            </w:r>
            <w:r w:rsidR="00082ABC">
              <w:rPr>
                <w:rFonts w:eastAsia="Cambria" w:cs="Cambria"/>
                <w:sz w:val="18"/>
                <w:szCs w:val="28"/>
              </w:rPr>
              <w:t xml:space="preserve">, </w:t>
            </w:r>
            <w:r w:rsidR="003E398A" w:rsidRPr="00691AC3">
              <w:rPr>
                <w:rFonts w:eastAsia="Cambria" w:cs="Cambria"/>
                <w:sz w:val="18"/>
                <w:szCs w:val="28"/>
              </w:rPr>
              <w:t>h</w:t>
            </w:r>
            <w:r w:rsidRPr="00691AC3">
              <w:rPr>
                <w:rFonts w:eastAsia="Cambria" w:cs="Cambria"/>
                <w:sz w:val="18"/>
                <w:szCs w:val="28"/>
              </w:rPr>
              <w:t>ybrid</w:t>
            </w:r>
            <w:r w:rsidR="00222D4A" w:rsidRPr="00691AC3">
              <w:rPr>
                <w:rFonts w:eastAsia="Cambria" w:cs="Cambria"/>
                <w:sz w:val="18"/>
                <w:szCs w:val="28"/>
              </w:rPr>
              <w:t xml:space="preserve"> </w:t>
            </w:r>
            <w:r w:rsidR="00082ABC">
              <w:rPr>
                <w:rFonts w:eastAsia="Cambria" w:cs="Cambria"/>
                <w:sz w:val="18"/>
                <w:szCs w:val="28"/>
              </w:rPr>
              <w:t>and platinum</w:t>
            </w:r>
            <w:r w:rsidR="00222D4A" w:rsidRPr="00691AC3">
              <w:rPr>
                <w:rFonts w:eastAsia="Cambria" w:cs="Cambria"/>
                <w:sz w:val="18"/>
                <w:szCs w:val="28"/>
              </w:rPr>
              <w:t xml:space="preserve"> open access publishing</w:t>
            </w:r>
          </w:p>
        </w:tc>
        <w:tc>
          <w:tcPr>
            <w:tcW w:w="2730" w:type="dxa"/>
            <w:shd w:val="clear" w:color="auto" w:fill="C4C4CD"/>
            <w:noWrap/>
          </w:tcPr>
          <w:p w14:paraId="34C79A69" w14:textId="38DBF379" w:rsidR="004E600C" w:rsidRPr="00691AC3" w:rsidRDefault="004E600C" w:rsidP="002145BB">
            <w:pPr>
              <w:autoSpaceDE/>
              <w:autoSpaceDN/>
              <w:adjustRightInd/>
              <w:spacing w:before="60" w:after="60"/>
              <w:rPr>
                <w:rFonts w:eastAsia="Cambria" w:cs="Cambria"/>
                <w:sz w:val="18"/>
                <w:szCs w:val="28"/>
              </w:rPr>
            </w:pPr>
            <w:r w:rsidRPr="00691AC3">
              <w:rPr>
                <w:rFonts w:eastAsia="Cambria" w:cs="Cambria"/>
                <w:sz w:val="18"/>
                <w:szCs w:val="28"/>
              </w:rPr>
              <w:t xml:space="preserve">Supports </w:t>
            </w:r>
            <w:r w:rsidR="00B11C17">
              <w:rPr>
                <w:rFonts w:eastAsia="Cambria" w:cs="Cambria"/>
                <w:sz w:val="18"/>
                <w:szCs w:val="28"/>
              </w:rPr>
              <w:t>all routes for</w:t>
            </w:r>
            <w:r w:rsidRPr="00691AC3">
              <w:rPr>
                <w:rFonts w:eastAsia="Cambria" w:cs="Cambria"/>
                <w:sz w:val="18"/>
                <w:szCs w:val="28"/>
              </w:rPr>
              <w:t xml:space="preserve"> open access publishing</w:t>
            </w:r>
          </w:p>
        </w:tc>
      </w:tr>
      <w:tr w:rsidR="00342DF8" w:rsidRPr="00691AC3" w14:paraId="32059A8A" w14:textId="77777777" w:rsidTr="00691AC3">
        <w:trPr>
          <w:gridBefore w:val="1"/>
          <w:wBefore w:w="140" w:type="dxa"/>
          <w:cantSplit/>
          <w:trHeight w:val="1446"/>
        </w:trPr>
        <w:tc>
          <w:tcPr>
            <w:tcW w:w="688" w:type="dxa"/>
            <w:shd w:val="clear" w:color="auto" w:fill="808080" w:themeFill="background1" w:themeFillShade="80"/>
            <w:textDirection w:val="btLr"/>
            <w:vAlign w:val="center"/>
          </w:tcPr>
          <w:p w14:paraId="670B357C" w14:textId="77777777" w:rsidR="004E600C" w:rsidRPr="00691AC3" w:rsidRDefault="004E600C" w:rsidP="002145BB">
            <w:pPr>
              <w:autoSpaceDE/>
              <w:autoSpaceDN/>
              <w:adjustRightInd/>
              <w:spacing w:before="60" w:after="60"/>
              <w:ind w:left="113" w:right="113"/>
              <w:jc w:val="center"/>
              <w:rPr>
                <w:rFonts w:eastAsia="Cambria" w:cs="Cambria"/>
                <w:b/>
                <w:color w:val="FFFFFF"/>
                <w:sz w:val="18"/>
                <w:szCs w:val="28"/>
              </w:rPr>
            </w:pPr>
            <w:r w:rsidRPr="00691AC3">
              <w:rPr>
                <w:rFonts w:eastAsia="Cambria" w:cs="Cambria"/>
                <w:b/>
                <w:color w:val="FFFFFF"/>
                <w:sz w:val="18"/>
                <w:szCs w:val="28"/>
              </w:rPr>
              <w:t>Examples</w:t>
            </w:r>
          </w:p>
        </w:tc>
        <w:tc>
          <w:tcPr>
            <w:tcW w:w="2732" w:type="dxa"/>
            <w:shd w:val="clear" w:color="auto" w:fill="C4C4CD"/>
            <w:noWrap/>
          </w:tcPr>
          <w:p w14:paraId="340FB2A9" w14:textId="2E23FF66" w:rsidR="004E600C" w:rsidRPr="00691AC3" w:rsidRDefault="004E600C" w:rsidP="002145BB">
            <w:pPr>
              <w:autoSpaceDE/>
              <w:autoSpaceDN/>
              <w:adjustRightInd/>
              <w:spacing w:before="60" w:after="60"/>
              <w:rPr>
                <w:rFonts w:eastAsia="Cambria" w:cs="Cambria"/>
                <w:sz w:val="18"/>
                <w:szCs w:val="28"/>
              </w:rPr>
            </w:pPr>
            <w:r w:rsidRPr="00691AC3">
              <w:rPr>
                <w:rFonts w:eastAsia="Cambria" w:cs="Cambria"/>
                <w:sz w:val="18"/>
                <w:szCs w:val="28"/>
              </w:rPr>
              <w:t>Core UK</w:t>
            </w:r>
          </w:p>
        </w:tc>
        <w:tc>
          <w:tcPr>
            <w:tcW w:w="2730" w:type="dxa"/>
            <w:shd w:val="clear" w:color="auto" w:fill="C4C4CD"/>
            <w:noWrap/>
          </w:tcPr>
          <w:p w14:paraId="5945C45A" w14:textId="681C87F5" w:rsidR="004E600C" w:rsidRPr="00691AC3" w:rsidRDefault="004E600C" w:rsidP="002145BB">
            <w:pPr>
              <w:autoSpaceDE/>
              <w:autoSpaceDN/>
              <w:adjustRightInd/>
              <w:spacing w:before="60" w:after="60"/>
              <w:rPr>
                <w:rFonts w:eastAsia="Cambria" w:cs="Cambria"/>
                <w:sz w:val="18"/>
                <w:szCs w:val="28"/>
              </w:rPr>
            </w:pPr>
            <w:r w:rsidRPr="00691AC3">
              <w:rPr>
                <w:rFonts w:eastAsia="Cambria" w:cs="Cambria"/>
                <w:sz w:val="18"/>
                <w:szCs w:val="28"/>
              </w:rPr>
              <w:t>UK, Sweden, Germany, Norway, Finland, Austria</w:t>
            </w:r>
            <w:r w:rsidR="002E4982" w:rsidRPr="00691AC3">
              <w:rPr>
                <w:rFonts w:eastAsia="Cambria" w:cs="Cambria"/>
                <w:sz w:val="18"/>
                <w:szCs w:val="28"/>
              </w:rPr>
              <w:t xml:space="preserve"> (note these examples only provide read access to pay-walled articles for affiliated organisations)</w:t>
            </w:r>
          </w:p>
        </w:tc>
        <w:tc>
          <w:tcPr>
            <w:tcW w:w="2730" w:type="dxa"/>
            <w:shd w:val="clear" w:color="auto" w:fill="C4C4CD"/>
            <w:noWrap/>
          </w:tcPr>
          <w:p w14:paraId="648A8B0F" w14:textId="37C06EBB" w:rsidR="004E600C" w:rsidRPr="00691AC3" w:rsidRDefault="004E600C" w:rsidP="002145BB">
            <w:pPr>
              <w:autoSpaceDE/>
              <w:autoSpaceDN/>
              <w:adjustRightInd/>
              <w:spacing w:before="60" w:after="60"/>
              <w:rPr>
                <w:rFonts w:eastAsia="Cambria" w:cs="Cambria"/>
                <w:sz w:val="18"/>
                <w:szCs w:val="28"/>
              </w:rPr>
            </w:pPr>
            <w:r w:rsidRPr="00691AC3">
              <w:rPr>
                <w:rFonts w:eastAsia="Cambria" w:cs="Cambria"/>
                <w:sz w:val="18"/>
                <w:szCs w:val="28"/>
              </w:rPr>
              <w:t>Plan S, National Health and Medical Research Council, Australian Research Council</w:t>
            </w:r>
          </w:p>
        </w:tc>
      </w:tr>
    </w:tbl>
    <w:p w14:paraId="1C065CAD" w14:textId="77777777" w:rsidR="004E600C" w:rsidRDefault="004E600C" w:rsidP="00A577AC">
      <w:pPr>
        <w:pStyle w:val="EYBodytextwithparaspace"/>
      </w:pPr>
    </w:p>
    <w:p w14:paraId="129EEF08" w14:textId="0B3EFBA8" w:rsidR="004E600C" w:rsidRDefault="000A23FF" w:rsidP="00C661DA">
      <w:pPr>
        <w:pStyle w:val="EYBodytextwithoutparaspace"/>
      </w:pPr>
      <w:r>
        <w:t xml:space="preserve">Under one national approach, each of these models could be </w:t>
      </w:r>
      <w:r w:rsidR="001A17C0">
        <w:t xml:space="preserve">implemented in parallel. </w:t>
      </w:r>
      <w:r w:rsidR="00A135E4">
        <w:t>This briefing paper explores</w:t>
      </w:r>
      <w:r w:rsidR="004E600C">
        <w:t xml:space="preserve"> and assess each of these options through a Multi</w:t>
      </w:r>
      <w:r w:rsidR="008A78F3">
        <w:t>-</w:t>
      </w:r>
      <w:r w:rsidR="004E600C">
        <w:t>criteria Assessment (MCA) in Appendix</w:t>
      </w:r>
      <w:r w:rsidR="00BF539E">
        <w:t> </w:t>
      </w:r>
      <w:r w:rsidR="00E429D0">
        <w:t>A</w:t>
      </w:r>
      <w:r w:rsidR="00A135E4">
        <w:t xml:space="preserve"> to determine the optimal model for Australia</w:t>
      </w:r>
      <w:r w:rsidR="00DD1143">
        <w:t>.</w:t>
      </w:r>
    </w:p>
    <w:p w14:paraId="174C1CCD" w14:textId="77777777" w:rsidR="00BF539E" w:rsidRPr="00677D56" w:rsidRDefault="00BF539E" w:rsidP="00BF539E">
      <w:pPr>
        <w:pStyle w:val="EYHeading2"/>
      </w:pPr>
      <w:bookmarkStart w:id="27" w:name="_Toc115717081"/>
      <w:r>
        <w:t>Governing principles for a scheme</w:t>
      </w:r>
      <w:bookmarkEnd w:id="27"/>
    </w:p>
    <w:p w14:paraId="5DF9A2BD" w14:textId="470EED62" w:rsidR="00BF539E" w:rsidRDefault="00BF539E" w:rsidP="00004F10">
      <w:pPr>
        <w:pStyle w:val="EYBodytextwithoutparaspace"/>
      </w:pPr>
      <w:r w:rsidRPr="005F0588">
        <w:t>Australia’s Chief Scientist</w:t>
      </w:r>
      <w:r w:rsidRPr="000F4B05">
        <w:t xml:space="preserve"> is championing one nationally coordinated approach towards open access</w:t>
      </w:r>
      <w:r>
        <w:t xml:space="preserve"> called the ‘open access scheme’</w:t>
      </w:r>
      <w:r w:rsidRPr="000F4B05">
        <w:t xml:space="preserve">. </w:t>
      </w:r>
      <w:r w:rsidR="00430F20" w:rsidRPr="00B81710">
        <w:t>Under a national scheme,</w:t>
      </w:r>
      <w:r w:rsidRPr="00B81710">
        <w:t xml:space="preserve"> individuals residing in Australia </w:t>
      </w:r>
      <w:r w:rsidR="00430F20" w:rsidRPr="00B81710">
        <w:t xml:space="preserve">would be able </w:t>
      </w:r>
      <w:r w:rsidRPr="00B81710">
        <w:t xml:space="preserve">to freely access all peer-reviewed academic journal articles and </w:t>
      </w:r>
      <w:r w:rsidR="00530EEF">
        <w:t>encourage</w:t>
      </w:r>
      <w:r w:rsidRPr="00B81710">
        <w:t xml:space="preserve"> Australian-led journal articles </w:t>
      </w:r>
      <w:r w:rsidR="00530EEF">
        <w:t>to</w:t>
      </w:r>
      <w:r w:rsidRPr="00B81710">
        <w:t xml:space="preserve"> be published </w:t>
      </w:r>
      <w:r w:rsidR="00835F72" w:rsidRPr="00B81710">
        <w:t xml:space="preserve">as </w:t>
      </w:r>
      <w:r w:rsidRPr="00B81710">
        <w:t>open access.</w:t>
      </w:r>
    </w:p>
    <w:p w14:paraId="4CE50453" w14:textId="29EA81B4" w:rsidR="00BF539E" w:rsidRDefault="00BF539E" w:rsidP="00004F10">
      <w:pPr>
        <w:pStyle w:val="EYBodytextwithoutparaspace"/>
      </w:pPr>
      <w:r>
        <w:t xml:space="preserve">To this end, </w:t>
      </w:r>
      <w:r w:rsidR="00B81710">
        <w:t>the following principles have been</w:t>
      </w:r>
      <w:r>
        <w:t xml:space="preserve"> developed to guide delivery of the scheme</w:t>
      </w:r>
      <w:r w:rsidR="00816217">
        <w:t>:</w:t>
      </w:r>
    </w:p>
    <w:p w14:paraId="08E3D1ED" w14:textId="77777777" w:rsidR="00BF539E" w:rsidRPr="00EE69D7" w:rsidRDefault="00BF539E" w:rsidP="00B81710">
      <w:pPr>
        <w:pStyle w:val="EYBodytextwithparaspace"/>
        <w:numPr>
          <w:ilvl w:val="0"/>
          <w:numId w:val="14"/>
        </w:numPr>
        <w:ind w:left="360"/>
      </w:pPr>
      <w:r w:rsidRPr="00EE69D7">
        <w:t>Use, and increase benefits from, Australia’s existing expenditure on academic subscriptions and publishing.</w:t>
      </w:r>
    </w:p>
    <w:p w14:paraId="26F9288C" w14:textId="77777777" w:rsidR="00BF539E" w:rsidRPr="00EE69D7" w:rsidRDefault="00BF539E" w:rsidP="00B81710">
      <w:pPr>
        <w:pStyle w:val="EYBodytextwithparaspace"/>
        <w:numPr>
          <w:ilvl w:val="0"/>
          <w:numId w:val="14"/>
        </w:numPr>
        <w:ind w:left="360"/>
      </w:pPr>
      <w:r w:rsidRPr="00EE69D7">
        <w:t>Allow people residing in Australia to have read access to all peer-reviewed journal articles from the date of publication.</w:t>
      </w:r>
    </w:p>
    <w:p w14:paraId="3F954638" w14:textId="77777777" w:rsidR="00BF539E" w:rsidRPr="00EE69D7" w:rsidRDefault="00BF539E" w:rsidP="00B81710">
      <w:pPr>
        <w:pStyle w:val="EYBodytextwithparaspace"/>
        <w:numPr>
          <w:ilvl w:val="0"/>
          <w:numId w:val="14"/>
        </w:numPr>
        <w:ind w:left="360"/>
      </w:pPr>
      <w:r w:rsidRPr="00EE69D7">
        <w:lastRenderedPageBreak/>
        <w:t>Ensure Australian</w:t>
      </w:r>
      <w:r>
        <w:t>-led</w:t>
      </w:r>
      <w:r w:rsidRPr="00EE69D7">
        <w:t xml:space="preserve"> peer</w:t>
      </w:r>
      <w:r>
        <w:t>-</w:t>
      </w:r>
      <w:r w:rsidRPr="00EE69D7">
        <w:t>reviewed journal articles in all disciplines are published as open access and are accessible internationally f</w:t>
      </w:r>
      <w:r>
        <w:t>ro</w:t>
      </w:r>
      <w:r w:rsidRPr="00EE69D7">
        <w:t>m the date of publication</w:t>
      </w:r>
      <w:r>
        <w:t>.</w:t>
      </w:r>
    </w:p>
    <w:p w14:paraId="5CB3B77F" w14:textId="77777777" w:rsidR="00BF539E" w:rsidRPr="00EE69D7" w:rsidRDefault="00BF539E" w:rsidP="00B81710">
      <w:pPr>
        <w:pStyle w:val="EYBodytextwithparaspace"/>
        <w:numPr>
          <w:ilvl w:val="0"/>
          <w:numId w:val="14"/>
        </w:numPr>
        <w:ind w:left="360"/>
      </w:pPr>
      <w:r w:rsidRPr="00EE69D7">
        <w:t>Support research integrity by facilitating the provision of quality meta</w:t>
      </w:r>
      <w:r>
        <w:t>-</w:t>
      </w:r>
      <w:r w:rsidRPr="00EE69D7">
        <w:t>data, keeping versions of records, and assisting in discoverability.</w:t>
      </w:r>
    </w:p>
    <w:p w14:paraId="75936537" w14:textId="77777777" w:rsidR="00BF539E" w:rsidRPr="00EE69D7" w:rsidRDefault="00BF539E" w:rsidP="00B81710">
      <w:pPr>
        <w:pStyle w:val="EYBodytextwithparaspace"/>
        <w:numPr>
          <w:ilvl w:val="0"/>
          <w:numId w:val="14"/>
        </w:numPr>
        <w:ind w:left="360"/>
      </w:pPr>
      <w:r w:rsidRPr="00416E50">
        <w:t xml:space="preserve">Preserve </w:t>
      </w:r>
      <w:proofErr w:type="spellStart"/>
      <w:r w:rsidRPr="00416E50">
        <w:t>bibliodiversity</w:t>
      </w:r>
      <w:proofErr w:type="spellEnd"/>
      <w:r w:rsidRPr="00416E50">
        <w:t xml:space="preserve"> and author autonomy regarding where to publish.</w:t>
      </w:r>
    </w:p>
    <w:p w14:paraId="329EE644" w14:textId="77777777" w:rsidR="00BF539E" w:rsidRDefault="00BF539E" w:rsidP="00B81710">
      <w:pPr>
        <w:pStyle w:val="EYBodytextwithparaspace"/>
        <w:numPr>
          <w:ilvl w:val="0"/>
          <w:numId w:val="14"/>
        </w:numPr>
        <w:ind w:left="360"/>
      </w:pPr>
      <w:r w:rsidRPr="00EE69D7">
        <w:t>Recognise the role of publishers in the system and ensure the sustainability of their business</w:t>
      </w:r>
      <w:r>
        <w:t>es</w:t>
      </w:r>
      <w:r w:rsidRPr="00EE69D7">
        <w:t>.</w:t>
      </w:r>
    </w:p>
    <w:p w14:paraId="14F49F24" w14:textId="14BE795F" w:rsidR="00BF539E" w:rsidRDefault="00BF539E" w:rsidP="00B81710">
      <w:pPr>
        <w:pStyle w:val="EYBodytextwithparaspace"/>
        <w:numPr>
          <w:ilvl w:val="0"/>
          <w:numId w:val="14"/>
        </w:numPr>
        <w:ind w:left="360"/>
      </w:pPr>
      <w:r w:rsidRPr="00B13363">
        <w:t>Use infrastructure that is user-friendly, internationally interoperable and designed for future developments in publishing and open research.</w:t>
      </w:r>
    </w:p>
    <w:p w14:paraId="2EC36CEE" w14:textId="77777777" w:rsidR="00816217" w:rsidRPr="00B13363" w:rsidRDefault="00816217" w:rsidP="00816217">
      <w:pPr>
        <w:pStyle w:val="EYBodytextwithoutparaspace"/>
      </w:pPr>
    </w:p>
    <w:p w14:paraId="5496A913" w14:textId="261ADA8C" w:rsidR="003C1559" w:rsidRDefault="003C1559" w:rsidP="00653305">
      <w:pPr>
        <w:pStyle w:val="EYHeading1"/>
      </w:pPr>
      <w:bookmarkStart w:id="28" w:name="_Toc115717082"/>
      <w:r>
        <w:lastRenderedPageBreak/>
        <w:t xml:space="preserve">The potential </w:t>
      </w:r>
      <w:r w:rsidR="00193C5C">
        <w:t xml:space="preserve">economic and social benefits of </w:t>
      </w:r>
      <w:r w:rsidR="00A57816">
        <w:t>o</w:t>
      </w:r>
      <w:r w:rsidR="00193C5C">
        <w:t xml:space="preserve">pen </w:t>
      </w:r>
      <w:r w:rsidR="00A57816">
        <w:t>a</w:t>
      </w:r>
      <w:r w:rsidR="00193C5C">
        <w:t>ccess</w:t>
      </w:r>
      <w:bookmarkEnd w:id="28"/>
    </w:p>
    <w:p w14:paraId="7F6265C6" w14:textId="11FFC95F" w:rsidR="00BC18B3" w:rsidRPr="00BC18B3" w:rsidRDefault="00BC18B3" w:rsidP="003F773E">
      <w:pPr>
        <w:pStyle w:val="EYLeader"/>
        <w:spacing w:line="240" w:lineRule="auto"/>
      </w:pPr>
      <w:bookmarkStart w:id="29" w:name="_Toc212886785"/>
      <w:r w:rsidRPr="00BC18B3">
        <w:t xml:space="preserve">Greater access to academic research can drive job creation and technological advancement while supporting Australia’s knowledge economy. Modelling shows a national model of open access could generate substantial benefits to the national economy. </w:t>
      </w:r>
      <w:r w:rsidRPr="003F737D">
        <w:t>Over the period to 2050, an open access model has the potential to increase economic output by between $1</w:t>
      </w:r>
      <w:r w:rsidR="009C6419" w:rsidRPr="003F737D">
        <w:t>8</w:t>
      </w:r>
      <w:r w:rsidRPr="003F737D">
        <w:t xml:space="preserve"> billion and $3</w:t>
      </w:r>
      <w:r w:rsidR="00BE43C4" w:rsidRPr="003F737D">
        <w:t>6</w:t>
      </w:r>
      <w:r w:rsidRPr="003F737D">
        <w:t xml:space="preserve"> billion and generate </w:t>
      </w:r>
      <w:r w:rsidR="00806B73" w:rsidRPr="003F737D">
        <w:t>5</w:t>
      </w:r>
      <w:r w:rsidR="00537554" w:rsidRPr="003F737D">
        <w:t>,3</w:t>
      </w:r>
      <w:r w:rsidRPr="003F737D">
        <w:t>00 jobs.</w:t>
      </w:r>
    </w:p>
    <w:p w14:paraId="7CE76A9E" w14:textId="636324ED" w:rsidR="00BC18B3" w:rsidRPr="00BC18B3" w:rsidRDefault="00BC18B3" w:rsidP="003F773E">
      <w:pPr>
        <w:spacing w:after="280"/>
        <w:rPr>
          <w:color w:val="000000" w:themeColor="background2"/>
        </w:rPr>
      </w:pPr>
      <w:r w:rsidRPr="00BC18B3">
        <w:rPr>
          <w:color w:val="000000" w:themeColor="background2"/>
        </w:rPr>
        <w:t xml:space="preserve">Over the last decade or so, Australia has gradually expanded </w:t>
      </w:r>
      <w:r w:rsidR="005A243E">
        <w:rPr>
          <w:color w:val="000000" w:themeColor="background2"/>
        </w:rPr>
        <w:t>its</w:t>
      </w:r>
      <w:r w:rsidRPr="00BC18B3">
        <w:rPr>
          <w:color w:val="000000" w:themeColor="background2"/>
        </w:rPr>
        <w:t xml:space="preserve"> agenda of open research, reflecting significant public investment in the academic research sector and the positive impacts which can accrue to the community. This undertaking has been underpinned by various open access initiatives including </w:t>
      </w:r>
      <w:r w:rsidR="00847624">
        <w:rPr>
          <w:color w:val="000000" w:themeColor="background2"/>
        </w:rPr>
        <w:t>by</w:t>
      </w:r>
      <w:r w:rsidRPr="00BC18B3">
        <w:rPr>
          <w:color w:val="000000" w:themeColor="background2"/>
        </w:rPr>
        <w:t xml:space="preserve"> Australian universities and </w:t>
      </w:r>
      <w:r w:rsidR="00D620A6">
        <w:rPr>
          <w:color w:val="000000" w:themeColor="background2"/>
        </w:rPr>
        <w:t xml:space="preserve">Australian research funders for example </w:t>
      </w:r>
      <w:r w:rsidRPr="00BC18B3">
        <w:rPr>
          <w:color w:val="000000" w:themeColor="background2"/>
        </w:rPr>
        <w:t xml:space="preserve">the </w:t>
      </w:r>
      <w:r w:rsidR="00B90BEC">
        <w:rPr>
          <w:color w:val="000000" w:themeColor="background2"/>
        </w:rPr>
        <w:t>ARC and NHMRC.</w:t>
      </w:r>
    </w:p>
    <w:p w14:paraId="54F21BD2" w14:textId="58970116" w:rsidR="00BC18B3" w:rsidRPr="00BC18B3" w:rsidRDefault="00BC18B3" w:rsidP="003F773E">
      <w:pPr>
        <w:spacing w:after="280"/>
        <w:rPr>
          <w:color w:val="000000" w:themeColor="background2"/>
        </w:rPr>
      </w:pPr>
      <w:r w:rsidRPr="00BC18B3">
        <w:rPr>
          <w:color w:val="000000" w:themeColor="background2"/>
        </w:rPr>
        <w:t>While significant progress has been made to promote access, much academic research still resides behind publisher paywalls which limits industry, universities, government, and the community from fully harnessing the value of academic research.</w:t>
      </w:r>
    </w:p>
    <w:p w14:paraId="67221AD5" w14:textId="77777777" w:rsidR="00BC18B3" w:rsidRPr="00BC18B3" w:rsidRDefault="00BC18B3" w:rsidP="003F773E">
      <w:pPr>
        <w:spacing w:after="280"/>
        <w:rPr>
          <w:color w:val="000000" w:themeColor="background2"/>
        </w:rPr>
      </w:pPr>
      <w:r w:rsidRPr="00BC18B3">
        <w:rPr>
          <w:color w:val="000000" w:themeColor="background2"/>
        </w:rPr>
        <w:t>Implementing a national system of open access for academic journals, and requiring publicly funded Australian research to be made open access to the world, can help drive impact from Australian research and develop a stronger system of national R&amp;D.</w:t>
      </w:r>
    </w:p>
    <w:p w14:paraId="226C4B87" w14:textId="5CF01E95" w:rsidR="00BC18B3" w:rsidRPr="00BC18B3" w:rsidRDefault="00BC18B3" w:rsidP="003F773E">
      <w:pPr>
        <w:spacing w:after="280"/>
        <w:rPr>
          <w:color w:val="000000" w:themeColor="background2"/>
        </w:rPr>
      </w:pPr>
      <w:r w:rsidRPr="00BC18B3">
        <w:rPr>
          <w:color w:val="000000" w:themeColor="background2"/>
        </w:rPr>
        <w:t xml:space="preserve">This </w:t>
      </w:r>
      <w:r w:rsidR="007C722E">
        <w:rPr>
          <w:color w:val="000000" w:themeColor="background2"/>
        </w:rPr>
        <w:t>briefing paper</w:t>
      </w:r>
      <w:r w:rsidRPr="00BC18B3">
        <w:rPr>
          <w:color w:val="000000" w:themeColor="background2"/>
        </w:rPr>
        <w:t xml:space="preserve"> has evaluated the benefits potentially available from a national system of open access. The analysis is intended to help government better understand the potential scale and distribution of the proposed initiative’s economic impacts.</w:t>
      </w:r>
    </w:p>
    <w:p w14:paraId="2F9A2DF8" w14:textId="1663F4F5" w:rsidR="00BC18B3" w:rsidRPr="00BC18B3" w:rsidRDefault="00BC18B3" w:rsidP="003F773E">
      <w:pPr>
        <w:spacing w:after="280"/>
        <w:rPr>
          <w:color w:val="000000" w:themeColor="background2"/>
        </w:rPr>
      </w:pPr>
      <w:r w:rsidRPr="00BC18B3">
        <w:rPr>
          <w:color w:val="000000" w:themeColor="background2"/>
        </w:rPr>
        <w:t xml:space="preserve">There are alternative models for establishing a national </w:t>
      </w:r>
      <w:r w:rsidR="00752303">
        <w:rPr>
          <w:color w:val="000000" w:themeColor="background2"/>
        </w:rPr>
        <w:t>scheme</w:t>
      </w:r>
      <w:r w:rsidRPr="00BC18B3">
        <w:rPr>
          <w:color w:val="000000" w:themeColor="background2"/>
        </w:rPr>
        <w:t xml:space="preserve"> of open access (see Chapter </w:t>
      </w:r>
      <w:r w:rsidRPr="00BC18B3">
        <w:t>6</w:t>
      </w:r>
      <w:r w:rsidRPr="00BC18B3">
        <w:rPr>
          <w:color w:val="000000" w:themeColor="background2"/>
        </w:rPr>
        <w:t>). While the models differ in terms of the mechanics of providing access and the ‘depth’ of access for specific user groups, they each provide community and industry</w:t>
      </w:r>
      <w:r w:rsidR="00E473A6">
        <w:rPr>
          <w:color w:val="000000" w:themeColor="background2"/>
        </w:rPr>
        <w:t>-</w:t>
      </w:r>
      <w:r w:rsidRPr="00BC18B3">
        <w:rPr>
          <w:color w:val="000000" w:themeColor="background2"/>
        </w:rPr>
        <w:t xml:space="preserve">wide access to </w:t>
      </w:r>
      <w:r w:rsidR="00291C3E">
        <w:rPr>
          <w:color w:val="000000" w:themeColor="background2"/>
        </w:rPr>
        <w:t xml:space="preserve">Australian </w:t>
      </w:r>
      <w:r w:rsidRPr="00BC18B3">
        <w:rPr>
          <w:color w:val="000000" w:themeColor="background2"/>
        </w:rPr>
        <w:t xml:space="preserve">academic journals at no cost to users. This fundamental service, consistent with the established objectives of a national open access scheme (see </w:t>
      </w:r>
      <w:r w:rsidRPr="00BC18B3">
        <w:t xml:space="preserve">Chapter 3), </w:t>
      </w:r>
      <w:r w:rsidRPr="00BC18B3">
        <w:rPr>
          <w:color w:val="000000" w:themeColor="background2"/>
        </w:rPr>
        <w:t xml:space="preserve">has been the focus of the modelling. The analysis should therefore be viewed as showing the broader benefits of a national open scheme </w:t>
      </w:r>
      <w:r w:rsidR="001F41F0">
        <w:rPr>
          <w:color w:val="000000" w:themeColor="background2"/>
        </w:rPr>
        <w:t xml:space="preserve">which facilities compete access to </w:t>
      </w:r>
      <w:r w:rsidR="00CA2A80">
        <w:rPr>
          <w:color w:val="000000" w:themeColor="background2"/>
        </w:rPr>
        <w:t>Australia</w:t>
      </w:r>
      <w:r w:rsidR="00BB0E6C">
        <w:rPr>
          <w:color w:val="000000" w:themeColor="background2"/>
        </w:rPr>
        <w:t>’</w:t>
      </w:r>
      <w:r w:rsidR="001F41F0">
        <w:rPr>
          <w:color w:val="000000" w:themeColor="background2"/>
        </w:rPr>
        <w:t xml:space="preserve">s academic journals </w:t>
      </w:r>
      <w:r w:rsidRPr="00BC18B3">
        <w:rPr>
          <w:color w:val="000000" w:themeColor="background2"/>
        </w:rPr>
        <w:t>rather than the specifics of a particular access model.</w:t>
      </w:r>
    </w:p>
    <w:p w14:paraId="48E25836" w14:textId="77777777" w:rsidR="00BC18B3" w:rsidRPr="00BC18B3" w:rsidRDefault="00BC18B3" w:rsidP="003F773E">
      <w:pPr>
        <w:pStyle w:val="EYHeading2"/>
      </w:pPr>
      <w:bookmarkStart w:id="30" w:name="_Toc115717083"/>
      <w:r w:rsidRPr="00BC18B3">
        <w:t>The economic rationale for open access</w:t>
      </w:r>
      <w:bookmarkEnd w:id="30"/>
    </w:p>
    <w:p w14:paraId="2E5EF6A5" w14:textId="1629796E" w:rsidR="00BC18B3" w:rsidRPr="00BC18B3" w:rsidRDefault="00BC18B3" w:rsidP="003F773E">
      <w:pPr>
        <w:spacing w:after="280"/>
        <w:rPr>
          <w:color w:val="000000" w:themeColor="background2"/>
        </w:rPr>
      </w:pPr>
      <w:r w:rsidRPr="00BC18B3">
        <w:rPr>
          <w:color w:val="000000" w:themeColor="background2"/>
        </w:rPr>
        <w:t>A national open access regime will be a major investment into Australia’s broader research system, helping to create and disseminate new knowledge, enhance economic and social opportunities for citizens, and build the practical and intellectual capacity to meet our current and future challenges.</w:t>
      </w:r>
    </w:p>
    <w:p w14:paraId="0C28E86B" w14:textId="7F994E26" w:rsidR="00BC18B3" w:rsidRPr="00BC18B3" w:rsidRDefault="00BC18B3" w:rsidP="003F773E">
      <w:pPr>
        <w:spacing w:after="280"/>
        <w:rPr>
          <w:color w:val="000000" w:themeColor="background2"/>
        </w:rPr>
      </w:pPr>
      <w:r w:rsidRPr="00BC18B3">
        <w:rPr>
          <w:color w:val="000000" w:themeColor="background2"/>
        </w:rPr>
        <w:t>Harnessing the benefits of Australia’s research sector</w:t>
      </w:r>
      <w:r w:rsidR="00510FD4">
        <w:rPr>
          <w:color w:val="000000" w:themeColor="background2"/>
        </w:rPr>
        <w:t>,</w:t>
      </w:r>
      <w:r w:rsidRPr="00BC18B3">
        <w:rPr>
          <w:color w:val="000000" w:themeColor="background2"/>
        </w:rPr>
        <w:t xml:space="preserve"> and supporting deeper community and industry engagement with world-class academic journals</w:t>
      </w:r>
      <w:r w:rsidR="00510FD4">
        <w:rPr>
          <w:color w:val="000000" w:themeColor="background2"/>
        </w:rPr>
        <w:t>,</w:t>
      </w:r>
      <w:r w:rsidRPr="00BC18B3">
        <w:rPr>
          <w:color w:val="000000" w:themeColor="background2"/>
        </w:rPr>
        <w:t xml:space="preserve"> can support the economy through three major channels:</w:t>
      </w:r>
    </w:p>
    <w:p w14:paraId="1869077F" w14:textId="764E0FD9" w:rsidR="00BC18B3" w:rsidRPr="00BC18B3" w:rsidRDefault="006F0DAD" w:rsidP="008F4662">
      <w:pPr>
        <w:pStyle w:val="EYBulletnoparaspace"/>
        <w:ind w:left="426"/>
      </w:pPr>
      <w:r>
        <w:rPr>
          <w:shd w:val="clear" w:color="auto" w:fill="FFFFFF"/>
        </w:rPr>
        <w:t>E</w:t>
      </w:r>
      <w:r w:rsidR="00BC18B3" w:rsidRPr="00BC18B3">
        <w:rPr>
          <w:shd w:val="clear" w:color="auto" w:fill="FFFFFF"/>
        </w:rPr>
        <w:t>ncouraging greater collaboration with industry to stimulate more R&amp;D, innovation</w:t>
      </w:r>
      <w:r w:rsidR="00215A02">
        <w:rPr>
          <w:shd w:val="clear" w:color="auto" w:fill="FFFFFF"/>
        </w:rPr>
        <w:t>,</w:t>
      </w:r>
      <w:r w:rsidR="00BC18B3" w:rsidRPr="00BC18B3">
        <w:rPr>
          <w:shd w:val="clear" w:color="auto" w:fill="FFFFFF"/>
        </w:rPr>
        <w:t xml:space="preserve"> and commercial translation activities across the economy</w:t>
      </w:r>
      <w:r w:rsidR="00DD1143">
        <w:rPr>
          <w:shd w:val="clear" w:color="auto" w:fill="FFFFFF"/>
        </w:rPr>
        <w:t>.</w:t>
      </w:r>
    </w:p>
    <w:p w14:paraId="10515693" w14:textId="6FD7F86D" w:rsidR="00BC18B3" w:rsidRPr="00BC18B3" w:rsidRDefault="006F0DAD" w:rsidP="008F4662">
      <w:pPr>
        <w:pStyle w:val="EYBulletnoparaspace"/>
        <w:ind w:left="426"/>
      </w:pPr>
      <w:r>
        <w:t>P</w:t>
      </w:r>
      <w:r w:rsidR="00BC18B3" w:rsidRPr="00BC18B3">
        <w:t>romoting broad-based productivity increases through supporting Australia’s ongoing transition to a more knowledge intensive economy</w:t>
      </w:r>
      <w:r w:rsidR="00DD1143">
        <w:t>.</w:t>
      </w:r>
    </w:p>
    <w:p w14:paraId="1B730B2A" w14:textId="2E05944B" w:rsidR="00BC18B3" w:rsidRPr="00BC18B3" w:rsidRDefault="006F0DAD" w:rsidP="008F4662">
      <w:pPr>
        <w:pStyle w:val="EYBulletnoparaspace"/>
        <w:ind w:left="426"/>
      </w:pPr>
      <w:r>
        <w:t>S</w:t>
      </w:r>
      <w:r w:rsidR="00BC18B3" w:rsidRPr="00BC18B3">
        <w:t xml:space="preserve">upporting the Australian research sector </w:t>
      </w:r>
      <w:r w:rsidR="00BB22C7">
        <w:t xml:space="preserve">to </w:t>
      </w:r>
      <w:r w:rsidR="00BC18B3" w:rsidRPr="00BC18B3">
        <w:t>produce high-quality and impactful research.</w:t>
      </w:r>
    </w:p>
    <w:p w14:paraId="278001DB" w14:textId="77777777" w:rsidR="00BC18B3" w:rsidRPr="00BC18B3" w:rsidRDefault="00BC18B3" w:rsidP="003F773E">
      <w:pPr>
        <w:spacing w:after="280"/>
        <w:rPr>
          <w:color w:val="000000" w:themeColor="background2"/>
        </w:rPr>
      </w:pPr>
      <w:r w:rsidRPr="00BC18B3">
        <w:rPr>
          <w:color w:val="000000" w:themeColor="background2"/>
        </w:rPr>
        <w:lastRenderedPageBreak/>
        <w:t>These economic benefits are discussed further below.</w:t>
      </w:r>
    </w:p>
    <w:p w14:paraId="74D3FFDA" w14:textId="77777777" w:rsidR="00BC18B3" w:rsidRPr="008F4662" w:rsidRDefault="00BC18B3" w:rsidP="003F773E">
      <w:pPr>
        <w:spacing w:after="280"/>
        <w:rPr>
          <w:rFonts w:ascii="EYInterstate" w:hAnsi="EYInterstate"/>
          <w:color w:val="000000" w:themeColor="background2"/>
          <w:sz w:val="24"/>
          <w:szCs w:val="24"/>
        </w:rPr>
      </w:pPr>
      <w:r w:rsidRPr="008F4662">
        <w:rPr>
          <w:rFonts w:ascii="EYInterstate" w:hAnsi="EYInterstate"/>
          <w:color w:val="000000" w:themeColor="background2"/>
          <w:sz w:val="24"/>
          <w:szCs w:val="24"/>
        </w:rPr>
        <w:t>Economic uplift for industry</w:t>
      </w:r>
    </w:p>
    <w:p w14:paraId="040B5179" w14:textId="00E8A808" w:rsidR="00BC18B3" w:rsidRPr="00BC18B3" w:rsidRDefault="00BC18B3" w:rsidP="003F773E">
      <w:pPr>
        <w:spacing w:after="280"/>
        <w:rPr>
          <w:color w:val="000000" w:themeColor="background2"/>
        </w:rPr>
      </w:pPr>
      <w:r w:rsidRPr="00BC18B3">
        <w:rPr>
          <w:color w:val="000000" w:themeColor="background2"/>
        </w:rPr>
        <w:t xml:space="preserve">The fundamental motivation for </w:t>
      </w:r>
      <w:r w:rsidR="00EF4324">
        <w:rPr>
          <w:color w:val="000000" w:themeColor="background2"/>
        </w:rPr>
        <w:t xml:space="preserve">business </w:t>
      </w:r>
      <w:r w:rsidRPr="00BC18B3">
        <w:rPr>
          <w:color w:val="000000" w:themeColor="background2"/>
        </w:rPr>
        <w:t xml:space="preserve">innovation is commercial; and consequently, happens inside firms. Businesses are the focal point where new value is generated from innovative activities. It is through the adoption of newer, more advanced practices and technologies that </w:t>
      </w:r>
      <w:r w:rsidR="006E735B" w:rsidRPr="00BC18B3">
        <w:rPr>
          <w:color w:val="000000" w:themeColor="background2"/>
        </w:rPr>
        <w:t>firms</w:t>
      </w:r>
      <w:r w:rsidR="00806E9A" w:rsidRPr="00BC18B3">
        <w:rPr>
          <w:color w:val="000000" w:themeColor="background2"/>
        </w:rPr>
        <w:t>,</w:t>
      </w:r>
      <w:r w:rsidRPr="00BC18B3">
        <w:rPr>
          <w:color w:val="000000" w:themeColor="background2"/>
        </w:rPr>
        <w:t xml:space="preserve"> and industries can increase their production capabilities, improve productivity, and expand lines of new products and services.</w:t>
      </w:r>
    </w:p>
    <w:p w14:paraId="41414B6D" w14:textId="72EED073" w:rsidR="00BC18B3" w:rsidRPr="00BC18B3" w:rsidRDefault="00BC18B3" w:rsidP="003F773E">
      <w:pPr>
        <w:spacing w:after="280"/>
        <w:rPr>
          <w:color w:val="000000" w:themeColor="background2"/>
        </w:rPr>
      </w:pPr>
      <w:r w:rsidRPr="00BC18B3">
        <w:rPr>
          <w:color w:val="000000" w:themeColor="background2"/>
        </w:rPr>
        <w:t>A standard innovation pathway may commence with an enterprise undertaking its own formal and informal R&amp;D. Following this, some research or knowledge outputs may be encoded into registered Intellectual Property, integrated into business secrets</w:t>
      </w:r>
      <w:r w:rsidR="00FB4B3D">
        <w:rPr>
          <w:color w:val="000000" w:themeColor="background2"/>
        </w:rPr>
        <w:t>,</w:t>
      </w:r>
      <w:r w:rsidRPr="00BC18B3">
        <w:rPr>
          <w:color w:val="000000" w:themeColor="background2"/>
        </w:rPr>
        <w:t xml:space="preserve"> or embodied in tacit organisational knowledge. This may then evolve into new products or production technologies with effective managerial application and a measure of good fortune.</w:t>
      </w:r>
    </w:p>
    <w:p w14:paraId="00F75E7B" w14:textId="6F139462" w:rsidR="00BC18B3" w:rsidRPr="00BC18B3" w:rsidRDefault="00BC18B3" w:rsidP="003F773E">
      <w:pPr>
        <w:spacing w:after="280"/>
        <w:rPr>
          <w:color w:val="000000" w:themeColor="background2"/>
        </w:rPr>
      </w:pPr>
      <w:r w:rsidRPr="00BC18B3">
        <w:rPr>
          <w:color w:val="000000" w:themeColor="background2"/>
        </w:rPr>
        <w:t xml:space="preserve">Australia’s approach to open access will support all sectors of the economy by providing greater access to academic resources and information to make </w:t>
      </w:r>
      <w:r w:rsidR="00B5751A">
        <w:rPr>
          <w:color w:val="000000" w:themeColor="background2"/>
        </w:rPr>
        <w:t>strategic and research</w:t>
      </w:r>
      <w:r w:rsidRPr="00BC18B3">
        <w:rPr>
          <w:color w:val="000000" w:themeColor="background2"/>
        </w:rPr>
        <w:t xml:space="preserve"> decisions. However, open access will likely have </w:t>
      </w:r>
      <w:r w:rsidR="002E1B95">
        <w:rPr>
          <w:color w:val="000000" w:themeColor="background2"/>
        </w:rPr>
        <w:t>the</w:t>
      </w:r>
      <w:r w:rsidRPr="00BC18B3">
        <w:rPr>
          <w:color w:val="000000" w:themeColor="background2"/>
        </w:rPr>
        <w:t xml:space="preserve"> greatest impact on sectors which have the following attributes:</w:t>
      </w:r>
    </w:p>
    <w:p w14:paraId="2CF04BE8" w14:textId="053B70C7" w:rsidR="00BC18B3" w:rsidRPr="00BC18B3" w:rsidRDefault="00BC18B3" w:rsidP="008F4662">
      <w:pPr>
        <w:pStyle w:val="EYBulletnoparaspace"/>
        <w:ind w:left="426"/>
      </w:pPr>
      <w:r w:rsidRPr="00BC18B3">
        <w:rPr>
          <w:b/>
        </w:rPr>
        <w:t xml:space="preserve">Research and innovation intensive </w:t>
      </w:r>
      <w:r w:rsidRPr="00BC18B3">
        <w:rPr>
          <w:bCs/>
        </w:rPr>
        <w:t xml:space="preserve">— </w:t>
      </w:r>
      <w:r w:rsidRPr="00BC18B3">
        <w:t xml:space="preserve">Sectors in which there </w:t>
      </w:r>
      <w:r w:rsidR="00B5751A">
        <w:t>is</w:t>
      </w:r>
      <w:r w:rsidRPr="00BC18B3">
        <w:t xml:space="preserve"> high levels of investment in research and </w:t>
      </w:r>
      <w:r w:rsidR="006E735B" w:rsidRPr="00BC18B3">
        <w:t>innovation may</w:t>
      </w:r>
      <w:r w:rsidRPr="00BC18B3">
        <w:t xml:space="preserve"> undertake more R&amp;D </w:t>
      </w:r>
      <w:proofErr w:type="gramStart"/>
      <w:r w:rsidRPr="00BC18B3">
        <w:t>as a result of</w:t>
      </w:r>
      <w:proofErr w:type="gramEnd"/>
      <w:r w:rsidRPr="00BC18B3">
        <w:t xml:space="preserve"> open access.</w:t>
      </w:r>
    </w:p>
    <w:p w14:paraId="199CD81B" w14:textId="77777777" w:rsidR="00BC18B3" w:rsidRPr="00BC18B3" w:rsidRDefault="00BC18B3" w:rsidP="008F4662">
      <w:pPr>
        <w:pStyle w:val="EYBulletnoparaspace"/>
        <w:ind w:left="426"/>
      </w:pPr>
      <w:r w:rsidRPr="00BC18B3">
        <w:rPr>
          <w:b/>
        </w:rPr>
        <w:t>Knowledge intensive</w:t>
      </w:r>
      <w:r w:rsidRPr="00BC18B3">
        <w:t xml:space="preserve"> — Firms that depend on knowledge for operation are expected to benefit from more research being available.</w:t>
      </w:r>
    </w:p>
    <w:p w14:paraId="311B341A" w14:textId="022EDC00" w:rsidR="00BC18B3" w:rsidRPr="00BC18B3" w:rsidRDefault="00BC18B3" w:rsidP="008F4662">
      <w:pPr>
        <w:pStyle w:val="EYBulletnoparaspace"/>
        <w:ind w:left="426"/>
      </w:pPr>
      <w:r w:rsidRPr="00BC18B3">
        <w:rPr>
          <w:b/>
        </w:rPr>
        <w:t xml:space="preserve">Barriers to accessing research </w:t>
      </w:r>
      <w:r w:rsidRPr="00BC18B3">
        <w:rPr>
          <w:bCs/>
        </w:rPr>
        <w:t>— Sectors in</w:t>
      </w:r>
      <w:r w:rsidRPr="00BC18B3">
        <w:t xml:space="preserve"> which there are a high proportion of SMEs, start-ups or non-for-profits</w:t>
      </w:r>
      <w:r w:rsidR="00AA6A45">
        <w:t xml:space="preserve">, </w:t>
      </w:r>
      <w:r w:rsidRPr="00BC18B3">
        <w:t>means it is relatively harder for enterprises to access research due to tighter resource constraints</w:t>
      </w:r>
      <w:r w:rsidR="00B21DA9">
        <w:t>. T</w:t>
      </w:r>
      <w:r w:rsidRPr="00BC18B3">
        <w:t xml:space="preserve">hey would be expected to gain more from increased access to research. </w:t>
      </w:r>
    </w:p>
    <w:p w14:paraId="7BAA92AF" w14:textId="4795AFF1" w:rsidR="00BC18B3" w:rsidRDefault="00BC18B3" w:rsidP="008F4662">
      <w:pPr>
        <w:pStyle w:val="EYBulletnoparaspace"/>
        <w:ind w:left="426"/>
      </w:pPr>
      <w:r w:rsidRPr="00BC18B3">
        <w:rPr>
          <w:b/>
        </w:rPr>
        <w:t>Significant opportunities to apply research</w:t>
      </w:r>
      <w:r w:rsidRPr="00BC18B3">
        <w:t xml:space="preserve"> — Sectors which are likely to be of greater importance in the future are likely to benefit from increased access to research. For example, there </w:t>
      </w:r>
      <w:r w:rsidR="00E14C03">
        <w:t>is</w:t>
      </w:r>
      <w:r w:rsidRPr="00BC18B3">
        <w:t xml:space="preserve"> a need for more R&amp;D in climate change solutions and energy transition</w:t>
      </w:r>
      <w:r w:rsidR="000C5100">
        <w:t>s</w:t>
      </w:r>
      <w:r w:rsidRPr="00BC18B3">
        <w:t xml:space="preserve"> as countries decarbonise.</w:t>
      </w:r>
    </w:p>
    <w:p w14:paraId="3A2B6B12" w14:textId="0DCC9321" w:rsidR="009D4807" w:rsidRDefault="009D4807" w:rsidP="00B17ED0">
      <w:pPr>
        <w:pStyle w:val="Caption"/>
        <w:keepNext/>
        <w:spacing w:before="240"/>
      </w:pPr>
      <w:r>
        <w:t xml:space="preserve">Figure </w:t>
      </w:r>
      <w:r>
        <w:fldChar w:fldCharType="begin"/>
      </w:r>
      <w:r>
        <w:instrText xml:space="preserve"> SEQ Figure \* ARABIC </w:instrText>
      </w:r>
      <w:r>
        <w:fldChar w:fldCharType="separate"/>
      </w:r>
      <w:r w:rsidR="008112E6">
        <w:rPr>
          <w:noProof/>
        </w:rPr>
        <w:t>11</w:t>
      </w:r>
      <w:r>
        <w:fldChar w:fldCharType="end"/>
      </w:r>
      <w:r>
        <w:t xml:space="preserve">: </w:t>
      </w:r>
      <w:r w:rsidRPr="00843617">
        <w:t>Australian Government R&amp;D expenditure by field of study, top 10, 2018-19</w:t>
      </w:r>
    </w:p>
    <w:p w14:paraId="3FE60785" w14:textId="77777777" w:rsidR="00BC18B3" w:rsidRPr="00BC18B3" w:rsidRDefault="00BC18B3" w:rsidP="003F773E">
      <w:pPr>
        <w:rPr>
          <w:noProof/>
          <w:color w:val="000000" w:themeColor="background2"/>
        </w:rPr>
      </w:pPr>
      <w:r w:rsidRPr="00BC18B3">
        <w:rPr>
          <w:noProof/>
          <w:color w:val="000000" w:themeColor="background2"/>
        </w:rPr>
        <w:drawing>
          <wp:inline distT="0" distB="0" distL="0" distR="0" wp14:anchorId="04D6CA9B" wp14:editId="2A9FC421">
            <wp:extent cx="5146159" cy="2094357"/>
            <wp:effectExtent l="0" t="0" r="0" b="1270"/>
            <wp:docPr id="20" name="Picture 20" descr="A histogram that shows the 10 fields of study with the largest Australian Government R&amp;D expenditure in 2018-19 and compares the expenditure (in mil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histogram that shows the 10 fields of study with the largest Australian Government R&amp;D expenditure in 2018-19 and compares the expenditure (in mill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2561" cy="2109172"/>
                    </a:xfrm>
                    <a:prstGeom prst="rect">
                      <a:avLst/>
                    </a:prstGeom>
                    <a:noFill/>
                  </pic:spPr>
                </pic:pic>
              </a:graphicData>
            </a:graphic>
          </wp:inline>
        </w:drawing>
      </w:r>
    </w:p>
    <w:p w14:paraId="76BB5EEB" w14:textId="77777777" w:rsidR="00BC18B3" w:rsidRPr="00B5751A" w:rsidRDefault="00BC18B3" w:rsidP="003F773E">
      <w:pPr>
        <w:spacing w:after="280"/>
        <w:rPr>
          <w:color w:val="747480"/>
          <w:sz w:val="16"/>
          <w:szCs w:val="18"/>
        </w:rPr>
      </w:pPr>
      <w:r w:rsidRPr="00B5751A">
        <w:rPr>
          <w:color w:val="747480"/>
          <w:sz w:val="16"/>
          <w:szCs w:val="18"/>
        </w:rPr>
        <w:t>Source: ABS, Research and Experimental Development, Government and Private Non-Profit Organisations, Australia</w:t>
      </w:r>
    </w:p>
    <w:p w14:paraId="6AFB19D1" w14:textId="2234FB1B" w:rsidR="00B17ED0" w:rsidRDefault="00B17ED0" w:rsidP="00B17ED0">
      <w:pPr>
        <w:pStyle w:val="Caption"/>
        <w:keepNext/>
      </w:pPr>
      <w:r>
        <w:lastRenderedPageBreak/>
        <w:t xml:space="preserve">Figure </w:t>
      </w:r>
      <w:r>
        <w:fldChar w:fldCharType="begin"/>
      </w:r>
      <w:r>
        <w:instrText xml:space="preserve"> SEQ Figure \* ARABIC </w:instrText>
      </w:r>
      <w:r>
        <w:fldChar w:fldCharType="separate"/>
      </w:r>
      <w:r w:rsidR="008112E6">
        <w:rPr>
          <w:noProof/>
        </w:rPr>
        <w:t>12</w:t>
      </w:r>
      <w:r>
        <w:fldChar w:fldCharType="end"/>
      </w:r>
      <w:r>
        <w:t xml:space="preserve">: </w:t>
      </w:r>
      <w:r w:rsidRPr="003D031D">
        <w:t>Business R&amp;D expenditure by industry, top 10, 2019-20</w:t>
      </w:r>
    </w:p>
    <w:p w14:paraId="70952B15" w14:textId="27DC061F" w:rsidR="00BC18B3" w:rsidRPr="00BC18B3" w:rsidRDefault="0070273E" w:rsidP="003F773E">
      <w:pPr>
        <w:rPr>
          <w:color w:val="000000" w:themeColor="background2"/>
        </w:rPr>
      </w:pPr>
      <w:r>
        <w:rPr>
          <w:noProof/>
        </w:rPr>
        <w:drawing>
          <wp:inline distT="0" distB="0" distL="0" distR="0" wp14:anchorId="5B985CD8" wp14:editId="512CF18B">
            <wp:extent cx="5733415" cy="2181860"/>
            <wp:effectExtent l="0" t="0" r="635" b="8890"/>
            <wp:docPr id="66" name="Chart 66" descr="A histogram that shows the ten industries with the largest business R&amp;D expenditure in 2019-20 and compares their expenditure (in millions).">
              <a:extLst xmlns:a="http://schemas.openxmlformats.org/drawingml/2006/main">
                <a:ext uri="{FF2B5EF4-FFF2-40B4-BE49-F238E27FC236}">
                  <a16:creationId xmlns:a16="http://schemas.microsoft.com/office/drawing/2014/main" id="{5C0D7422-DF8A-4406-8C0A-BF29D22EF7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5A2C92E" w14:textId="77777777" w:rsidR="00BC18B3" w:rsidRPr="00BC18B3" w:rsidRDefault="00BC18B3" w:rsidP="003F773E">
      <w:pPr>
        <w:spacing w:after="280"/>
        <w:rPr>
          <w:b/>
          <w:bCs/>
          <w:color w:val="747480"/>
          <w:sz w:val="16"/>
          <w:szCs w:val="18"/>
        </w:rPr>
      </w:pPr>
      <w:r w:rsidRPr="00BC18B3">
        <w:rPr>
          <w:b/>
          <w:bCs/>
          <w:color w:val="747480"/>
          <w:sz w:val="16"/>
          <w:szCs w:val="18"/>
        </w:rPr>
        <w:t>Source: ABS, Research and Experimental Development, Business, Australia</w:t>
      </w:r>
    </w:p>
    <w:p w14:paraId="710CA99F" w14:textId="66805B8C" w:rsidR="00BC18B3" w:rsidRPr="00BC18B3" w:rsidRDefault="00BC18B3" w:rsidP="008F4662">
      <w:pPr>
        <w:pStyle w:val="EYBodytextwithoutparaspace"/>
      </w:pPr>
      <w:r w:rsidRPr="00BC18B3">
        <w:t xml:space="preserve">Based on </w:t>
      </w:r>
      <w:r w:rsidR="00A974BC">
        <w:t>the</w:t>
      </w:r>
      <w:r w:rsidRPr="00BC18B3">
        <w:t xml:space="preserve"> </w:t>
      </w:r>
      <w:r w:rsidR="002E1B95">
        <w:t>above attributes</w:t>
      </w:r>
      <w:r w:rsidR="00A974BC">
        <w:t xml:space="preserve"> </w:t>
      </w:r>
      <w:r w:rsidRPr="00BC18B3">
        <w:t xml:space="preserve">and industry consultations, potential productivity improvements from open access arrangements are likely to be concentrated in the following </w:t>
      </w:r>
      <w:r w:rsidR="0023351A">
        <w:t>sectors</w:t>
      </w:r>
      <w:r w:rsidRPr="00BC18B3">
        <w:t>:</w:t>
      </w:r>
    </w:p>
    <w:p w14:paraId="0DD436A5" w14:textId="21411EA9" w:rsidR="00BC18B3" w:rsidRPr="008F4662" w:rsidRDefault="00BC18B3" w:rsidP="008F4662">
      <w:pPr>
        <w:pStyle w:val="EYBulletnoparaspace"/>
        <w:ind w:left="426"/>
      </w:pPr>
      <w:r w:rsidRPr="008F4662">
        <w:t>industrial (including manufacturing, mining</w:t>
      </w:r>
      <w:r w:rsidR="00806E9A" w:rsidRPr="008F4662">
        <w:t>,</w:t>
      </w:r>
      <w:r w:rsidRPr="008F4662">
        <w:t xml:space="preserve"> and engineering)</w:t>
      </w:r>
    </w:p>
    <w:p w14:paraId="2141116A" w14:textId="105392B5" w:rsidR="00BC18B3" w:rsidRPr="008F4662" w:rsidRDefault="00BC18B3" w:rsidP="008F4662">
      <w:pPr>
        <w:pStyle w:val="EYBulletnoparaspace"/>
        <w:ind w:left="426"/>
      </w:pPr>
      <w:r w:rsidRPr="008F4662">
        <w:t>medical</w:t>
      </w:r>
    </w:p>
    <w:p w14:paraId="5845CF32" w14:textId="77777777" w:rsidR="00BC18B3" w:rsidRPr="008F4662" w:rsidRDefault="00BC18B3" w:rsidP="008F4662">
      <w:pPr>
        <w:pStyle w:val="EYBulletnoparaspace"/>
        <w:ind w:left="426"/>
      </w:pPr>
      <w:r w:rsidRPr="008F4662">
        <w:t>agriculture</w:t>
      </w:r>
    </w:p>
    <w:p w14:paraId="092A9A24" w14:textId="469A274B" w:rsidR="00BC18B3" w:rsidRPr="008F4662" w:rsidRDefault="00BC18B3" w:rsidP="008F4662">
      <w:pPr>
        <w:pStyle w:val="EYBulletnoparaspace"/>
        <w:ind w:left="426"/>
      </w:pPr>
      <w:r w:rsidRPr="008F4662">
        <w:t>energy</w:t>
      </w:r>
    </w:p>
    <w:p w14:paraId="5EAA12FF" w14:textId="378900BF" w:rsidR="006A5CCB" w:rsidRDefault="00BC18B3" w:rsidP="008F4662">
      <w:pPr>
        <w:pStyle w:val="EYBulletnoparaspace"/>
        <w:ind w:left="426"/>
      </w:pPr>
      <w:r w:rsidRPr="008F4662">
        <w:t>government services.</w:t>
      </w:r>
    </w:p>
    <w:p w14:paraId="14423AB8" w14:textId="09D74ED4" w:rsidR="00231B57" w:rsidRDefault="00231B57" w:rsidP="00493B93">
      <w:pPr>
        <w:pStyle w:val="EYBodytextwithoutparaspace"/>
      </w:pPr>
      <w:r w:rsidRPr="00BC18B3">
        <w:rPr>
          <w:noProof/>
        </w:rPr>
        <mc:AlternateContent>
          <mc:Choice Requires="wps">
            <w:drawing>
              <wp:anchor distT="0" distB="0" distL="114300" distR="114300" simplePos="0" relativeHeight="251658243" behindDoc="0" locked="0" layoutInCell="1" allowOverlap="1" wp14:anchorId="5ACBF892" wp14:editId="55018D94">
                <wp:simplePos x="0" y="0"/>
                <wp:positionH relativeFrom="margin">
                  <wp:align>left</wp:align>
                </wp:positionH>
                <wp:positionV relativeFrom="page">
                  <wp:posOffset>5811520</wp:posOffset>
                </wp:positionV>
                <wp:extent cx="5716270" cy="4398645"/>
                <wp:effectExtent l="0" t="0" r="0" b="1905"/>
                <wp:wrapTopAndBottom/>
                <wp:docPr id="674" name="Rectangle 674"/>
                <wp:cNvGraphicFramePr/>
                <a:graphic xmlns:a="http://schemas.openxmlformats.org/drawingml/2006/main">
                  <a:graphicData uri="http://schemas.microsoft.com/office/word/2010/wordprocessingShape">
                    <wps:wsp>
                      <wps:cNvSpPr/>
                      <wps:spPr>
                        <a:xfrm>
                          <a:off x="0" y="0"/>
                          <a:ext cx="5716270" cy="4398645"/>
                        </a:xfrm>
                        <a:prstGeom prst="rect">
                          <a:avLst/>
                        </a:prstGeom>
                        <a:solidFill>
                          <a:srgbClr val="2E2E38">
                            <a:lumMod val="20000"/>
                            <a:lumOff val="80000"/>
                          </a:srgbClr>
                        </a:solidFill>
                        <a:ln w="25400" cap="flat" cmpd="sng" algn="ctr">
                          <a:noFill/>
                          <a:prstDash val="solid"/>
                        </a:ln>
                        <a:effectLst/>
                      </wps:spPr>
                      <wps:txbx>
                        <w:txbxContent>
                          <w:p w14:paraId="50EAE388" w14:textId="77777777" w:rsidR="00231B57" w:rsidRPr="00640AB4" w:rsidRDefault="00231B57" w:rsidP="00231B57">
                            <w:pPr>
                              <w:pStyle w:val="EYBodytextwithparaspace"/>
                              <w:rPr>
                                <w:b/>
                                <w:bCs/>
                                <w:color w:val="auto"/>
                              </w:rPr>
                            </w:pPr>
                            <w:r w:rsidRPr="00640AB4">
                              <w:rPr>
                                <w:b/>
                                <w:bCs/>
                                <w:color w:val="auto"/>
                              </w:rPr>
                              <w:t>Horizon scanning using open access resources in the Department of Defence</w:t>
                            </w:r>
                          </w:p>
                          <w:p w14:paraId="5E27B65D" w14:textId="77777777" w:rsidR="00231B57" w:rsidRPr="006A5CCB" w:rsidRDefault="00231B57" w:rsidP="00231B57">
                            <w:pPr>
                              <w:pStyle w:val="EYBodytextwithoutparaspace"/>
                              <w:spacing w:after="120"/>
                            </w:pPr>
                            <w:r w:rsidRPr="006A5CCB">
                              <w:t xml:space="preserve">Open access can assist industry and government by unlocking bibliometric data which can be processed and analysed. Bibliometric data involves the analysis of citation counts, publication counts, patents, technology transfers, and a range of metrics related to research outputs. </w:t>
                            </w:r>
                          </w:p>
                          <w:p w14:paraId="348C0572" w14:textId="77777777" w:rsidR="00231B57" w:rsidRPr="006A5CCB" w:rsidRDefault="00231B57" w:rsidP="00231B57">
                            <w:pPr>
                              <w:pStyle w:val="EYBodytextwithoutparaspace"/>
                              <w:spacing w:after="120"/>
                            </w:pPr>
                            <w:r w:rsidRPr="006A5CCB">
                              <w:t>Bibliometric data analysis typically informs decisions on new and emerging technologies in fields of medicine, sciences, and defence. Through an open access model, Australian industry and governments will have access to a larger pool of bibliometric data to enhance evidence-based decision-making.</w:t>
                            </w:r>
                          </w:p>
                          <w:p w14:paraId="7AB9C352" w14:textId="77777777" w:rsidR="00231B57" w:rsidRPr="00640AB4" w:rsidRDefault="00231B57" w:rsidP="00231B57">
                            <w:pPr>
                              <w:pStyle w:val="EYBodytextwithoutparaspace"/>
                              <w:spacing w:after="120"/>
                              <w:rPr>
                                <w:b/>
                                <w:bCs/>
                                <w:i/>
                                <w:iCs/>
                              </w:rPr>
                            </w:pPr>
                            <w:r w:rsidRPr="00640AB4">
                              <w:rPr>
                                <w:b/>
                                <w:bCs/>
                                <w:i/>
                                <w:iCs/>
                              </w:rPr>
                              <w:t>Using bibliometric data to inform defence capabilities</w:t>
                            </w:r>
                          </w:p>
                          <w:p w14:paraId="438729FC" w14:textId="77777777" w:rsidR="00231B57" w:rsidRPr="006A5CCB" w:rsidRDefault="00231B57" w:rsidP="00231B57">
                            <w:pPr>
                              <w:pStyle w:val="EYBodytextwithoutparaspace"/>
                              <w:spacing w:after="120"/>
                            </w:pPr>
                            <w:r w:rsidRPr="006A5CCB">
                              <w:t>Australia’s Department of Defence utilises bibliometric data analysis to inform decisions around Australia’s defence capabilities and national security. To oversight technological advancements made in defence and national security, the Department engages in frequent ‘horizon scanning’ using bibliometric data.</w:t>
                            </w:r>
                          </w:p>
                          <w:p w14:paraId="33627281" w14:textId="77777777" w:rsidR="00231B57" w:rsidRPr="006A5CCB" w:rsidRDefault="00231B57" w:rsidP="00231B57">
                            <w:pPr>
                              <w:pStyle w:val="EYBulletnoparaspace"/>
                            </w:pPr>
                            <w:r w:rsidRPr="006A5CCB">
                              <w:t xml:space="preserve">Horizon scanning utilises bibliometric data to monitor R&amp;D activity to identify leading-edge technologies that have either not been previously known by </w:t>
                            </w:r>
                            <w:proofErr w:type="gramStart"/>
                            <w:r w:rsidRPr="006A5CCB">
                              <w:t>Defence, or</w:t>
                            </w:r>
                            <w:proofErr w:type="gramEnd"/>
                            <w:r w:rsidRPr="006A5CCB">
                              <w:t xml:space="preserve"> have substantially changed since Defence’s last horizon scan. </w:t>
                            </w:r>
                          </w:p>
                          <w:p w14:paraId="62CF7D0D" w14:textId="77777777" w:rsidR="00231B57" w:rsidRPr="006A5CCB" w:rsidRDefault="00231B57" w:rsidP="00231B57">
                            <w:pPr>
                              <w:pStyle w:val="EYBulletnoparaspace"/>
                            </w:pPr>
                            <w:r w:rsidRPr="006A5CCB">
                              <w:t>Once these technologies have been identified using bibliometric data analysis, Defence assesses these technologies for their relevance, readiness, and potential impact on Australia’s economic, social, and security interests.</w:t>
                            </w:r>
                          </w:p>
                          <w:p w14:paraId="4CFD52C9" w14:textId="77777777" w:rsidR="00231B57" w:rsidRPr="006A5CCB" w:rsidRDefault="00231B57" w:rsidP="00231B57">
                            <w:pPr>
                              <w:pStyle w:val="EYBodytextwithoutparaspace"/>
                              <w:spacing w:after="120"/>
                            </w:pPr>
                            <w:r w:rsidRPr="006A5CCB">
                              <w:t>Access to large bibliometric datasets is critical to Defence’s horizon scanning. Technological advancements typically appear in bibliometric data first before appearing in patent or venture capital data. Thus, an open access model would unlock the bibliometric data required to support Defence’s scanning for potentially significant technological advancements.</w:t>
                            </w:r>
                          </w:p>
                          <w:p w14:paraId="2D5DB48C" w14:textId="77777777" w:rsidR="00231B57" w:rsidRPr="006A5CCB" w:rsidRDefault="00231B57" w:rsidP="00231B57">
                            <w:pPr>
                              <w:pStyle w:val="EYBodytextwithoutparaspace"/>
                              <w:spacing w:after="120"/>
                              <w:rPr>
                                <w:sz w:val="16"/>
                                <w:szCs w:val="16"/>
                              </w:rPr>
                            </w:pPr>
                            <w:r w:rsidRPr="006A5CCB">
                              <w:rPr>
                                <w:sz w:val="16"/>
                                <w:szCs w:val="16"/>
                              </w:rPr>
                              <w:t>Source: Department of Defence</w:t>
                            </w:r>
                          </w:p>
                          <w:p w14:paraId="7EE43C4B" w14:textId="77777777" w:rsidR="00231B57" w:rsidRPr="00526636" w:rsidRDefault="00231B57" w:rsidP="00231B57">
                            <w:pPr>
                              <w:pStyle w:val="EYBodytextwithparaspace"/>
                            </w:pPr>
                          </w:p>
                          <w:p w14:paraId="14E9F67F" w14:textId="77777777" w:rsidR="00231B57" w:rsidRPr="00526636" w:rsidRDefault="00231B57" w:rsidP="00231B57">
                            <w:pPr>
                              <w:pStyle w:val="EYBodytextwithparaspac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BF892" id="Rectangle 674" o:spid="_x0000_s1028" style="position:absolute;margin-left:0;margin-top:457.6pt;width:450.1pt;height:346.3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" fillcolor="#d2d2da" stroked="f" strokeweight="2pt">
                <v:textbox>
                  <w:txbxContent>
                    <w:p w14:paraId="50EAE388" w14:textId="77777777" w:rsidR="00231B57" w:rsidRPr="00640AB4" w:rsidRDefault="00231B57" w:rsidP="00231B57">
                      <w:pPr>
                        <w:pStyle w:val="EYBodytextwithparaspace"/>
                        <w:rPr>
                          <w:b/>
                          <w:bCs/>
                          <w:color w:val="auto"/>
                        </w:rPr>
                      </w:pPr>
                      <w:r w:rsidRPr="00640AB4">
                        <w:rPr>
                          <w:b/>
                          <w:bCs/>
                          <w:color w:val="auto"/>
                        </w:rPr>
                        <w:t>Horizon scanning using open access resources in the Department of Defence</w:t>
                      </w:r>
                    </w:p>
                    <w:p w14:paraId="5E27B65D" w14:textId="77777777" w:rsidR="00231B57" w:rsidRPr="006A5CCB" w:rsidRDefault="00231B57" w:rsidP="00231B57">
                      <w:pPr>
                        <w:pStyle w:val="EYBodytextwithoutparaspace"/>
                        <w:spacing w:after="120"/>
                      </w:pPr>
                      <w:r w:rsidRPr="006A5CCB">
                        <w:t xml:space="preserve">Open access can assist industry and government by unlocking bibliometric data which can be processed and analysed. Bibliometric data involves the analysis of citation counts, publication counts, patents, technology transfers, and a range of metrics related to research outputs. </w:t>
                      </w:r>
                    </w:p>
                    <w:p w14:paraId="348C0572" w14:textId="77777777" w:rsidR="00231B57" w:rsidRPr="006A5CCB" w:rsidRDefault="00231B57" w:rsidP="00231B57">
                      <w:pPr>
                        <w:pStyle w:val="EYBodytextwithoutparaspace"/>
                        <w:spacing w:after="120"/>
                      </w:pPr>
                      <w:r w:rsidRPr="006A5CCB">
                        <w:t>Bibliometric data analysis typically informs decisions on new and emerging technologies in fields of medicine, sciences, and defence. Through an open access model, Australian industry and governments will have access to a larger pool of bibliometric data to enhance evidence-based decision-making.</w:t>
                      </w:r>
                    </w:p>
                    <w:p w14:paraId="7AB9C352" w14:textId="77777777" w:rsidR="00231B57" w:rsidRPr="00640AB4" w:rsidRDefault="00231B57" w:rsidP="00231B57">
                      <w:pPr>
                        <w:pStyle w:val="EYBodytextwithoutparaspace"/>
                        <w:spacing w:after="120"/>
                        <w:rPr>
                          <w:b/>
                          <w:bCs/>
                          <w:i/>
                          <w:iCs/>
                        </w:rPr>
                      </w:pPr>
                      <w:r w:rsidRPr="00640AB4">
                        <w:rPr>
                          <w:b/>
                          <w:bCs/>
                          <w:i/>
                          <w:iCs/>
                        </w:rPr>
                        <w:t>Using bibliometric data to inform defence capabilities</w:t>
                      </w:r>
                    </w:p>
                    <w:p w14:paraId="438729FC" w14:textId="77777777" w:rsidR="00231B57" w:rsidRPr="006A5CCB" w:rsidRDefault="00231B57" w:rsidP="00231B57">
                      <w:pPr>
                        <w:pStyle w:val="EYBodytextwithoutparaspace"/>
                        <w:spacing w:after="120"/>
                      </w:pPr>
                      <w:r w:rsidRPr="006A5CCB">
                        <w:t>Australia’s Department of Defence utilises bibliometric data analysis to inform decisions around Australia’s defence capabilities and national security. To oversight technological advancements made in defence and national security, the Department engages in frequent ‘horizon scanning’ using bibliometric data.</w:t>
                      </w:r>
                    </w:p>
                    <w:p w14:paraId="33627281" w14:textId="77777777" w:rsidR="00231B57" w:rsidRPr="006A5CCB" w:rsidRDefault="00231B57" w:rsidP="00231B57">
                      <w:pPr>
                        <w:pStyle w:val="EYBulletnoparaspace"/>
                      </w:pPr>
                      <w:r w:rsidRPr="006A5CCB">
                        <w:t xml:space="preserve">Horizon scanning utilises bibliometric data to monitor R&amp;D activity to identify leading-edge technologies that have either not been previously known by </w:t>
                      </w:r>
                      <w:proofErr w:type="gramStart"/>
                      <w:r w:rsidRPr="006A5CCB">
                        <w:t>Defence, or</w:t>
                      </w:r>
                      <w:proofErr w:type="gramEnd"/>
                      <w:r w:rsidRPr="006A5CCB">
                        <w:t xml:space="preserve"> have substantially changed since Defence’s last horizon scan. </w:t>
                      </w:r>
                    </w:p>
                    <w:p w14:paraId="62CF7D0D" w14:textId="77777777" w:rsidR="00231B57" w:rsidRPr="006A5CCB" w:rsidRDefault="00231B57" w:rsidP="00231B57">
                      <w:pPr>
                        <w:pStyle w:val="EYBulletnoparaspace"/>
                      </w:pPr>
                      <w:r w:rsidRPr="006A5CCB">
                        <w:t>Once these technologies have been identified using bibliometric data analysis, Defence assesses these technologies for their relevance, readiness, and potential impact on Australia’s economic, social, and security interests.</w:t>
                      </w:r>
                    </w:p>
                    <w:p w14:paraId="4CFD52C9" w14:textId="77777777" w:rsidR="00231B57" w:rsidRPr="006A5CCB" w:rsidRDefault="00231B57" w:rsidP="00231B57">
                      <w:pPr>
                        <w:pStyle w:val="EYBodytextwithoutparaspace"/>
                        <w:spacing w:after="120"/>
                      </w:pPr>
                      <w:r w:rsidRPr="006A5CCB">
                        <w:t>Access to large bibliometric datasets is critical to Defence’s horizon scanning. Technological advancements typically appear in bibliometric data first before appearing in patent or venture capital data. Thus, an open access model would unlock the bibliometric data required to support Defence’s scanning for potentially significant technological advancements.</w:t>
                      </w:r>
                    </w:p>
                    <w:p w14:paraId="2D5DB48C" w14:textId="77777777" w:rsidR="00231B57" w:rsidRPr="006A5CCB" w:rsidRDefault="00231B57" w:rsidP="00231B57">
                      <w:pPr>
                        <w:pStyle w:val="EYBodytextwithoutparaspace"/>
                        <w:spacing w:after="120"/>
                        <w:rPr>
                          <w:sz w:val="16"/>
                          <w:szCs w:val="16"/>
                        </w:rPr>
                      </w:pPr>
                      <w:r w:rsidRPr="006A5CCB">
                        <w:rPr>
                          <w:sz w:val="16"/>
                          <w:szCs w:val="16"/>
                        </w:rPr>
                        <w:t>Source: Department of Defence</w:t>
                      </w:r>
                    </w:p>
                    <w:p w14:paraId="7EE43C4B" w14:textId="77777777" w:rsidR="00231B57" w:rsidRPr="00526636" w:rsidRDefault="00231B57" w:rsidP="00231B57">
                      <w:pPr>
                        <w:pStyle w:val="EYBodytextwithparaspace"/>
                      </w:pPr>
                    </w:p>
                    <w:p w14:paraId="14E9F67F" w14:textId="77777777" w:rsidR="00231B57" w:rsidRPr="00526636" w:rsidRDefault="00231B57" w:rsidP="00231B57">
                      <w:pPr>
                        <w:pStyle w:val="EYBodytextwithparaspace"/>
                      </w:pPr>
                    </w:p>
                  </w:txbxContent>
                </v:textbox>
                <w10:wrap type="topAndBottom" anchorx="margin" anchory="page"/>
              </v:rect>
            </w:pict>
          </mc:Fallback>
        </mc:AlternateContent>
      </w:r>
      <w:r>
        <w:t>An example of how open access can support policymaking, including in the Department of Defence is shown below.</w:t>
      </w:r>
    </w:p>
    <w:p w14:paraId="2F29FB93" w14:textId="03BD2C5F" w:rsidR="00BC18B3" w:rsidRPr="006D3DA9" w:rsidRDefault="00BC18B3" w:rsidP="003F773E">
      <w:pPr>
        <w:spacing w:after="280"/>
        <w:rPr>
          <w:rFonts w:ascii="EYInterstate" w:hAnsi="EYInterstate"/>
          <w:color w:val="000000" w:themeColor="background2"/>
          <w:sz w:val="24"/>
          <w:szCs w:val="24"/>
        </w:rPr>
      </w:pPr>
      <w:r w:rsidRPr="006D3DA9">
        <w:rPr>
          <w:rFonts w:ascii="EYInterstate" w:hAnsi="EYInterstate"/>
          <w:color w:val="000000" w:themeColor="background2"/>
          <w:sz w:val="24"/>
          <w:szCs w:val="24"/>
        </w:rPr>
        <w:lastRenderedPageBreak/>
        <w:t>Building a more productive, innovative</w:t>
      </w:r>
      <w:r w:rsidR="00EA458F" w:rsidRPr="006D3DA9">
        <w:rPr>
          <w:rFonts w:ascii="EYInterstate" w:hAnsi="EYInterstate"/>
          <w:color w:val="000000" w:themeColor="background2"/>
          <w:sz w:val="24"/>
          <w:szCs w:val="24"/>
        </w:rPr>
        <w:t>,</w:t>
      </w:r>
      <w:r w:rsidRPr="006D3DA9">
        <w:rPr>
          <w:rFonts w:ascii="EYInterstate" w:hAnsi="EYInterstate"/>
          <w:color w:val="000000" w:themeColor="background2"/>
          <w:sz w:val="24"/>
          <w:szCs w:val="24"/>
        </w:rPr>
        <w:t xml:space="preserve"> and knowledge-based economy</w:t>
      </w:r>
    </w:p>
    <w:p w14:paraId="78A50393" w14:textId="3488CA0C" w:rsidR="00BC18B3" w:rsidRPr="00BC18B3" w:rsidRDefault="00BC18B3" w:rsidP="008F4662">
      <w:pPr>
        <w:pStyle w:val="EYBodytextwithoutparaspace"/>
      </w:pPr>
      <w:r w:rsidRPr="00BC18B3">
        <w:t>Productivity is fundamental to sustaining and raising a country’s overall standard of living</w:t>
      </w:r>
      <w:r w:rsidR="00982F41">
        <w:t>.</w:t>
      </w:r>
      <w:r w:rsidR="00AC5C17">
        <w:t xml:space="preserve"> </w:t>
      </w:r>
      <w:r w:rsidR="00982F41">
        <w:t>W</w:t>
      </w:r>
      <w:r w:rsidR="00FB4D39">
        <w:t xml:space="preserve">ith growth in productivity, an economy </w:t>
      </w:r>
      <w:r w:rsidR="00982F41">
        <w:t>can</w:t>
      </w:r>
      <w:r w:rsidR="00FB4D39">
        <w:t xml:space="preserve"> produce and consume increasingly more goods and services for the same amount of work</w:t>
      </w:r>
      <w:r w:rsidRPr="00BC18B3">
        <w:t xml:space="preserve">. For this reason, the rate of productivity growth receives </w:t>
      </w:r>
      <w:r w:rsidR="006539D7">
        <w:t>great</w:t>
      </w:r>
      <w:r w:rsidRPr="00BC18B3">
        <w:t xml:space="preserve"> attention from policymakers.</w:t>
      </w:r>
    </w:p>
    <w:p w14:paraId="6D87220D" w14:textId="0BA1CAF2" w:rsidR="00BC18B3" w:rsidRPr="00BC18B3" w:rsidRDefault="00BC18B3" w:rsidP="008F4662">
      <w:pPr>
        <w:pStyle w:val="EYBodytextwithoutparaspace"/>
      </w:pPr>
      <w:r w:rsidRPr="00BC18B3">
        <w:t>Importantly, innovation is widely regarded as the most important source of productivity growth over the long term. Innovation, involving the diffusion of better production methods, new</w:t>
      </w:r>
      <w:r w:rsidR="00ED5736">
        <w:t>-</w:t>
      </w:r>
      <w:r w:rsidR="00874599">
        <w:t>to</w:t>
      </w:r>
      <w:r w:rsidR="00ED5736">
        <w:t>-</w:t>
      </w:r>
      <w:r w:rsidR="00874599">
        <w:t xml:space="preserve">world </w:t>
      </w:r>
      <w:r w:rsidR="00C64A1C">
        <w:t xml:space="preserve">innovation </w:t>
      </w:r>
      <w:r w:rsidRPr="00BC18B3">
        <w:t>technologies and the introduction of new products and services, is a core driver of productivity growth. That is, it allows for more and higher-value outputs to be yielded from any level of inputs.</w:t>
      </w:r>
    </w:p>
    <w:p w14:paraId="74322C1B" w14:textId="77777777" w:rsidR="00BC18B3" w:rsidRPr="00BC18B3" w:rsidRDefault="00BC18B3" w:rsidP="008F4662">
      <w:pPr>
        <w:pStyle w:val="EYBodytextwithoutparaspace"/>
      </w:pPr>
      <w:r w:rsidRPr="00BC18B3">
        <w:t>Supporting these growth tenets, a key benefit of open access centres on the fundamental impacts that greater access to research could have on broader innovation and productivity. Government, business, and higher education institutions invest heavily in research, developing new solutions and increasing the country’s knowledge base — which ultimately raise productivity. However, the impact of research is limited by access. As such, increasing access to research could ultimately support better productivity outcomes.</w:t>
      </w:r>
    </w:p>
    <w:p w14:paraId="43D2EA7D" w14:textId="11FC1976" w:rsidR="00BC18B3" w:rsidRPr="00BC18B3" w:rsidRDefault="00BC18B3" w:rsidP="008F4662">
      <w:pPr>
        <w:pStyle w:val="EYBodytextwithoutparaspace"/>
      </w:pPr>
      <w:r w:rsidRPr="00BC18B3">
        <w:t xml:space="preserve">Currently, academic research is </w:t>
      </w:r>
      <w:r w:rsidR="006A720C">
        <w:t>mostly</w:t>
      </w:r>
      <w:r w:rsidRPr="00BC18B3">
        <w:t xml:space="preserve"> inaccessible to many stakeholders, including policymakers, citizens</w:t>
      </w:r>
      <w:r w:rsidR="00806E9A" w:rsidRPr="00BC18B3">
        <w:t>,</w:t>
      </w:r>
      <w:r w:rsidRPr="00BC18B3">
        <w:t xml:space="preserve"> and firms, due to journal paywalls. This means that </w:t>
      </w:r>
      <w:r w:rsidR="006A720C">
        <w:t>neither Australian or international</w:t>
      </w:r>
      <w:r w:rsidRPr="00BC18B3">
        <w:t xml:space="preserve"> research is being fully utilised, limiting the spread of ideas and the adoption of new innovations. Open access will remove the paywall barrier and allow everyone access to the academic stock of knowledge, boosting R&amp;D which drives productivity.</w:t>
      </w:r>
    </w:p>
    <w:p w14:paraId="0D7A9FCB" w14:textId="21908AF9" w:rsidR="00BC18B3" w:rsidRPr="00BC18B3" w:rsidRDefault="00BC18B3" w:rsidP="003F773E">
      <w:pPr>
        <w:spacing w:after="280"/>
        <w:rPr>
          <w:color w:val="000000" w:themeColor="background2"/>
        </w:rPr>
      </w:pPr>
      <w:r w:rsidRPr="00BC18B3">
        <w:rPr>
          <w:color w:val="000000" w:themeColor="background2"/>
        </w:rPr>
        <w:t>Implementing open access will allow Australia to tap into the world’s research resources. I</w:t>
      </w:r>
      <w:r w:rsidR="007576AE">
        <w:rPr>
          <w:color w:val="000000" w:themeColor="background2"/>
        </w:rPr>
        <w:t>f the preferred model is used, i</w:t>
      </w:r>
      <w:r w:rsidRPr="00BC18B3">
        <w:rPr>
          <w:color w:val="000000" w:themeColor="background2"/>
        </w:rPr>
        <w:t xml:space="preserve">t could see the following impacts: </w:t>
      </w:r>
    </w:p>
    <w:p w14:paraId="3450F52E" w14:textId="77777777" w:rsidR="00BC18B3" w:rsidRPr="00BC18B3" w:rsidRDefault="00BC18B3" w:rsidP="008F4662">
      <w:pPr>
        <w:pStyle w:val="EYBulletnoparaspace"/>
        <w:ind w:left="426"/>
      </w:pPr>
      <w:r w:rsidRPr="00BC18B3">
        <w:rPr>
          <w:b/>
        </w:rPr>
        <w:t>Access to more research</w:t>
      </w:r>
      <w:r w:rsidRPr="00BC18B3">
        <w:t xml:space="preserve"> — Implementing open access will allow new users to access research and allow existing users to access a broader range of research. This could generate more R&amp;D and subsequent breakthroughs. If more people can read the research, more people can build on it.</w:t>
      </w:r>
    </w:p>
    <w:p w14:paraId="20DAB5A9" w14:textId="3778FE89" w:rsidR="00BC18B3" w:rsidRPr="00BC18B3" w:rsidRDefault="00BC18B3" w:rsidP="008F4662">
      <w:pPr>
        <w:pStyle w:val="EYBulletnoparaspace"/>
        <w:ind w:left="426"/>
      </w:pPr>
      <w:r w:rsidRPr="00BC18B3">
        <w:rPr>
          <w:b/>
        </w:rPr>
        <w:t>Faster access to research</w:t>
      </w:r>
      <w:r w:rsidRPr="00BC18B3">
        <w:t xml:space="preserve"> — Open access could save </w:t>
      </w:r>
      <w:r w:rsidR="00D92E96">
        <w:t xml:space="preserve">users who cannot pay for research </w:t>
      </w:r>
      <w:r w:rsidRPr="00BC18B3">
        <w:t xml:space="preserve">time searching for </w:t>
      </w:r>
      <w:r w:rsidR="00D92E96">
        <w:t>free-accessible</w:t>
      </w:r>
      <w:r w:rsidRPr="00BC18B3">
        <w:t xml:space="preserve"> research</w:t>
      </w:r>
      <w:r w:rsidR="00506D24">
        <w:t xml:space="preserve"> as </w:t>
      </w:r>
      <w:r w:rsidR="00B1057A">
        <w:t xml:space="preserve">all research would be </w:t>
      </w:r>
      <w:r w:rsidR="00F7240C">
        <w:t xml:space="preserve">freely </w:t>
      </w:r>
      <w:r w:rsidR="00B1057A">
        <w:t>available</w:t>
      </w:r>
      <w:r w:rsidRPr="00BC18B3">
        <w:t>. The time saved searching could be put towards other productive uses, and faster access to research may bring forward the dissemination of knowledge.</w:t>
      </w:r>
    </w:p>
    <w:p w14:paraId="0177E6F8" w14:textId="113D270F" w:rsidR="00BC18B3" w:rsidRPr="00BC18B3" w:rsidRDefault="00BC18B3" w:rsidP="008F4662">
      <w:pPr>
        <w:pStyle w:val="EYBulletnoparaspace"/>
        <w:ind w:left="426"/>
      </w:pPr>
      <w:r w:rsidRPr="00BC18B3">
        <w:rPr>
          <w:b/>
        </w:rPr>
        <w:t>Access to full information</w:t>
      </w:r>
      <w:r w:rsidRPr="00BC18B3">
        <w:t xml:space="preserve"> — Open access would allow access to a range of academic articles rather than alternatives that are currently free, including </w:t>
      </w:r>
      <w:r w:rsidR="004A6EED">
        <w:t>news sources</w:t>
      </w:r>
      <w:r w:rsidRPr="00BC18B3">
        <w:t xml:space="preserve"> that </w:t>
      </w:r>
      <w:r w:rsidR="004A6EED">
        <w:t>may be biased, or other</w:t>
      </w:r>
      <w:r w:rsidRPr="00BC18B3">
        <w:t xml:space="preserve"> information</w:t>
      </w:r>
      <w:r w:rsidR="004A6EED">
        <w:t xml:space="preserve"> sources</w:t>
      </w:r>
      <w:r w:rsidRPr="00BC18B3">
        <w:t xml:space="preserve"> that </w:t>
      </w:r>
      <w:r w:rsidR="004A6EED">
        <w:t>are not complete or peer-reviewed</w:t>
      </w:r>
      <w:r w:rsidRPr="00BC18B3">
        <w:t xml:space="preserve">. This could lead to more effective research and decrease the chances of using misleading information. </w:t>
      </w:r>
    </w:p>
    <w:p w14:paraId="6FE47203" w14:textId="77777777" w:rsidR="00BC18B3" w:rsidRPr="00BC18B3" w:rsidRDefault="00BC18B3" w:rsidP="008F4662">
      <w:pPr>
        <w:pStyle w:val="EYBulletnoparaspace"/>
        <w:ind w:left="426"/>
      </w:pPr>
      <w:r w:rsidRPr="00BC18B3">
        <w:rPr>
          <w:b/>
        </w:rPr>
        <w:t>Cost savings from subscription fees</w:t>
      </w:r>
      <w:r w:rsidRPr="00BC18B3">
        <w:t xml:space="preserve"> — Businesses that currently purchase paywalled articles will realise cost-savings from an open access model because they will no longer have to pay these fees to receive access to the articles. The savings will be much higher for research-intensive industries, which spend large sums of money to obtain research.</w:t>
      </w:r>
    </w:p>
    <w:p w14:paraId="29F6C697" w14:textId="5D4F8FAA" w:rsidR="00BC18B3" w:rsidRDefault="00BC18B3" w:rsidP="008E071B">
      <w:pPr>
        <w:spacing w:before="240" w:after="280"/>
        <w:rPr>
          <w:color w:val="000000" w:themeColor="background2"/>
        </w:rPr>
      </w:pPr>
      <w:r w:rsidRPr="00BC18B3">
        <w:rPr>
          <w:color w:val="000000" w:themeColor="background2"/>
        </w:rPr>
        <w:t xml:space="preserve">Increased access to research has never been more important as Australia continues its transition to a service and knowledge-based </w:t>
      </w:r>
      <w:r w:rsidR="00F014A0">
        <w:rPr>
          <w:color w:val="000000" w:themeColor="background2"/>
        </w:rPr>
        <w:t>high-tech</w:t>
      </w:r>
      <w:r w:rsidRPr="00BC18B3">
        <w:rPr>
          <w:color w:val="000000" w:themeColor="background2"/>
        </w:rPr>
        <w:t xml:space="preserve"> economy. Open access will increase the stock of knowledge within Australia, potentially increasing the creation and adoption of innovations and raising Australia’s productivity.</w:t>
      </w:r>
    </w:p>
    <w:p w14:paraId="769D287D" w14:textId="3D39D010" w:rsidR="006A5CCB" w:rsidRDefault="006A5CCB" w:rsidP="003F773E">
      <w:pPr>
        <w:spacing w:after="280"/>
        <w:rPr>
          <w:color w:val="000000" w:themeColor="background2"/>
        </w:rPr>
      </w:pPr>
      <w:r>
        <w:rPr>
          <w:color w:val="000000" w:themeColor="background2"/>
        </w:rPr>
        <w:t>A case example of the potential for open access collaboration is shown below.</w:t>
      </w:r>
    </w:p>
    <w:p w14:paraId="236E51CF" w14:textId="241C2167" w:rsidR="006A5CCB" w:rsidRDefault="005F372B" w:rsidP="003F773E">
      <w:pPr>
        <w:spacing w:after="280"/>
        <w:rPr>
          <w:color w:val="000000" w:themeColor="background2"/>
        </w:rPr>
      </w:pPr>
      <w:r w:rsidRPr="00BC18B3">
        <w:rPr>
          <w:noProof/>
        </w:rPr>
        <w:lastRenderedPageBreak/>
        <mc:AlternateContent>
          <mc:Choice Requires="wps">
            <w:drawing>
              <wp:inline distT="0" distB="0" distL="0" distR="0" wp14:anchorId="663A3EC3" wp14:editId="6386B094">
                <wp:extent cx="5716270" cy="5325110"/>
                <wp:effectExtent l="0" t="0" r="0" b="0"/>
                <wp:docPr id="5" name="Rectangle 5"/>
                <wp:cNvGraphicFramePr/>
                <a:graphic xmlns:a="http://schemas.openxmlformats.org/drawingml/2006/main">
                  <a:graphicData uri="http://schemas.microsoft.com/office/word/2010/wordprocessingShape">
                    <wps:wsp>
                      <wps:cNvSpPr/>
                      <wps:spPr>
                        <a:xfrm>
                          <a:off x="0" y="0"/>
                          <a:ext cx="5716270" cy="5325110"/>
                        </a:xfrm>
                        <a:prstGeom prst="rect">
                          <a:avLst/>
                        </a:prstGeom>
                        <a:solidFill>
                          <a:srgbClr val="2E2E38">
                            <a:lumMod val="20000"/>
                            <a:lumOff val="80000"/>
                          </a:srgbClr>
                        </a:solidFill>
                        <a:ln w="25400" cap="flat" cmpd="sng" algn="ctr">
                          <a:noFill/>
                          <a:prstDash val="solid"/>
                        </a:ln>
                        <a:effectLst/>
                      </wps:spPr>
                      <wps:txbx>
                        <w:txbxContent>
                          <w:p w14:paraId="49E4ED18" w14:textId="77777777" w:rsidR="005F372B" w:rsidRPr="00430130" w:rsidRDefault="005F372B" w:rsidP="005F372B">
                            <w:pPr>
                              <w:pStyle w:val="EYBodytextwithparaspace"/>
                              <w:rPr>
                                <w:b/>
                                <w:bCs/>
                                <w:color w:val="auto"/>
                              </w:rPr>
                            </w:pPr>
                            <w:r w:rsidRPr="00430130">
                              <w:rPr>
                                <w:b/>
                                <w:bCs/>
                                <w:color w:val="auto"/>
                              </w:rPr>
                              <w:t>Using open access to treat and prevent malaria</w:t>
                            </w:r>
                          </w:p>
                          <w:p w14:paraId="6E6882B7" w14:textId="77777777" w:rsidR="005F372B" w:rsidRPr="00430130" w:rsidRDefault="005F372B" w:rsidP="005F372B">
                            <w:pPr>
                              <w:pStyle w:val="EYBodytextwithparaspace"/>
                              <w:rPr>
                                <w:color w:val="auto"/>
                              </w:rPr>
                            </w:pPr>
                            <w:r w:rsidRPr="00430130">
                              <w:rPr>
                                <w:color w:val="auto"/>
                              </w:rPr>
                              <w:t xml:space="preserve">The </w:t>
                            </w:r>
                            <w:proofErr w:type="gramStart"/>
                            <w:r w:rsidRPr="00430130">
                              <w:rPr>
                                <w:color w:val="auto"/>
                              </w:rPr>
                              <w:t>Open Source</w:t>
                            </w:r>
                            <w:proofErr w:type="gramEnd"/>
                            <w:r w:rsidRPr="00430130">
                              <w:rPr>
                                <w:color w:val="auto"/>
                              </w:rPr>
                              <w:t xml:space="preserve"> Malaria (OSM) Consortium is an open access database of pharmaceutical compounds and medical research into treating and preventing malaria. </w:t>
                            </w:r>
                          </w:p>
                          <w:p w14:paraId="3A6B8DE2" w14:textId="77777777" w:rsidR="005F372B" w:rsidRPr="00430130" w:rsidRDefault="005F372B" w:rsidP="005F372B">
                            <w:pPr>
                              <w:pStyle w:val="EYBulletnoparaspace"/>
                            </w:pPr>
                            <w:r w:rsidRPr="00430130">
                              <w:t>Founded in 2011 by Sydney University Associate Professor Matthew Todd, the OSM Consortium aims to enable researchers, universities, and students to better research approaches to fighting malaria without costly barriers to accessing previous and current research. The project now involves over 50 researchers across nine countries.</w:t>
                            </w:r>
                          </w:p>
                          <w:p w14:paraId="4B2EE40D" w14:textId="77777777" w:rsidR="005F372B" w:rsidRPr="00430130" w:rsidRDefault="005F372B" w:rsidP="005F372B">
                            <w:pPr>
                              <w:pStyle w:val="EYBulletnoparaspace"/>
                            </w:pPr>
                            <w:r w:rsidRPr="00430130">
                              <w:t>The OSM database was used in 2016 by a group of high school students from Sydney Grammar School to recreate a low-cost version of the malaria drug Daraprim, a drug that escalated in price from $13.5 to $750 a dose in the United States.</w:t>
                            </w:r>
                          </w:p>
                          <w:p w14:paraId="60EFB577" w14:textId="77777777" w:rsidR="005F372B" w:rsidRPr="00430130" w:rsidRDefault="005F372B" w:rsidP="005F372B">
                            <w:pPr>
                              <w:pStyle w:val="EYBulletnoparaspace"/>
                            </w:pPr>
                            <w:r w:rsidRPr="00430130">
                              <w:t>The students relied on the open access research provided by the OSM to create their project, and their results helped motivate price reform in the United States and pioneered a different drug compounding approach that could be used to make cheaper generic versions.</w:t>
                            </w:r>
                          </w:p>
                          <w:p w14:paraId="671181E6" w14:textId="77777777" w:rsidR="005F372B" w:rsidRPr="00430130" w:rsidRDefault="005F372B" w:rsidP="005F372B">
                            <w:pPr>
                              <w:pStyle w:val="EYBodytextwithparaspace"/>
                              <w:rPr>
                                <w:color w:val="auto"/>
                              </w:rPr>
                            </w:pPr>
                            <w:r w:rsidRPr="00430130">
                              <w:rPr>
                                <w:color w:val="auto"/>
                              </w:rPr>
                              <w:t xml:space="preserve">In 2020, </w:t>
                            </w:r>
                            <w:proofErr w:type="spellStart"/>
                            <w:r w:rsidRPr="00430130">
                              <w:rPr>
                                <w:color w:val="auto"/>
                              </w:rPr>
                              <w:t>Optibrium</w:t>
                            </w:r>
                            <w:proofErr w:type="spellEnd"/>
                            <w:r w:rsidRPr="00430130">
                              <w:rPr>
                                <w:color w:val="auto"/>
                              </w:rPr>
                              <w:t xml:space="preserve">, a software company that provides drug discovery modelling capabilities, and </w:t>
                            </w:r>
                            <w:proofErr w:type="spellStart"/>
                            <w:r w:rsidRPr="00430130">
                              <w:rPr>
                                <w:color w:val="auto"/>
                              </w:rPr>
                              <w:t>Intellegens</w:t>
                            </w:r>
                            <w:proofErr w:type="spellEnd"/>
                            <w:r w:rsidRPr="00430130">
                              <w:rPr>
                                <w:color w:val="auto"/>
                              </w:rPr>
                              <w:t>, an AI toolset company, contributed a generative model to the OSM project.</w:t>
                            </w:r>
                          </w:p>
                          <w:p w14:paraId="25B1556F" w14:textId="77777777" w:rsidR="005F372B" w:rsidRPr="00430130" w:rsidRDefault="005F372B" w:rsidP="005F372B">
                            <w:pPr>
                              <w:pStyle w:val="EYBulletnoparaspace"/>
                            </w:pPr>
                            <w:r w:rsidRPr="00430130">
                              <w:t>Data mining the research into different pharmaceutical compounds for treating malaria, their program has designed multiple different novel malaria compounds.</w:t>
                            </w:r>
                          </w:p>
                          <w:p w14:paraId="1F2746FD" w14:textId="77777777" w:rsidR="005F372B" w:rsidRPr="00430130" w:rsidRDefault="005F372B" w:rsidP="005F372B">
                            <w:pPr>
                              <w:pStyle w:val="EYBulletnoparaspace"/>
                            </w:pPr>
                            <w:r w:rsidRPr="00430130">
                              <w:t>As their results are open access, other researchers have begun to formulate and test these novel compounds, with results showing promising signs of effective treatment, people outside of academic institutions are benefitting from access to academic research.</w:t>
                            </w:r>
                          </w:p>
                          <w:p w14:paraId="40DB0C36" w14:textId="77777777" w:rsidR="005F372B" w:rsidRPr="00430130" w:rsidRDefault="005F372B" w:rsidP="005F372B">
                            <w:pPr>
                              <w:pStyle w:val="EYBulletnoparaspace"/>
                            </w:pPr>
                            <w:r w:rsidRPr="00430130">
                              <w:t>Beyond accessing research for self-learning, professionals across industries such as healthcare and public policy development are using research to inform their work.</w:t>
                            </w:r>
                          </w:p>
                          <w:p w14:paraId="2E704537" w14:textId="1B94F19C" w:rsidR="005F372B" w:rsidRPr="00430130" w:rsidRDefault="005F372B" w:rsidP="005F372B">
                            <w:pPr>
                              <w:pStyle w:val="EYBodytextwithoutparaspace"/>
                              <w:spacing w:after="120"/>
                              <w:rPr>
                                <w:sz w:val="16"/>
                                <w:szCs w:val="16"/>
                              </w:rPr>
                            </w:pPr>
                            <w:r w:rsidRPr="00430130">
                              <w:rPr>
                                <w:sz w:val="16"/>
                                <w:szCs w:val="16"/>
                              </w:rPr>
                              <w:t>Source: http://opensourcemalaria.org/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ect w14:anchorId="663A3EC3" id="Rectangle 5" o:spid="_x0000_s1029" style="width:450.1pt;height:4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" fillcolor="#d2d2da" stroked="f" strokeweight="2pt">
                <v:textbox style="mso-fit-shape-to-text:t">
                  <w:txbxContent>
                    <w:p w14:paraId="49E4ED18" w14:textId="77777777" w:rsidR="005F372B" w:rsidRPr="00430130" w:rsidRDefault="005F372B" w:rsidP="005F372B">
                      <w:pPr>
                        <w:pStyle w:val="EYBodytextwithparaspace"/>
                        <w:rPr>
                          <w:b/>
                          <w:bCs/>
                          <w:color w:val="auto"/>
                        </w:rPr>
                      </w:pPr>
                      <w:r w:rsidRPr="00430130">
                        <w:rPr>
                          <w:b/>
                          <w:bCs/>
                          <w:color w:val="auto"/>
                        </w:rPr>
                        <w:t>Using open access to treat and prevent malaria</w:t>
                      </w:r>
                    </w:p>
                    <w:p w14:paraId="6E6882B7" w14:textId="77777777" w:rsidR="005F372B" w:rsidRPr="00430130" w:rsidRDefault="005F372B" w:rsidP="005F372B">
                      <w:pPr>
                        <w:pStyle w:val="EYBodytextwithparaspace"/>
                        <w:rPr>
                          <w:color w:val="auto"/>
                        </w:rPr>
                      </w:pPr>
                      <w:r w:rsidRPr="00430130">
                        <w:rPr>
                          <w:color w:val="auto"/>
                        </w:rPr>
                        <w:t xml:space="preserve">The </w:t>
                      </w:r>
                      <w:proofErr w:type="gramStart"/>
                      <w:r w:rsidRPr="00430130">
                        <w:rPr>
                          <w:color w:val="auto"/>
                        </w:rPr>
                        <w:t>Open Source</w:t>
                      </w:r>
                      <w:proofErr w:type="gramEnd"/>
                      <w:r w:rsidRPr="00430130">
                        <w:rPr>
                          <w:color w:val="auto"/>
                        </w:rPr>
                        <w:t xml:space="preserve"> Malaria (OSM) Consortium is an open access database of pharmaceutical compounds and medical research into treating and preventing malaria. </w:t>
                      </w:r>
                    </w:p>
                    <w:p w14:paraId="3A6B8DE2" w14:textId="77777777" w:rsidR="005F372B" w:rsidRPr="00430130" w:rsidRDefault="005F372B" w:rsidP="005F372B">
                      <w:pPr>
                        <w:pStyle w:val="EYBulletnoparaspace"/>
                      </w:pPr>
                      <w:r w:rsidRPr="00430130">
                        <w:t>Founded in 2011 by Sydney University Associate Professor Matthew Todd, the OSM Consortium aims to enable researchers, universities, and students to better research approaches to fighting malaria without costly barriers to accessing previous and current research. The project now involves over 50 researchers across nine countries.</w:t>
                      </w:r>
                    </w:p>
                    <w:p w14:paraId="4B2EE40D" w14:textId="77777777" w:rsidR="005F372B" w:rsidRPr="00430130" w:rsidRDefault="005F372B" w:rsidP="005F372B">
                      <w:pPr>
                        <w:pStyle w:val="EYBulletnoparaspace"/>
                      </w:pPr>
                      <w:r w:rsidRPr="00430130">
                        <w:t>The OSM database was used in 2016 by a group of high school students from Sydney Grammar School to recreate a low-cost version of the malaria drug Daraprim, a drug that escalated in price from $13.5 to $750 a dose in the United States.</w:t>
                      </w:r>
                    </w:p>
                    <w:p w14:paraId="60EFB577" w14:textId="77777777" w:rsidR="005F372B" w:rsidRPr="00430130" w:rsidRDefault="005F372B" w:rsidP="005F372B">
                      <w:pPr>
                        <w:pStyle w:val="EYBulletnoparaspace"/>
                      </w:pPr>
                      <w:r w:rsidRPr="00430130">
                        <w:t>The students relied on the open access research provided by the OSM to create their project, and their results helped motivate price reform in the United States and pioneered a different drug compounding approach that could be used to make cheaper generic versions.</w:t>
                      </w:r>
                    </w:p>
                    <w:p w14:paraId="671181E6" w14:textId="77777777" w:rsidR="005F372B" w:rsidRPr="00430130" w:rsidRDefault="005F372B" w:rsidP="005F372B">
                      <w:pPr>
                        <w:pStyle w:val="EYBodytextwithparaspace"/>
                        <w:rPr>
                          <w:color w:val="auto"/>
                        </w:rPr>
                      </w:pPr>
                      <w:r w:rsidRPr="00430130">
                        <w:rPr>
                          <w:color w:val="auto"/>
                        </w:rPr>
                        <w:t xml:space="preserve">In 2020, </w:t>
                      </w:r>
                      <w:proofErr w:type="spellStart"/>
                      <w:r w:rsidRPr="00430130">
                        <w:rPr>
                          <w:color w:val="auto"/>
                        </w:rPr>
                        <w:t>Optibrium</w:t>
                      </w:r>
                      <w:proofErr w:type="spellEnd"/>
                      <w:r w:rsidRPr="00430130">
                        <w:rPr>
                          <w:color w:val="auto"/>
                        </w:rPr>
                        <w:t xml:space="preserve">, a software company that provides drug discovery modelling capabilities, and </w:t>
                      </w:r>
                      <w:proofErr w:type="spellStart"/>
                      <w:r w:rsidRPr="00430130">
                        <w:rPr>
                          <w:color w:val="auto"/>
                        </w:rPr>
                        <w:t>Intellegens</w:t>
                      </w:r>
                      <w:proofErr w:type="spellEnd"/>
                      <w:r w:rsidRPr="00430130">
                        <w:rPr>
                          <w:color w:val="auto"/>
                        </w:rPr>
                        <w:t>, an AI toolset company, contributed a generative model to the OSM project.</w:t>
                      </w:r>
                    </w:p>
                    <w:p w14:paraId="25B1556F" w14:textId="77777777" w:rsidR="005F372B" w:rsidRPr="00430130" w:rsidRDefault="005F372B" w:rsidP="005F372B">
                      <w:pPr>
                        <w:pStyle w:val="EYBulletnoparaspace"/>
                      </w:pPr>
                      <w:r w:rsidRPr="00430130">
                        <w:t>Data mining the research into different pharmaceutical compounds for treating malaria, their program has designed multiple different novel malaria compounds.</w:t>
                      </w:r>
                    </w:p>
                    <w:p w14:paraId="1F2746FD" w14:textId="77777777" w:rsidR="005F372B" w:rsidRPr="00430130" w:rsidRDefault="005F372B" w:rsidP="005F372B">
                      <w:pPr>
                        <w:pStyle w:val="EYBulletnoparaspace"/>
                      </w:pPr>
                      <w:r w:rsidRPr="00430130">
                        <w:t>As their results are open access, other researchers have begun to formulate and test these novel compounds, with results showing promising signs of effective treatment, people outside of academic institutions are benefitting from access to academic research.</w:t>
                      </w:r>
                    </w:p>
                    <w:p w14:paraId="40DB0C36" w14:textId="77777777" w:rsidR="005F372B" w:rsidRPr="00430130" w:rsidRDefault="005F372B" w:rsidP="005F372B">
                      <w:pPr>
                        <w:pStyle w:val="EYBulletnoparaspace"/>
                      </w:pPr>
                      <w:r w:rsidRPr="00430130">
                        <w:t>Beyond accessing research for self-learning, professionals across industries such as healthcare and public policy development are using research to inform their work.</w:t>
                      </w:r>
                    </w:p>
                    <w:p w14:paraId="2E704537" w14:textId="1B94F19C" w:rsidR="005F372B" w:rsidRPr="00430130" w:rsidRDefault="005F372B" w:rsidP="005F372B">
                      <w:pPr>
                        <w:pStyle w:val="EYBodytextwithoutparaspace"/>
                        <w:spacing w:after="120"/>
                        <w:rPr>
                          <w:sz w:val="16"/>
                          <w:szCs w:val="16"/>
                        </w:rPr>
                      </w:pPr>
                      <w:r w:rsidRPr="00430130">
                        <w:rPr>
                          <w:sz w:val="16"/>
                          <w:szCs w:val="16"/>
                        </w:rPr>
                        <w:t>Source: http://opensourcemalaria.org/</w:t>
                      </w:r>
                    </w:p>
                  </w:txbxContent>
                </v:textbox>
                <w10:anchorlock/>
              </v:rect>
            </w:pict>
          </mc:Fallback>
        </mc:AlternateContent>
      </w:r>
    </w:p>
    <w:p w14:paraId="7B2D6AA4" w14:textId="77777777" w:rsidR="00BC18B3" w:rsidRPr="008F4662" w:rsidRDefault="00BC18B3" w:rsidP="003F773E">
      <w:pPr>
        <w:spacing w:after="280"/>
        <w:rPr>
          <w:rFonts w:ascii="EYInterstate" w:hAnsi="EYInterstate"/>
          <w:color w:val="000000" w:themeColor="background2"/>
          <w:sz w:val="24"/>
          <w:szCs w:val="24"/>
        </w:rPr>
      </w:pPr>
      <w:r w:rsidRPr="008F4662">
        <w:rPr>
          <w:rFonts w:ascii="EYInterstate" w:hAnsi="EYInterstate"/>
          <w:color w:val="000000" w:themeColor="background2"/>
          <w:sz w:val="24"/>
          <w:szCs w:val="24"/>
        </w:rPr>
        <w:t>Strengthening the Australian research system</w:t>
      </w:r>
    </w:p>
    <w:p w14:paraId="186102FA" w14:textId="40A5FD85" w:rsidR="00BC18B3" w:rsidRPr="00BC18B3" w:rsidRDefault="00BC18B3" w:rsidP="003F773E">
      <w:pPr>
        <w:spacing w:after="280"/>
      </w:pPr>
      <w:r w:rsidRPr="00BC18B3">
        <w:t>Research is important in increasing the stock of knowledge in Australia. It enables discovery of solutions such as new technologies to address climate change challenges, new medical treatments</w:t>
      </w:r>
      <w:r w:rsidR="00CB3434">
        <w:t>,</w:t>
      </w:r>
      <w:r w:rsidRPr="00BC18B3">
        <w:t xml:space="preserve"> and new ways of farming to increase efficiency. The</w:t>
      </w:r>
      <w:r w:rsidRPr="00BC18B3" w:rsidDel="008D4F54">
        <w:t xml:space="preserve"> </w:t>
      </w:r>
      <w:r w:rsidRPr="00BC18B3">
        <w:t xml:space="preserve">COVID-19 pandemic is a recent reminder of the vital importance of research. Research communities around the globe collaborated to devise vaccines and provide evidence on processes and strategies for public health management. </w:t>
      </w:r>
    </w:p>
    <w:p w14:paraId="5CBBEBCA" w14:textId="77777777" w:rsidR="00BC18B3" w:rsidRPr="00BC18B3" w:rsidRDefault="00BC18B3" w:rsidP="003F773E">
      <w:pPr>
        <w:spacing w:after="280"/>
      </w:pPr>
      <w:r w:rsidRPr="00BC18B3">
        <w:t xml:space="preserve">Research is also used to find faster, less costly and less resource-intensive ways of doing things. It allows businesses to stay ahead of new developments and, at the least, remain competitive with the rest of the world. Many businesses undertake their own R&amp;D for this reason. </w:t>
      </w:r>
    </w:p>
    <w:p w14:paraId="30517C5A" w14:textId="763A3C66" w:rsidR="00BC18B3" w:rsidRPr="00BC18B3" w:rsidRDefault="00BC18B3" w:rsidP="003F773E">
      <w:pPr>
        <w:spacing w:after="280"/>
      </w:pPr>
      <w:r w:rsidRPr="00BC18B3">
        <w:t xml:space="preserve">Access to research can also improve Government decision-making and lead to more effective policy development. For citizens, gaining access to the latest findings can translate to </w:t>
      </w:r>
      <w:r w:rsidR="00B85C82">
        <w:t>more informed and scientifically engaged</w:t>
      </w:r>
      <w:r w:rsidRPr="00BC18B3">
        <w:t xml:space="preserve"> decision making</w:t>
      </w:r>
      <w:r w:rsidR="0036675A">
        <w:t xml:space="preserve"> and thinking</w:t>
      </w:r>
      <w:r w:rsidRPr="00BC18B3">
        <w:t xml:space="preserve">. </w:t>
      </w:r>
    </w:p>
    <w:p w14:paraId="4F9239B1" w14:textId="00FD94BC" w:rsidR="00B14F0D" w:rsidRPr="00BC18B3" w:rsidRDefault="00B14F0D" w:rsidP="003F773E">
      <w:pPr>
        <w:spacing w:after="280"/>
      </w:pPr>
      <w:r>
        <w:t xml:space="preserve">Access to academic research is a key part of the education process from school age student through to working academics. Open access </w:t>
      </w:r>
      <w:r w:rsidR="00A138B9">
        <w:t xml:space="preserve">can reduce inequality in this learning process between institutions with unequal access to academic journals behind paywalls, and </w:t>
      </w:r>
      <w:r w:rsidR="005B4B33">
        <w:t>further enable education and skills development.</w:t>
      </w:r>
      <w:r w:rsidR="00A138B9">
        <w:t xml:space="preserve"> </w:t>
      </w:r>
    </w:p>
    <w:p w14:paraId="411C459D" w14:textId="619B33DD" w:rsidR="00BC18B3" w:rsidRPr="00BC18B3" w:rsidRDefault="00BC18B3" w:rsidP="003F773E">
      <w:pPr>
        <w:pStyle w:val="EYHeading2"/>
      </w:pPr>
      <w:bookmarkStart w:id="31" w:name="_Toc115717084"/>
      <w:r w:rsidRPr="00BC18B3">
        <w:lastRenderedPageBreak/>
        <w:t>The potential economic impacts of open access</w:t>
      </w:r>
      <w:bookmarkEnd w:id="31"/>
    </w:p>
    <w:p w14:paraId="74A7655C" w14:textId="77777777" w:rsidR="00BC18B3" w:rsidRPr="008F4662" w:rsidRDefault="00BC18B3" w:rsidP="003F773E">
      <w:pPr>
        <w:spacing w:before="240" w:after="280"/>
        <w:rPr>
          <w:rFonts w:ascii="EYInterstate" w:hAnsi="EYInterstate"/>
          <w:color w:val="000000" w:themeColor="background2"/>
          <w:sz w:val="24"/>
          <w:szCs w:val="24"/>
        </w:rPr>
      </w:pPr>
      <w:r w:rsidRPr="008F4662">
        <w:rPr>
          <w:rFonts w:ascii="EYInterstate" w:hAnsi="EYInterstate"/>
          <w:color w:val="000000" w:themeColor="background2"/>
          <w:sz w:val="24"/>
          <w:szCs w:val="24"/>
        </w:rPr>
        <w:t>The analytical approach for examining the economic potential</w:t>
      </w:r>
    </w:p>
    <w:p w14:paraId="54E865A5" w14:textId="7C244A4B" w:rsidR="00BC18B3" w:rsidRPr="00BC18B3" w:rsidRDefault="00BC18B3" w:rsidP="003F773E">
      <w:pPr>
        <w:spacing w:after="280"/>
        <w:rPr>
          <w:color w:val="000000" w:themeColor="background2"/>
        </w:rPr>
      </w:pPr>
      <w:r w:rsidRPr="00BC18B3">
        <w:rPr>
          <w:color w:val="000000" w:themeColor="background2"/>
        </w:rPr>
        <w:t xml:space="preserve">The economic impact of the proposed open access scheme is assessed using EY-GEM, EY’s in-house computable general equilibrium (CGE) model of the Australian economy. CGE models are used extensively by the Australian Government to assess the economy-wide impacts of major policy changes and investments. </w:t>
      </w:r>
    </w:p>
    <w:p w14:paraId="72904215" w14:textId="254F26EB" w:rsidR="00BC18B3" w:rsidRPr="00BC18B3" w:rsidRDefault="00BC18B3" w:rsidP="003F773E">
      <w:pPr>
        <w:spacing w:after="280"/>
        <w:rPr>
          <w:color w:val="000000" w:themeColor="background2"/>
        </w:rPr>
      </w:pPr>
      <w:r w:rsidRPr="00BC18B3">
        <w:rPr>
          <w:color w:val="000000" w:themeColor="background2"/>
        </w:rPr>
        <w:t xml:space="preserve">The core economic impact of a national open access regime is the productivity dividend associated with the increase in R&amp;D investment, better policy making and the broader dissemination of quality academic research into the community and business sector (see </w:t>
      </w:r>
      <w:r w:rsidR="00D746A2">
        <w:rPr>
          <w:color w:val="000000" w:themeColor="background2"/>
        </w:rPr>
        <w:fldChar w:fldCharType="begin"/>
      </w:r>
      <w:r w:rsidR="00D746A2">
        <w:rPr>
          <w:color w:val="000000" w:themeColor="background2"/>
        </w:rPr>
        <w:instrText xml:space="preserve"> REF _Ref115697809 \h </w:instrText>
      </w:r>
      <w:r w:rsidR="00D746A2">
        <w:rPr>
          <w:color w:val="000000" w:themeColor="background2"/>
        </w:rPr>
      </w:r>
      <w:r w:rsidR="00D746A2">
        <w:rPr>
          <w:color w:val="000000" w:themeColor="background2"/>
        </w:rPr>
        <w:fldChar w:fldCharType="separate"/>
      </w:r>
      <w:r w:rsidR="008112E6">
        <w:t xml:space="preserve">Figure </w:t>
      </w:r>
      <w:r w:rsidR="008112E6">
        <w:rPr>
          <w:noProof/>
        </w:rPr>
        <w:t>13</w:t>
      </w:r>
      <w:r w:rsidR="00D746A2">
        <w:rPr>
          <w:color w:val="000000" w:themeColor="background2"/>
        </w:rPr>
        <w:fldChar w:fldCharType="end"/>
      </w:r>
      <w:r w:rsidR="00D746A2">
        <w:rPr>
          <w:color w:val="000000" w:themeColor="background2"/>
        </w:rPr>
        <w:t>)</w:t>
      </w:r>
      <w:r w:rsidRPr="00BC18B3">
        <w:rPr>
          <w:color w:val="000000" w:themeColor="background2"/>
        </w:rPr>
        <w:t>.</w:t>
      </w:r>
    </w:p>
    <w:p w14:paraId="4913B036" w14:textId="4F03E49C" w:rsidR="00B17ED0" w:rsidRDefault="00B17ED0" w:rsidP="00B17ED0">
      <w:pPr>
        <w:pStyle w:val="Caption"/>
        <w:keepNext/>
      </w:pPr>
      <w:bookmarkStart w:id="32" w:name="_Ref115697809"/>
      <w:r>
        <w:t xml:space="preserve">Figure </w:t>
      </w:r>
      <w:r>
        <w:fldChar w:fldCharType="begin"/>
      </w:r>
      <w:r>
        <w:instrText xml:space="preserve"> SEQ Figure \* ARABIC </w:instrText>
      </w:r>
      <w:r>
        <w:fldChar w:fldCharType="separate"/>
      </w:r>
      <w:r w:rsidR="008112E6">
        <w:rPr>
          <w:noProof/>
        </w:rPr>
        <w:t>13</w:t>
      </w:r>
      <w:r>
        <w:fldChar w:fldCharType="end"/>
      </w:r>
      <w:bookmarkEnd w:id="32"/>
      <w:r>
        <w:t xml:space="preserve">: </w:t>
      </w:r>
      <w:r w:rsidRPr="00706F28">
        <w:t>Analytical framework</w:t>
      </w:r>
    </w:p>
    <w:p w14:paraId="033351FF" w14:textId="2A278ED7" w:rsidR="00BC18B3" w:rsidRPr="00BC18B3" w:rsidRDefault="00847257" w:rsidP="003F773E">
      <w:pPr>
        <w:rPr>
          <w:color w:val="000000" w:themeColor="background2"/>
        </w:rPr>
      </w:pPr>
      <w:r w:rsidRPr="00847257">
        <w:rPr>
          <w:noProof/>
        </w:rPr>
        <w:drawing>
          <wp:inline distT="0" distB="0" distL="0" distR="0" wp14:anchorId="50871222" wp14:editId="0F6FB4FE">
            <wp:extent cx="4645007" cy="2257425"/>
            <wp:effectExtent l="0" t="0" r="0" b="0"/>
            <wp:docPr id="69" name="Picture 69" descr="A flow diagram of the impact of the open access model, including a potential direct impact on industry R&amp;D, government policy making and supporting the knowledge economy. In turn, this leads to wider economic implications for investment, employment and GD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flow diagram of the impact of the open access model, including a potential direct impact on industry R&amp;D, government policy making and supporting the knowledge economy. In turn, this leads to wider economic implications for investment, employment and GDP.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55866" cy="2262703"/>
                    </a:xfrm>
                    <a:prstGeom prst="rect">
                      <a:avLst/>
                    </a:prstGeom>
                    <a:noFill/>
                    <a:ln>
                      <a:noFill/>
                    </a:ln>
                  </pic:spPr>
                </pic:pic>
              </a:graphicData>
            </a:graphic>
          </wp:inline>
        </w:drawing>
      </w:r>
    </w:p>
    <w:p w14:paraId="62DD4BF2" w14:textId="77777777" w:rsidR="00BC18B3" w:rsidRPr="00BC18B3" w:rsidRDefault="00BC18B3" w:rsidP="003F773E">
      <w:pPr>
        <w:spacing w:after="280"/>
        <w:rPr>
          <w:b/>
          <w:bCs/>
          <w:color w:val="747480"/>
          <w:sz w:val="16"/>
          <w:szCs w:val="18"/>
        </w:rPr>
      </w:pPr>
      <w:r w:rsidRPr="00BC18B3">
        <w:rPr>
          <w:b/>
          <w:bCs/>
          <w:color w:val="747480"/>
          <w:sz w:val="16"/>
          <w:szCs w:val="18"/>
        </w:rPr>
        <w:t>Source: EY analysis</w:t>
      </w:r>
    </w:p>
    <w:p w14:paraId="5EB7787A" w14:textId="77777777" w:rsidR="00BC18B3" w:rsidRPr="00BC18B3" w:rsidRDefault="00BC18B3" w:rsidP="003F773E">
      <w:pPr>
        <w:spacing w:after="280"/>
        <w:rPr>
          <w:i/>
          <w:iCs/>
          <w:color w:val="000000" w:themeColor="background2"/>
        </w:rPr>
      </w:pPr>
      <w:r w:rsidRPr="00BC18B3">
        <w:rPr>
          <w:i/>
          <w:iCs/>
          <w:color w:val="000000" w:themeColor="background2"/>
        </w:rPr>
        <w:t>Key modelling channels and assumptions</w:t>
      </w:r>
    </w:p>
    <w:p w14:paraId="3F95D0F0" w14:textId="77777777" w:rsidR="00BC18B3" w:rsidRPr="00BC18B3" w:rsidRDefault="00BC18B3" w:rsidP="003F773E">
      <w:pPr>
        <w:numPr>
          <w:ilvl w:val="0"/>
          <w:numId w:val="8"/>
        </w:numPr>
        <w:autoSpaceDE/>
        <w:autoSpaceDN/>
        <w:adjustRightInd/>
        <w:spacing w:after="240"/>
        <w:ind w:left="567" w:hanging="567"/>
        <w:rPr>
          <w:szCs w:val="24"/>
        </w:rPr>
      </w:pPr>
      <w:r w:rsidRPr="00BC18B3">
        <w:rPr>
          <w:szCs w:val="24"/>
        </w:rPr>
        <w:t>Businesses may increase R&amp;D, boosting industry productivity. Highly innovative industries will increase R&amp;D where there is currently a knowledge barrier to innovation. This leads to an increase in productivity.</w:t>
      </w:r>
    </w:p>
    <w:p w14:paraId="717D6140" w14:textId="42826274" w:rsidR="00BC18B3" w:rsidRPr="00BC18B3" w:rsidRDefault="00BC18B3" w:rsidP="003F773E">
      <w:pPr>
        <w:numPr>
          <w:ilvl w:val="0"/>
          <w:numId w:val="8"/>
        </w:numPr>
        <w:autoSpaceDE/>
        <w:autoSpaceDN/>
        <w:adjustRightInd/>
        <w:spacing w:after="240"/>
        <w:ind w:left="567" w:hanging="567"/>
        <w:rPr>
          <w:szCs w:val="24"/>
        </w:rPr>
      </w:pPr>
      <w:r w:rsidRPr="00BC18B3">
        <w:rPr>
          <w:szCs w:val="24"/>
        </w:rPr>
        <w:t>There may be a broader economy-wide increase in productivity, reflecting several channels.</w:t>
      </w:r>
    </w:p>
    <w:p w14:paraId="7208BAD3" w14:textId="6A898928" w:rsidR="00BC18B3" w:rsidRPr="00BC18B3" w:rsidRDefault="00BC18B3" w:rsidP="003F773E">
      <w:pPr>
        <w:numPr>
          <w:ilvl w:val="2"/>
          <w:numId w:val="7"/>
        </w:numPr>
        <w:tabs>
          <w:tab w:val="num" w:pos="0"/>
        </w:tabs>
        <w:spacing w:after="240"/>
        <w:ind w:left="1275"/>
        <w:rPr>
          <w:szCs w:val="24"/>
        </w:rPr>
      </w:pPr>
      <w:r w:rsidRPr="00BC18B3">
        <w:rPr>
          <w:szCs w:val="24"/>
        </w:rPr>
        <w:t xml:space="preserve">There may be an increase </w:t>
      </w:r>
      <w:r w:rsidR="003D695F">
        <w:rPr>
          <w:szCs w:val="24"/>
        </w:rPr>
        <w:t xml:space="preserve">in </w:t>
      </w:r>
      <w:r w:rsidRPr="00BC18B3">
        <w:rPr>
          <w:szCs w:val="24"/>
        </w:rPr>
        <w:t xml:space="preserve">R&amp;D </w:t>
      </w:r>
      <w:r w:rsidR="003D695F">
        <w:rPr>
          <w:szCs w:val="24"/>
        </w:rPr>
        <w:t>for</w:t>
      </w:r>
      <w:r w:rsidRPr="00BC18B3">
        <w:rPr>
          <w:szCs w:val="24"/>
        </w:rPr>
        <w:t xml:space="preserve"> Government services, enhancing policy making and boosting productivity across the whole economy.</w:t>
      </w:r>
    </w:p>
    <w:p w14:paraId="53F4241E" w14:textId="1F07CB1E" w:rsidR="00BC18B3" w:rsidRPr="00BC18B3" w:rsidRDefault="00BC18B3" w:rsidP="003F773E">
      <w:pPr>
        <w:numPr>
          <w:ilvl w:val="2"/>
          <w:numId w:val="7"/>
        </w:numPr>
        <w:tabs>
          <w:tab w:val="num" w:pos="0"/>
        </w:tabs>
        <w:spacing w:after="240"/>
        <w:ind w:left="1275"/>
        <w:rPr>
          <w:szCs w:val="24"/>
        </w:rPr>
      </w:pPr>
      <w:r w:rsidRPr="00BC18B3">
        <w:rPr>
          <w:szCs w:val="24"/>
        </w:rPr>
        <w:t>There may be an increase in the efficiency with which venture capital is allocated, so that it goes to the highest value areas, improving the productivity of the economy.</w:t>
      </w:r>
    </w:p>
    <w:p w14:paraId="581A694A" w14:textId="0908029D" w:rsidR="00BC18B3" w:rsidRPr="00BC18B3" w:rsidRDefault="00BC18B3" w:rsidP="003F773E">
      <w:pPr>
        <w:numPr>
          <w:ilvl w:val="2"/>
          <w:numId w:val="7"/>
        </w:numPr>
        <w:tabs>
          <w:tab w:val="num" w:pos="0"/>
        </w:tabs>
        <w:spacing w:after="240"/>
        <w:ind w:left="1275"/>
        <w:rPr>
          <w:szCs w:val="24"/>
        </w:rPr>
      </w:pPr>
      <w:r w:rsidRPr="00BC18B3">
        <w:rPr>
          <w:szCs w:val="24"/>
        </w:rPr>
        <w:t xml:space="preserve">There may be increased R&amp;D from businesses in sectors </w:t>
      </w:r>
      <w:r w:rsidR="00C040D1">
        <w:rPr>
          <w:szCs w:val="24"/>
        </w:rPr>
        <w:t>other</w:t>
      </w:r>
      <w:r w:rsidRPr="00BC18B3">
        <w:rPr>
          <w:szCs w:val="24"/>
        </w:rPr>
        <w:t xml:space="preserve"> than those specifically modelled in step 1.</w:t>
      </w:r>
    </w:p>
    <w:p w14:paraId="08462649" w14:textId="77777777" w:rsidR="00BC18B3" w:rsidRPr="00BC18B3" w:rsidRDefault="00BC18B3" w:rsidP="003F773E">
      <w:pPr>
        <w:spacing w:after="280"/>
        <w:rPr>
          <w:color w:val="000000" w:themeColor="background2"/>
        </w:rPr>
      </w:pPr>
      <w:r w:rsidRPr="00BC18B3">
        <w:rPr>
          <w:color w:val="000000" w:themeColor="background2"/>
        </w:rPr>
        <w:t>The economic impacts are based on some key assumptions.</w:t>
      </w:r>
    </w:p>
    <w:p w14:paraId="06376F4D" w14:textId="3A3FF09C" w:rsidR="00BC18B3" w:rsidRPr="00BC18B3" w:rsidRDefault="00BC18B3" w:rsidP="008F4662">
      <w:pPr>
        <w:pStyle w:val="EYBulletnoparaspace"/>
        <w:ind w:left="426"/>
      </w:pPr>
      <w:r w:rsidRPr="00BC18B3">
        <w:t>Each industry increases R&amp;D by the proportion of firms for which access constraints to academic journals form a barrier to innovation</w:t>
      </w:r>
      <w:r w:rsidR="007537CF">
        <w:t>,</w:t>
      </w:r>
      <w:r w:rsidRPr="00BC18B3">
        <w:t xml:space="preserve"> in line with ABS data</w:t>
      </w:r>
      <w:r w:rsidR="007537CF">
        <w:t xml:space="preserve">. </w:t>
      </w:r>
    </w:p>
    <w:p w14:paraId="17B599F8" w14:textId="77777777" w:rsidR="00BC18B3" w:rsidRPr="00BC18B3" w:rsidRDefault="00BC18B3" w:rsidP="008F4662">
      <w:pPr>
        <w:pStyle w:val="EYBulletnoparaspace"/>
        <w:ind w:left="426"/>
      </w:pPr>
      <w:r w:rsidRPr="00BC18B3">
        <w:t>The increase in R&amp;D is in line with the average R&amp;D expenditure for each industry. This is based on ABS data on R&amp;D.</w:t>
      </w:r>
    </w:p>
    <w:p w14:paraId="07AB74BA" w14:textId="0C1E1560" w:rsidR="00BB0A7C" w:rsidRPr="00362FB9" w:rsidRDefault="00BB0A7C" w:rsidP="008F4662">
      <w:pPr>
        <w:pStyle w:val="EYBulletnoparaspace"/>
        <w:ind w:left="426"/>
      </w:pPr>
      <w:r w:rsidRPr="00362FB9">
        <w:lastRenderedPageBreak/>
        <w:t xml:space="preserve">For every 1% increase in R&amp;D, </w:t>
      </w:r>
      <w:r w:rsidR="00460DF7" w:rsidRPr="00362FB9">
        <w:t xml:space="preserve">the increase </w:t>
      </w:r>
      <w:r w:rsidR="00CD36D2" w:rsidRPr="00362FB9">
        <w:t xml:space="preserve">in productivity </w:t>
      </w:r>
      <w:r w:rsidR="00BC18B3" w:rsidRPr="00362FB9">
        <w:t xml:space="preserve">is assumed to </w:t>
      </w:r>
      <w:r w:rsidR="00CD36D2" w:rsidRPr="00362FB9">
        <w:t>be</w:t>
      </w:r>
      <w:r w:rsidR="00F44486" w:rsidRPr="00362FB9">
        <w:t xml:space="preserve"> </w:t>
      </w:r>
      <w:r w:rsidR="00346C04" w:rsidRPr="00362FB9">
        <w:t>0.07</w:t>
      </w:r>
      <w:r w:rsidR="00BC18B3" w:rsidRPr="00362FB9">
        <w:t xml:space="preserve">% </w:t>
      </w:r>
      <w:r w:rsidR="000A7CBE" w:rsidRPr="00362FB9">
        <w:t>for industry and 0.28% for government</w:t>
      </w:r>
      <w:r w:rsidR="00CD36D2" w:rsidRPr="00362FB9">
        <w:t xml:space="preserve">. This </w:t>
      </w:r>
      <w:r w:rsidR="00BC18B3" w:rsidRPr="00362FB9">
        <w:t>is in line with studies conducted by the OECD and the Productivity Commission</w:t>
      </w:r>
      <w:r w:rsidR="00CD36D2" w:rsidRPr="00362FB9">
        <w:t>.</w:t>
      </w:r>
    </w:p>
    <w:p w14:paraId="38C36648" w14:textId="12C7E560" w:rsidR="00BC18B3" w:rsidRPr="00362FB9" w:rsidRDefault="00BC18B3" w:rsidP="008F4662">
      <w:pPr>
        <w:pStyle w:val="EYBulletnoparaspace"/>
        <w:ind w:left="426"/>
      </w:pPr>
      <w:r w:rsidRPr="00362FB9">
        <w:t>The productivity improvements from increased access to research will increase gradually as industry slowly becomes aware of the research and adopts it into new technologies or practices.</w:t>
      </w:r>
    </w:p>
    <w:p w14:paraId="3B37AF99" w14:textId="5E76CCBC" w:rsidR="00BC18B3" w:rsidRPr="00BC18B3" w:rsidRDefault="00BC18B3" w:rsidP="008F4662">
      <w:pPr>
        <w:pStyle w:val="EYBodytextwithoutparaspace"/>
      </w:pPr>
      <w:r w:rsidRPr="00BC18B3">
        <w:t>Recognising the uncertainty o</w:t>
      </w:r>
      <w:r w:rsidR="007B3C95">
        <w:t>f</w:t>
      </w:r>
      <w:r w:rsidRPr="00BC18B3">
        <w:t xml:space="preserve"> the pace and intensity of the se</w:t>
      </w:r>
      <w:r w:rsidR="00100FA9">
        <w:t>ctoral</w:t>
      </w:r>
      <w:r w:rsidRPr="00BC18B3">
        <w:t xml:space="preserve"> and broad-based productivity impacts, two adoption pathways of open access (a low and a high scenario) have been modelled:</w:t>
      </w:r>
    </w:p>
    <w:p w14:paraId="62585972" w14:textId="6657B3BC" w:rsidR="00BC18B3" w:rsidRPr="00BC18B3" w:rsidRDefault="00BC18B3" w:rsidP="008F4662">
      <w:pPr>
        <w:pStyle w:val="EYBulletnoparaspace"/>
        <w:ind w:left="426"/>
      </w:pPr>
      <w:r w:rsidRPr="00BC18B3">
        <w:rPr>
          <w:b/>
        </w:rPr>
        <w:t>High scenario</w:t>
      </w:r>
      <w:r w:rsidRPr="00BC18B3">
        <w:t xml:space="preserve"> — The first pathway assumes constant compounding of the productivity dividend, meaning that the </w:t>
      </w:r>
      <w:r w:rsidR="00003474">
        <w:t>initial</w:t>
      </w:r>
      <w:r w:rsidR="002E6691">
        <w:t xml:space="preserve"> growth of</w:t>
      </w:r>
      <w:r w:rsidRPr="00BC18B3">
        <w:t xml:space="preserve"> </w:t>
      </w:r>
      <w:r w:rsidR="002E6691">
        <w:t xml:space="preserve">productivity </w:t>
      </w:r>
      <w:r w:rsidRPr="00BC18B3">
        <w:t xml:space="preserve">benefits of open access </w:t>
      </w:r>
      <w:r w:rsidR="00003474">
        <w:t>remain</w:t>
      </w:r>
      <w:r w:rsidR="002E6691">
        <w:t>s</w:t>
      </w:r>
      <w:r w:rsidR="00003474">
        <w:t xml:space="preserve"> </w:t>
      </w:r>
      <w:r w:rsidR="002E6691">
        <w:t>constant</w:t>
      </w:r>
      <w:r w:rsidR="006947C5">
        <w:t xml:space="preserve"> over time</w:t>
      </w:r>
      <w:r w:rsidRPr="00BC18B3">
        <w:t>.</w:t>
      </w:r>
    </w:p>
    <w:p w14:paraId="726C5496" w14:textId="136E1CAE" w:rsidR="00BC18B3" w:rsidRPr="00BC18B3" w:rsidRDefault="00BC18B3" w:rsidP="008F4662">
      <w:pPr>
        <w:pStyle w:val="EYBulletnoparaspace"/>
        <w:ind w:left="426"/>
      </w:pPr>
      <w:r w:rsidRPr="00BC18B3">
        <w:rPr>
          <w:b/>
        </w:rPr>
        <w:t>Low scenario</w:t>
      </w:r>
      <w:r w:rsidRPr="00BC18B3">
        <w:t xml:space="preserve"> — The second pathway assumes a linear decay in the productivity improvements, meaning that the </w:t>
      </w:r>
      <w:r w:rsidR="008A69D1">
        <w:t xml:space="preserve">productivity </w:t>
      </w:r>
      <w:r w:rsidRPr="00BC18B3">
        <w:t xml:space="preserve">benefits of open access </w:t>
      </w:r>
      <w:r w:rsidR="00DE28AF">
        <w:t>see no further increases</w:t>
      </w:r>
      <w:r w:rsidRPr="00BC18B3">
        <w:t xml:space="preserve"> over time</w:t>
      </w:r>
      <w:r w:rsidR="00D22920">
        <w:t xml:space="preserve">, however the benefits are still retained compared with the starting point. </w:t>
      </w:r>
    </w:p>
    <w:p w14:paraId="40F5E718" w14:textId="77777777" w:rsidR="00BC18B3" w:rsidRPr="00382F10" w:rsidRDefault="00BC18B3" w:rsidP="00F94181">
      <w:pPr>
        <w:spacing w:before="240" w:after="280"/>
        <w:rPr>
          <w:rFonts w:ascii="EYInterstate" w:hAnsi="EYInterstate"/>
          <w:color w:val="000000" w:themeColor="background2"/>
          <w:sz w:val="24"/>
          <w:szCs w:val="24"/>
        </w:rPr>
      </w:pPr>
      <w:r w:rsidRPr="00382F10">
        <w:rPr>
          <w:rFonts w:ascii="EYInterstate" w:hAnsi="EYInterstate"/>
          <w:color w:val="000000" w:themeColor="background2"/>
          <w:sz w:val="24"/>
          <w:szCs w:val="24"/>
        </w:rPr>
        <w:t>The potential economic impacts</w:t>
      </w:r>
    </w:p>
    <w:p w14:paraId="34AF4D13" w14:textId="77777777" w:rsidR="00BC18B3" w:rsidRPr="00BC18B3" w:rsidRDefault="00BC18B3" w:rsidP="00382F10">
      <w:pPr>
        <w:pStyle w:val="EYBodytextwithoutparaspace"/>
        <w:rPr>
          <w:shd w:val="clear" w:color="auto" w:fill="FFFFFF"/>
        </w:rPr>
      </w:pPr>
      <w:r w:rsidRPr="00BC18B3">
        <w:rPr>
          <w:shd w:val="clear" w:color="auto" w:fill="FFFFFF"/>
        </w:rPr>
        <w:t xml:space="preserve">Open access has the potential to stimulate more R&amp;D activity across our economy. This is a critical driver of productivity which, over time, can enable </w:t>
      </w:r>
      <w:r w:rsidRPr="00BC18B3">
        <w:t>Australian businesses and governments to operate more efficiently and boost the productive capacity of the economy.</w:t>
      </w:r>
    </w:p>
    <w:p w14:paraId="442CA513" w14:textId="28B26A29" w:rsidR="00BC18B3" w:rsidRPr="003E15D7" w:rsidRDefault="00D50DA1" w:rsidP="00382F10">
      <w:pPr>
        <w:pStyle w:val="EYBodytextwithoutparaspace"/>
      </w:pPr>
      <w:r w:rsidRPr="003E15D7">
        <w:t xml:space="preserve">An open access model </w:t>
      </w:r>
      <w:r w:rsidR="00712E80" w:rsidRPr="003E15D7">
        <w:t>w</w:t>
      </w:r>
      <w:r w:rsidRPr="003E15D7">
        <w:t>ould</w:t>
      </w:r>
      <w:r w:rsidR="00712E80" w:rsidRPr="003E15D7">
        <w:t xml:space="preserve"> likely</w:t>
      </w:r>
      <w:r w:rsidRPr="003E15D7">
        <w:t xml:space="preserve"> reduce </w:t>
      </w:r>
      <w:r w:rsidR="006C56D6" w:rsidRPr="003E15D7">
        <w:t>the cost of undertaking R</w:t>
      </w:r>
      <w:r w:rsidR="0088021B" w:rsidRPr="003E15D7">
        <w:t>&amp;D</w:t>
      </w:r>
      <w:r w:rsidR="00712E80" w:rsidRPr="003E15D7">
        <w:t xml:space="preserve">, generating greater </w:t>
      </w:r>
      <w:r w:rsidR="00474015">
        <w:t xml:space="preserve">productivity </w:t>
      </w:r>
      <w:r w:rsidR="00712E80" w:rsidRPr="003E15D7">
        <w:t>returns on investments into research</w:t>
      </w:r>
      <w:r w:rsidR="00115C30" w:rsidRPr="003E15D7">
        <w:t>. These greater returns attract more b</w:t>
      </w:r>
      <w:r w:rsidR="00BC18B3" w:rsidRPr="003E15D7">
        <w:t xml:space="preserve">usiness investment, particularly in non-mining activities, </w:t>
      </w:r>
      <w:r w:rsidR="00FD0EF7" w:rsidRPr="003E15D7">
        <w:t>which</w:t>
      </w:r>
      <w:r w:rsidR="00BC18B3" w:rsidRPr="003E15D7">
        <w:t xml:space="preserve"> could </w:t>
      </w:r>
      <w:r w:rsidR="006D7708">
        <w:t xml:space="preserve">increase </w:t>
      </w:r>
      <w:r w:rsidR="00D552A7" w:rsidRPr="00FB2C72">
        <w:t xml:space="preserve">investment in 2030 </w:t>
      </w:r>
      <w:r w:rsidR="006D7708">
        <w:t>by</w:t>
      </w:r>
      <w:r w:rsidR="00BC18B3" w:rsidRPr="003E15D7">
        <w:t xml:space="preserve"> </w:t>
      </w:r>
      <w:r w:rsidR="00BC18B3" w:rsidRPr="00FB2C72">
        <w:t>$</w:t>
      </w:r>
      <w:r w:rsidR="006D7708" w:rsidRPr="00FB2C72">
        <w:t>428 m</w:t>
      </w:r>
      <w:r w:rsidR="00BC18B3" w:rsidRPr="00FB2C72">
        <w:t xml:space="preserve">illion and increase </w:t>
      </w:r>
      <w:r w:rsidR="00FB2C72" w:rsidRPr="00FB2C72">
        <w:t xml:space="preserve">net </w:t>
      </w:r>
      <w:r w:rsidR="000F0FC8" w:rsidRPr="00FB2C72">
        <w:t xml:space="preserve">investment </w:t>
      </w:r>
      <w:r w:rsidR="00BC18B3" w:rsidRPr="00FB2C72">
        <w:t>over the next 28 years</w:t>
      </w:r>
      <w:r w:rsidR="00BC18B3" w:rsidRPr="003E15D7">
        <w:t xml:space="preserve"> </w:t>
      </w:r>
      <w:r w:rsidR="00FB2C72" w:rsidRPr="00FB2C72">
        <w:t xml:space="preserve">by over $12.9 billion </w:t>
      </w:r>
      <w:r w:rsidR="00BC18B3" w:rsidRPr="003E15D7">
        <w:t>under the high scenario (</w:t>
      </w:r>
      <w:r w:rsidR="002927E2">
        <w:fldChar w:fldCharType="begin"/>
      </w:r>
      <w:r w:rsidR="002927E2">
        <w:instrText xml:space="preserve"> REF _Ref115697853 \h </w:instrText>
      </w:r>
      <w:r w:rsidR="002927E2">
        <w:fldChar w:fldCharType="separate"/>
      </w:r>
      <w:r w:rsidR="008112E6">
        <w:t xml:space="preserve">Figure </w:t>
      </w:r>
      <w:r w:rsidR="008112E6">
        <w:rPr>
          <w:noProof/>
        </w:rPr>
        <w:t>14</w:t>
      </w:r>
      <w:r w:rsidR="002927E2">
        <w:fldChar w:fldCharType="end"/>
      </w:r>
      <w:r w:rsidR="00BC18B3" w:rsidRPr="003E15D7">
        <w:t>).</w:t>
      </w:r>
      <w:r w:rsidR="008D7F1F" w:rsidRPr="003E15D7">
        <w:t xml:space="preserve"> </w:t>
      </w:r>
    </w:p>
    <w:p w14:paraId="392E4DE6" w14:textId="5E85F296" w:rsidR="002927E2" w:rsidRDefault="002927E2" w:rsidP="002927E2">
      <w:pPr>
        <w:pStyle w:val="Caption"/>
        <w:keepNext/>
      </w:pPr>
      <w:bookmarkStart w:id="33" w:name="_Ref115697853"/>
      <w:r>
        <w:t xml:space="preserve">Figure </w:t>
      </w:r>
      <w:r>
        <w:fldChar w:fldCharType="begin"/>
      </w:r>
      <w:r>
        <w:instrText xml:space="preserve"> SEQ Figure \* ARABIC </w:instrText>
      </w:r>
      <w:r>
        <w:fldChar w:fldCharType="separate"/>
      </w:r>
      <w:r w:rsidR="008112E6">
        <w:rPr>
          <w:noProof/>
        </w:rPr>
        <w:t>14</w:t>
      </w:r>
      <w:r>
        <w:fldChar w:fldCharType="end"/>
      </w:r>
      <w:bookmarkEnd w:id="33"/>
      <w:r>
        <w:t xml:space="preserve">: </w:t>
      </w:r>
      <w:r w:rsidRPr="00204939">
        <w:t>Investment impacts</w:t>
      </w:r>
    </w:p>
    <w:p w14:paraId="59F9DAC9" w14:textId="06303136" w:rsidR="00BC18B3" w:rsidRPr="00BC18B3" w:rsidRDefault="00182DA4" w:rsidP="003F773E">
      <w:pPr>
        <w:rPr>
          <w:color w:val="000000" w:themeColor="background2"/>
        </w:rPr>
      </w:pPr>
      <w:r>
        <w:rPr>
          <w:noProof/>
        </w:rPr>
        <w:drawing>
          <wp:inline distT="0" distB="0" distL="0" distR="0" wp14:anchorId="4B9FB7B4" wp14:editId="2877AF50">
            <wp:extent cx="5632450" cy="2491153"/>
            <wp:effectExtent l="0" t="0" r="0" b="0"/>
            <wp:docPr id="680" name="Chart 680" descr="The figure shows a Line graph tracking the predicted increase in productivity returns on investments in R&amp;D (in millions) from 2023 to 2050 as a result of an open access model.">
              <a:extLst xmlns:a="http://schemas.openxmlformats.org/drawingml/2006/main">
                <a:ext uri="{FF2B5EF4-FFF2-40B4-BE49-F238E27FC236}">
                  <a16:creationId xmlns:a16="http://schemas.microsoft.com/office/drawing/2014/main" id="{0A541F23-6377-42FB-B207-29C488D82C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14B2443" w14:textId="77777777" w:rsidR="00BC18B3" w:rsidRPr="00BC18B3" w:rsidRDefault="00BC18B3" w:rsidP="003F773E">
      <w:pPr>
        <w:spacing w:after="280"/>
        <w:rPr>
          <w:b/>
          <w:bCs/>
          <w:color w:val="747480"/>
          <w:sz w:val="16"/>
          <w:szCs w:val="18"/>
        </w:rPr>
      </w:pPr>
      <w:r w:rsidRPr="00BC18B3">
        <w:rPr>
          <w:b/>
          <w:bCs/>
          <w:color w:val="747480"/>
          <w:sz w:val="16"/>
          <w:szCs w:val="18"/>
        </w:rPr>
        <w:t>Source: EY analysis</w:t>
      </w:r>
    </w:p>
    <w:p w14:paraId="1ABB16FA" w14:textId="73755C42" w:rsidR="00BC18B3" w:rsidRPr="00BC18B3" w:rsidRDefault="00BC18B3" w:rsidP="003F773E">
      <w:pPr>
        <w:spacing w:after="280"/>
        <w:rPr>
          <w:color w:val="000000" w:themeColor="background2"/>
        </w:rPr>
      </w:pPr>
      <w:r w:rsidRPr="00BC18B3">
        <w:rPr>
          <w:color w:val="000000" w:themeColor="background2"/>
        </w:rPr>
        <w:t>Importantly, the increase in investment will drive increased economic activity</w:t>
      </w:r>
      <w:r w:rsidR="00946C2E">
        <w:rPr>
          <w:color w:val="000000" w:themeColor="background2"/>
        </w:rPr>
        <w:t xml:space="preserve"> through improved productivity</w:t>
      </w:r>
      <w:r w:rsidRPr="00BC18B3">
        <w:rPr>
          <w:color w:val="000000" w:themeColor="background2"/>
        </w:rPr>
        <w:t>, leading to higher economic output and employment.</w:t>
      </w:r>
    </w:p>
    <w:p w14:paraId="166D393C" w14:textId="0A19075D" w:rsidR="00BC18B3" w:rsidRPr="00BC18B3" w:rsidRDefault="00BC18B3" w:rsidP="003F773E">
      <w:pPr>
        <w:spacing w:after="280"/>
        <w:rPr>
          <w:color w:val="000000" w:themeColor="background2"/>
        </w:rPr>
      </w:pPr>
      <w:r w:rsidRPr="00BC18B3">
        <w:rPr>
          <w:color w:val="000000" w:themeColor="background2"/>
        </w:rPr>
        <w:t>The increase in the productive capacity</w:t>
      </w:r>
      <w:r w:rsidR="0027062F">
        <w:rPr>
          <w:color w:val="000000" w:themeColor="background2"/>
        </w:rPr>
        <w:t xml:space="preserve"> from the open access scheme</w:t>
      </w:r>
      <w:r w:rsidRPr="00BC18B3">
        <w:rPr>
          <w:color w:val="000000" w:themeColor="background2"/>
        </w:rPr>
        <w:t xml:space="preserve">, through </w:t>
      </w:r>
      <w:r w:rsidR="0027062F">
        <w:rPr>
          <w:color w:val="000000" w:themeColor="background2"/>
        </w:rPr>
        <w:t>increased</w:t>
      </w:r>
      <w:r w:rsidRPr="00BC18B3">
        <w:rPr>
          <w:color w:val="000000" w:themeColor="background2"/>
        </w:rPr>
        <w:t xml:space="preserve"> investment, will significantly boost Australia’s GDP. GDP is modelled to increase slowly over the next decade in the high scenario, to be </w:t>
      </w:r>
      <w:r w:rsidRPr="00C94F30">
        <w:rPr>
          <w:color w:val="000000" w:themeColor="background2"/>
        </w:rPr>
        <w:t>$</w:t>
      </w:r>
      <w:r w:rsidR="00C94F30" w:rsidRPr="00C94F30">
        <w:rPr>
          <w:color w:val="000000" w:themeColor="background2"/>
        </w:rPr>
        <w:t>790</w:t>
      </w:r>
      <w:r w:rsidR="00BF6240" w:rsidRPr="00C94F30">
        <w:rPr>
          <w:color w:val="000000" w:themeColor="background2"/>
        </w:rPr>
        <w:t xml:space="preserve"> </w:t>
      </w:r>
      <w:r w:rsidRPr="00C94F30">
        <w:rPr>
          <w:color w:val="000000" w:themeColor="background2"/>
        </w:rPr>
        <w:t>million above the baseline in 2030</w:t>
      </w:r>
      <w:r w:rsidRPr="00BC18B3">
        <w:rPr>
          <w:color w:val="000000" w:themeColor="background2"/>
        </w:rPr>
        <w:t>.</w:t>
      </w:r>
    </w:p>
    <w:p w14:paraId="7739600D" w14:textId="2B8A8751" w:rsidR="00BC18B3" w:rsidRPr="00BC18B3" w:rsidRDefault="00BC18B3" w:rsidP="003F773E">
      <w:pPr>
        <w:spacing w:after="280"/>
        <w:rPr>
          <w:color w:val="000000" w:themeColor="background2"/>
        </w:rPr>
      </w:pPr>
      <w:r w:rsidRPr="00BC18B3">
        <w:rPr>
          <w:color w:val="000000" w:themeColor="background2"/>
        </w:rPr>
        <w:lastRenderedPageBreak/>
        <w:t xml:space="preserve">After 2030, the full benefits of national open access are realised, as new technologies and operations are adopted throughout the economy. </w:t>
      </w:r>
      <w:r w:rsidR="001B3D6A">
        <w:rPr>
          <w:color w:val="000000" w:themeColor="background2"/>
        </w:rPr>
        <w:t>Scenario modelling</w:t>
      </w:r>
      <w:r w:rsidRPr="00BC18B3">
        <w:rPr>
          <w:color w:val="000000" w:themeColor="background2"/>
        </w:rPr>
        <w:t xml:space="preserve"> suggests that the economic payoff from open access </w:t>
      </w:r>
      <w:r w:rsidRPr="00CF0F8C">
        <w:rPr>
          <w:color w:val="000000" w:themeColor="background2"/>
        </w:rPr>
        <w:t>could see GDP increase by between $</w:t>
      </w:r>
      <w:r w:rsidR="00D45081" w:rsidRPr="00CF0F8C">
        <w:rPr>
          <w:color w:val="000000" w:themeColor="background2"/>
        </w:rPr>
        <w:t>2.9</w:t>
      </w:r>
      <w:r w:rsidRPr="00CF0F8C">
        <w:rPr>
          <w:color w:val="000000" w:themeColor="background2"/>
        </w:rPr>
        <w:t xml:space="preserve"> billion </w:t>
      </w:r>
      <w:r w:rsidR="00E31ECB" w:rsidRPr="00CF0F8C">
        <w:rPr>
          <w:color w:val="000000" w:themeColor="background2"/>
        </w:rPr>
        <w:t>(low scenario)</w:t>
      </w:r>
      <w:r w:rsidRPr="00CF0F8C">
        <w:rPr>
          <w:color w:val="000000" w:themeColor="background2"/>
        </w:rPr>
        <w:t xml:space="preserve"> and $</w:t>
      </w:r>
      <w:r w:rsidR="00CF0F8C" w:rsidRPr="00CF0F8C">
        <w:rPr>
          <w:color w:val="000000" w:themeColor="background2"/>
        </w:rPr>
        <w:t>5.8</w:t>
      </w:r>
      <w:r w:rsidR="004C4524">
        <w:rPr>
          <w:color w:val="000000" w:themeColor="background2"/>
        </w:rPr>
        <w:t> </w:t>
      </w:r>
      <w:r w:rsidRPr="00CF0F8C">
        <w:rPr>
          <w:color w:val="000000" w:themeColor="background2"/>
        </w:rPr>
        <w:t xml:space="preserve">billion </w:t>
      </w:r>
      <w:r w:rsidR="00E31ECB" w:rsidRPr="00CF0F8C">
        <w:rPr>
          <w:color w:val="000000" w:themeColor="background2"/>
        </w:rPr>
        <w:t>(high scenario)</w:t>
      </w:r>
      <w:r w:rsidRPr="00CF0F8C">
        <w:rPr>
          <w:color w:val="000000" w:themeColor="background2"/>
        </w:rPr>
        <w:t xml:space="preserve"> in 2050 (</w:t>
      </w:r>
      <w:r w:rsidR="004C4524">
        <w:rPr>
          <w:color w:val="000000" w:themeColor="background2"/>
        </w:rPr>
        <w:fldChar w:fldCharType="begin"/>
      </w:r>
      <w:r w:rsidR="004C4524">
        <w:rPr>
          <w:color w:val="000000" w:themeColor="background2"/>
        </w:rPr>
        <w:instrText xml:space="preserve"> REF _Ref115697915 \h </w:instrText>
      </w:r>
      <w:r w:rsidR="004C4524">
        <w:rPr>
          <w:color w:val="000000" w:themeColor="background2"/>
        </w:rPr>
      </w:r>
      <w:r w:rsidR="004C4524">
        <w:rPr>
          <w:color w:val="000000" w:themeColor="background2"/>
        </w:rPr>
        <w:fldChar w:fldCharType="separate"/>
      </w:r>
      <w:r w:rsidR="008112E6">
        <w:t xml:space="preserve">Figure </w:t>
      </w:r>
      <w:r w:rsidR="008112E6">
        <w:rPr>
          <w:noProof/>
        </w:rPr>
        <w:t>15</w:t>
      </w:r>
      <w:r w:rsidR="004C4524">
        <w:rPr>
          <w:color w:val="000000" w:themeColor="background2"/>
        </w:rPr>
        <w:fldChar w:fldCharType="end"/>
      </w:r>
      <w:r w:rsidRPr="00CF0F8C">
        <w:rPr>
          <w:color w:val="000000" w:themeColor="background2"/>
        </w:rPr>
        <w:t>).</w:t>
      </w:r>
    </w:p>
    <w:p w14:paraId="5BE91546" w14:textId="1FB9AE98" w:rsidR="004C4524" w:rsidRDefault="004C4524" w:rsidP="004C4524">
      <w:pPr>
        <w:pStyle w:val="Caption"/>
        <w:keepNext/>
      </w:pPr>
      <w:bookmarkStart w:id="34" w:name="_Ref115697915"/>
      <w:r>
        <w:t xml:space="preserve">Figure </w:t>
      </w:r>
      <w:r>
        <w:fldChar w:fldCharType="begin"/>
      </w:r>
      <w:r>
        <w:instrText xml:space="preserve"> SEQ Figure \* ARABIC </w:instrText>
      </w:r>
      <w:r>
        <w:fldChar w:fldCharType="separate"/>
      </w:r>
      <w:r w:rsidR="008112E6">
        <w:rPr>
          <w:noProof/>
        </w:rPr>
        <w:t>15</w:t>
      </w:r>
      <w:r>
        <w:fldChar w:fldCharType="end"/>
      </w:r>
      <w:bookmarkEnd w:id="34"/>
      <w:r>
        <w:t xml:space="preserve">: </w:t>
      </w:r>
      <w:r w:rsidRPr="00544FAA">
        <w:t>Impact on economic output</w:t>
      </w:r>
    </w:p>
    <w:p w14:paraId="3DCD32FC" w14:textId="32E290BE" w:rsidR="00BC18B3" w:rsidRPr="00BC18B3" w:rsidRDefault="008112A9" w:rsidP="003F773E">
      <w:pPr>
        <w:rPr>
          <w:color w:val="000000" w:themeColor="background2"/>
        </w:rPr>
      </w:pPr>
      <w:r>
        <w:rPr>
          <w:noProof/>
        </w:rPr>
        <w:drawing>
          <wp:inline distT="0" distB="0" distL="0" distR="0" wp14:anchorId="38D7A470" wp14:editId="6F8329F4">
            <wp:extent cx="5632450" cy="2942492"/>
            <wp:effectExtent l="0" t="0" r="0" b="0"/>
            <wp:docPr id="678" name="Chart 678" descr="The figure shows a Line graph tracking the predicted increase on academic output (In millions) from 2023 to 2050 as a result of an open access model.">
              <a:extLst xmlns:a="http://schemas.openxmlformats.org/drawingml/2006/main">
                <a:ext uri="{FF2B5EF4-FFF2-40B4-BE49-F238E27FC236}">
                  <a16:creationId xmlns:a16="http://schemas.microsoft.com/office/drawing/2014/main" id="{F86CCE46-F990-4C88-8094-AA7276AF93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429CA16" w14:textId="77777777" w:rsidR="00BC18B3" w:rsidRPr="00BC18B3" w:rsidRDefault="00BC18B3" w:rsidP="003F773E">
      <w:pPr>
        <w:spacing w:after="280"/>
        <w:rPr>
          <w:b/>
          <w:bCs/>
          <w:color w:val="747480"/>
          <w:sz w:val="16"/>
          <w:szCs w:val="18"/>
        </w:rPr>
      </w:pPr>
      <w:r w:rsidRPr="00BC18B3">
        <w:rPr>
          <w:b/>
          <w:bCs/>
          <w:color w:val="747480"/>
          <w:sz w:val="16"/>
          <w:szCs w:val="18"/>
        </w:rPr>
        <w:t>Source: EY analysis</w:t>
      </w:r>
    </w:p>
    <w:p w14:paraId="523A6DFB" w14:textId="4BC09141" w:rsidR="00BC18B3" w:rsidRPr="003E15D7" w:rsidRDefault="00DF2075" w:rsidP="00CC7F42">
      <w:pPr>
        <w:pStyle w:val="EYBodytextwithoutparaspace"/>
      </w:pPr>
      <w:r w:rsidRPr="003E15D7">
        <w:t xml:space="preserve">Innovation intensive industries tend to </w:t>
      </w:r>
      <w:r w:rsidR="00AD1CCC" w:rsidRPr="003E15D7">
        <w:t xml:space="preserve">also be labour intensive. By increasing investment and productivity into these industries, </w:t>
      </w:r>
      <w:r w:rsidR="00CA219A" w:rsidRPr="003E15D7">
        <w:t>this i</w:t>
      </w:r>
      <w:r w:rsidR="00BC18B3" w:rsidRPr="003E15D7">
        <w:t xml:space="preserve">ncreased economic activity leads to growth in employment over the next three decades. </w:t>
      </w:r>
      <w:r w:rsidR="00BC18B3" w:rsidRPr="00970815">
        <w:t xml:space="preserve">In 2030, employment is expected to be </w:t>
      </w:r>
      <w:r w:rsidR="00C91ED2" w:rsidRPr="00970815">
        <w:t>1,0</w:t>
      </w:r>
      <w:r w:rsidR="00970815" w:rsidRPr="00970815">
        <w:t>30</w:t>
      </w:r>
      <w:r w:rsidR="00BC18B3" w:rsidRPr="00970815">
        <w:t xml:space="preserve"> jobs higher</w:t>
      </w:r>
      <w:r w:rsidR="00BC18B3" w:rsidRPr="003E15D7">
        <w:t xml:space="preserve">. This increase in employment is forecast to </w:t>
      </w:r>
      <w:r w:rsidR="00445702">
        <w:t>reach over 5,300</w:t>
      </w:r>
      <w:r w:rsidR="003C619E">
        <w:t xml:space="preserve"> FTE jobs</w:t>
      </w:r>
      <w:r w:rsidR="00BC18B3" w:rsidRPr="003C619E">
        <w:t xml:space="preserve"> above the baseline</w:t>
      </w:r>
      <w:r w:rsidR="00BC18B3" w:rsidRPr="003E15D7">
        <w:t xml:space="preserve"> over the next 28 years in the high scenario (</w:t>
      </w:r>
      <w:r w:rsidR="004C4524">
        <w:fldChar w:fldCharType="begin"/>
      </w:r>
      <w:r w:rsidR="004C4524">
        <w:instrText xml:space="preserve"> REF _Ref115697201 \h </w:instrText>
      </w:r>
      <w:r w:rsidR="004C4524">
        <w:fldChar w:fldCharType="separate"/>
      </w:r>
      <w:r w:rsidR="008112E6">
        <w:t xml:space="preserve">Figure </w:t>
      </w:r>
      <w:r w:rsidR="008112E6">
        <w:rPr>
          <w:noProof/>
        </w:rPr>
        <w:t>16</w:t>
      </w:r>
      <w:r w:rsidR="004C4524">
        <w:fldChar w:fldCharType="end"/>
      </w:r>
      <w:r w:rsidR="00BC18B3" w:rsidRPr="003E15D7">
        <w:t>).</w:t>
      </w:r>
    </w:p>
    <w:p w14:paraId="7C8CF628" w14:textId="2FECC0D6" w:rsidR="0030467B" w:rsidRDefault="0030467B" w:rsidP="0030467B">
      <w:pPr>
        <w:pStyle w:val="Caption"/>
        <w:keepNext/>
      </w:pPr>
      <w:bookmarkStart w:id="35" w:name="_Ref115697201"/>
      <w:r>
        <w:t xml:space="preserve">Figure </w:t>
      </w:r>
      <w:r>
        <w:fldChar w:fldCharType="begin"/>
      </w:r>
      <w:r>
        <w:instrText xml:space="preserve"> SEQ Figure \* ARABIC </w:instrText>
      </w:r>
      <w:r>
        <w:fldChar w:fldCharType="separate"/>
      </w:r>
      <w:r w:rsidR="008112E6">
        <w:rPr>
          <w:noProof/>
        </w:rPr>
        <w:t>16</w:t>
      </w:r>
      <w:r>
        <w:fldChar w:fldCharType="end"/>
      </w:r>
      <w:bookmarkEnd w:id="35"/>
      <w:r>
        <w:t xml:space="preserve">: </w:t>
      </w:r>
      <w:r w:rsidRPr="00702270">
        <w:t>Employment impacts</w:t>
      </w:r>
    </w:p>
    <w:p w14:paraId="0017BFD6" w14:textId="35A95654" w:rsidR="00BC18B3" w:rsidRPr="00BC18B3" w:rsidRDefault="002C23DF" w:rsidP="003F773E">
      <w:pPr>
        <w:rPr>
          <w:color w:val="000000" w:themeColor="background2"/>
        </w:rPr>
      </w:pPr>
      <w:r>
        <w:rPr>
          <w:noProof/>
        </w:rPr>
        <w:drawing>
          <wp:inline distT="0" distB="0" distL="0" distR="0" wp14:anchorId="307601DB" wp14:editId="044B5018">
            <wp:extent cx="5609492" cy="2597150"/>
            <wp:effectExtent l="0" t="0" r="0" b="0"/>
            <wp:docPr id="679" name="Chart 679" descr="The figure shows a Line graph tracking the predicted increase in employment (FTE) from 2023 to 2050 as a result of an open access model.">
              <a:extLst xmlns:a="http://schemas.openxmlformats.org/drawingml/2006/main">
                <a:ext uri="{FF2B5EF4-FFF2-40B4-BE49-F238E27FC236}">
                  <a16:creationId xmlns:a16="http://schemas.microsoft.com/office/drawing/2014/main" id="{0E1CC267-C612-49B6-89B0-B5D3E1FEE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2734CF" w14:textId="77777777" w:rsidR="00BC18B3" w:rsidRPr="00BC18B3" w:rsidRDefault="00BC18B3" w:rsidP="003F773E">
      <w:pPr>
        <w:spacing w:after="280"/>
        <w:rPr>
          <w:b/>
          <w:bCs/>
          <w:color w:val="747480"/>
          <w:sz w:val="16"/>
          <w:szCs w:val="18"/>
        </w:rPr>
      </w:pPr>
      <w:r w:rsidRPr="00BC18B3">
        <w:rPr>
          <w:b/>
          <w:bCs/>
          <w:color w:val="747480"/>
          <w:sz w:val="16"/>
          <w:szCs w:val="18"/>
        </w:rPr>
        <w:t>Source: EY analysis</w:t>
      </w:r>
    </w:p>
    <w:p w14:paraId="4F42041C" w14:textId="76CD3EA8" w:rsidR="00BC18B3" w:rsidRPr="00BC18B3" w:rsidRDefault="00BC18B3" w:rsidP="00CC7F42">
      <w:pPr>
        <w:pStyle w:val="EYBodytextwithoutparaspace"/>
      </w:pPr>
      <w:r w:rsidRPr="00BC18B3">
        <w:t>Increased R&amp;D is likely to drive growth in output across all economic sectors</w:t>
      </w:r>
      <w:r w:rsidR="00167738">
        <w:t>, however i</w:t>
      </w:r>
      <w:r w:rsidRPr="00BC18B3">
        <w:t>nnovation intensive industries have the greatest potential for benefits from an open access system.</w:t>
      </w:r>
    </w:p>
    <w:p w14:paraId="32A48F39" w14:textId="2A4F1BD4" w:rsidR="00BC18B3" w:rsidRPr="00BC18B3" w:rsidRDefault="00BC18B3" w:rsidP="00CC7F42">
      <w:pPr>
        <w:pStyle w:val="EYBodytextwithoutparaspace"/>
      </w:pPr>
      <w:r w:rsidRPr="00BC18B3">
        <w:lastRenderedPageBreak/>
        <w:t xml:space="preserve">The modelling suggests that the manufacturing sector will see the largest increase in output as the sector becomes more competitive internationally. In the high scenario there could be an uplift in manufacturing output of </w:t>
      </w:r>
      <w:r w:rsidRPr="008F6541">
        <w:t>$</w:t>
      </w:r>
      <w:r w:rsidR="004B4FE2" w:rsidRPr="008F6541">
        <w:t>8</w:t>
      </w:r>
      <w:r w:rsidRPr="008F6541">
        <w:t xml:space="preserve"> billion by 2050.</w:t>
      </w:r>
      <w:r w:rsidRPr="00BC18B3">
        <w:t xml:space="preserve"> The increase in the knowledge base </w:t>
      </w:r>
      <w:r w:rsidR="00A11CB4">
        <w:t>also</w:t>
      </w:r>
      <w:r w:rsidRPr="00BC18B3">
        <w:t xml:space="preserve"> improves the quality of Australian professional services, lifting industry output in the high scenario by </w:t>
      </w:r>
      <w:r w:rsidRPr="008F6541">
        <w:t>$7.5</w:t>
      </w:r>
      <w:r w:rsidR="00A11CB4" w:rsidRPr="008F6541">
        <w:t xml:space="preserve"> </w:t>
      </w:r>
      <w:r w:rsidRPr="008F6541">
        <w:t>billion over this time.</w:t>
      </w:r>
    </w:p>
    <w:p w14:paraId="0E923E0A" w14:textId="588CF7F2" w:rsidR="00BC18B3" w:rsidRPr="00BC18B3" w:rsidRDefault="00A11CB4" w:rsidP="00CC7F42">
      <w:pPr>
        <w:pStyle w:val="EYBodytextwithoutparaspace"/>
      </w:pPr>
      <w:r>
        <w:t>Additionally, t</w:t>
      </w:r>
      <w:r w:rsidR="00BC18B3" w:rsidRPr="00BC18B3">
        <w:t xml:space="preserve">he increase in output in the innovation intensive sectors flows through to the performance of Australia’s trade industry. Under the high scenario, trade output could increase by </w:t>
      </w:r>
      <w:r w:rsidR="00BC18B3" w:rsidRPr="00DF5620">
        <w:t>around $6.</w:t>
      </w:r>
      <w:r w:rsidR="002312B2" w:rsidRPr="00DF5620">
        <w:t>8</w:t>
      </w:r>
      <w:r w:rsidR="00BC18B3" w:rsidRPr="00DF5620">
        <w:t xml:space="preserve"> billion over the next three</w:t>
      </w:r>
      <w:r w:rsidR="00BC18B3" w:rsidRPr="00BC18B3">
        <w:t xml:space="preserve"> decades.</w:t>
      </w:r>
    </w:p>
    <w:p w14:paraId="1B62ACD3" w14:textId="0E7A1B1A" w:rsidR="00BC18B3" w:rsidRPr="00BC18B3" w:rsidRDefault="00362FB9" w:rsidP="00CC7F42">
      <w:pPr>
        <w:pStyle w:val="EYBodytextwithoutparaspace"/>
      </w:pPr>
      <w:r>
        <w:fldChar w:fldCharType="begin"/>
      </w:r>
      <w:r>
        <w:instrText xml:space="preserve"> REF _Ref109061643 \h  \* MERGEFORMAT </w:instrText>
      </w:r>
      <w:r>
        <w:fldChar w:fldCharType="separate"/>
      </w:r>
      <w:r w:rsidR="008112E6" w:rsidRPr="008112E6">
        <w:t>Table 5</w:t>
      </w:r>
      <w:r>
        <w:fldChar w:fldCharType="end"/>
      </w:r>
      <w:r>
        <w:t xml:space="preserve"> </w:t>
      </w:r>
      <w:r w:rsidR="00BC18B3" w:rsidRPr="00BC18B3">
        <w:t>provides a summary of the key short- and long-term economic impacts of a national open access scheme.</w:t>
      </w:r>
    </w:p>
    <w:p w14:paraId="338CCE0E" w14:textId="076A65C7" w:rsidR="00BC18B3" w:rsidRPr="00A11CB4" w:rsidRDefault="00BC18B3" w:rsidP="003F773E">
      <w:pPr>
        <w:keepNext/>
        <w:spacing w:after="60"/>
        <w:rPr>
          <w:color w:val="747480"/>
          <w:sz w:val="16"/>
          <w:szCs w:val="18"/>
        </w:rPr>
      </w:pPr>
      <w:bookmarkStart w:id="36" w:name="_Ref109061643"/>
      <w:bookmarkStart w:id="37" w:name="_Ref109061634"/>
      <w:r w:rsidRPr="00A11CB4">
        <w:rPr>
          <w:color w:val="747480"/>
          <w:sz w:val="16"/>
          <w:szCs w:val="18"/>
        </w:rPr>
        <w:t xml:space="preserve">Table </w:t>
      </w:r>
      <w:r w:rsidRPr="00A11CB4">
        <w:rPr>
          <w:color w:val="747480"/>
          <w:sz w:val="16"/>
          <w:szCs w:val="18"/>
        </w:rPr>
        <w:fldChar w:fldCharType="begin"/>
      </w:r>
      <w:r w:rsidRPr="00A11CB4">
        <w:rPr>
          <w:color w:val="747480"/>
          <w:sz w:val="16"/>
          <w:szCs w:val="18"/>
        </w:rPr>
        <w:instrText xml:space="preserve"> SEQ Table \* ARABIC </w:instrText>
      </w:r>
      <w:r w:rsidRPr="00A11CB4">
        <w:rPr>
          <w:color w:val="747480"/>
          <w:sz w:val="16"/>
          <w:szCs w:val="18"/>
        </w:rPr>
        <w:fldChar w:fldCharType="separate"/>
      </w:r>
      <w:r w:rsidR="008112E6">
        <w:rPr>
          <w:noProof/>
          <w:color w:val="747480"/>
          <w:sz w:val="16"/>
          <w:szCs w:val="18"/>
        </w:rPr>
        <w:t>5</w:t>
      </w:r>
      <w:r w:rsidRPr="00A11CB4">
        <w:rPr>
          <w:color w:val="747480"/>
          <w:sz w:val="16"/>
          <w:szCs w:val="18"/>
        </w:rPr>
        <w:fldChar w:fldCharType="end"/>
      </w:r>
      <w:bookmarkEnd w:id="36"/>
      <w:r w:rsidRPr="00A11CB4">
        <w:rPr>
          <w:color w:val="747480"/>
          <w:sz w:val="16"/>
          <w:szCs w:val="18"/>
        </w:rPr>
        <w:t>: Potential economic impacts of a national open access scheme</w:t>
      </w:r>
      <w:bookmarkEnd w:id="37"/>
    </w:p>
    <w:tbl>
      <w:tblPr>
        <w:tblStyle w:val="TableGrid"/>
        <w:tblW w:w="4955" w:type="pct"/>
        <w:tblBorders>
          <w:top w:val="none" w:sz="0" w:space="0" w:color="auto"/>
          <w:left w:val="none" w:sz="0" w:space="0" w:color="auto"/>
          <w:bottom w:val="none" w:sz="0" w:space="0" w:color="auto"/>
          <w:right w:val="none" w:sz="0" w:space="0" w:color="auto"/>
          <w:insideH w:val="single" w:sz="4" w:space="0" w:color="787890" w:themeColor="text1" w:themeTint="99"/>
          <w:insideV w:val="none" w:sz="0" w:space="0" w:color="auto"/>
        </w:tblBorders>
        <w:tblLook w:val="04A0" w:firstRow="1" w:lastRow="0" w:firstColumn="1" w:lastColumn="0" w:noHBand="0" w:noVBand="1"/>
      </w:tblPr>
      <w:tblGrid>
        <w:gridCol w:w="1783"/>
        <w:gridCol w:w="1790"/>
        <w:gridCol w:w="1790"/>
        <w:gridCol w:w="1790"/>
        <w:gridCol w:w="1795"/>
      </w:tblGrid>
      <w:tr w:rsidR="00BC18B3" w:rsidRPr="00A276DA" w14:paraId="041E3951" w14:textId="77777777" w:rsidTr="00A276DA">
        <w:trPr>
          <w:trHeight w:val="268"/>
        </w:trPr>
        <w:tc>
          <w:tcPr>
            <w:tcW w:w="997" w:type="pct"/>
            <w:shd w:val="clear" w:color="auto" w:fill="787890" w:themeFill="text1" w:themeFillTint="99"/>
            <w:vAlign w:val="center"/>
          </w:tcPr>
          <w:p w14:paraId="3BC9B9CA" w14:textId="77777777" w:rsidR="00BC18B3" w:rsidRPr="00A276DA" w:rsidRDefault="00BC18B3" w:rsidP="003F773E">
            <w:pPr>
              <w:rPr>
                <w:rFonts w:ascii="EYInterstate Light" w:hAnsi="EYInterstate Light"/>
                <w:color w:val="FFFFFF" w:themeColor="background1"/>
                <w:sz w:val="16"/>
                <w:szCs w:val="16"/>
              </w:rPr>
            </w:pPr>
          </w:p>
        </w:tc>
        <w:tc>
          <w:tcPr>
            <w:tcW w:w="1000" w:type="pct"/>
            <w:shd w:val="clear" w:color="auto" w:fill="787890" w:themeFill="text1" w:themeFillTint="99"/>
            <w:vAlign w:val="center"/>
          </w:tcPr>
          <w:p w14:paraId="44E957E5" w14:textId="09D9C52B" w:rsidR="00BC18B3" w:rsidRPr="00A276DA" w:rsidRDefault="00BC18B3" w:rsidP="003F773E">
            <w:pPr>
              <w:jc w:val="right"/>
              <w:rPr>
                <w:rFonts w:ascii="EYInterstate Light" w:hAnsi="EYInterstate Light"/>
                <w:color w:val="FFFFFF" w:themeColor="background1"/>
                <w:sz w:val="16"/>
                <w:szCs w:val="16"/>
              </w:rPr>
            </w:pPr>
            <w:r w:rsidRPr="00A276DA">
              <w:rPr>
                <w:rFonts w:ascii="EYInterstate Light" w:hAnsi="EYInterstate Light"/>
                <w:color w:val="FFFFFF" w:themeColor="background1"/>
                <w:sz w:val="16"/>
                <w:szCs w:val="16"/>
              </w:rPr>
              <w:t>NPV/Annual average</w:t>
            </w:r>
          </w:p>
        </w:tc>
        <w:tc>
          <w:tcPr>
            <w:tcW w:w="1000" w:type="pct"/>
            <w:shd w:val="clear" w:color="auto" w:fill="787890" w:themeFill="text1" w:themeFillTint="99"/>
            <w:vAlign w:val="center"/>
          </w:tcPr>
          <w:p w14:paraId="46DDBA0B" w14:textId="77777777" w:rsidR="00BC18B3" w:rsidRPr="00A276DA" w:rsidRDefault="00BC18B3" w:rsidP="003F773E">
            <w:pPr>
              <w:jc w:val="right"/>
              <w:rPr>
                <w:rFonts w:ascii="EYInterstate Light" w:hAnsi="EYInterstate Light"/>
                <w:color w:val="FFFFFF" w:themeColor="background1"/>
                <w:sz w:val="16"/>
                <w:szCs w:val="16"/>
              </w:rPr>
            </w:pPr>
            <w:r w:rsidRPr="00A276DA">
              <w:rPr>
                <w:rFonts w:ascii="EYInterstate Light" w:hAnsi="EYInterstate Light"/>
                <w:color w:val="FFFFFF" w:themeColor="background1"/>
                <w:sz w:val="16"/>
                <w:szCs w:val="16"/>
              </w:rPr>
              <w:t>2030</w:t>
            </w:r>
          </w:p>
        </w:tc>
        <w:tc>
          <w:tcPr>
            <w:tcW w:w="1000" w:type="pct"/>
            <w:shd w:val="clear" w:color="auto" w:fill="787890" w:themeFill="text1" w:themeFillTint="99"/>
            <w:vAlign w:val="center"/>
          </w:tcPr>
          <w:p w14:paraId="43370745" w14:textId="77777777" w:rsidR="00BC18B3" w:rsidRPr="00A276DA" w:rsidRDefault="00BC18B3" w:rsidP="003F773E">
            <w:pPr>
              <w:jc w:val="right"/>
              <w:rPr>
                <w:rFonts w:ascii="EYInterstate Light" w:hAnsi="EYInterstate Light"/>
                <w:color w:val="FFFFFF" w:themeColor="background1"/>
                <w:sz w:val="16"/>
                <w:szCs w:val="16"/>
              </w:rPr>
            </w:pPr>
            <w:r w:rsidRPr="00A276DA">
              <w:rPr>
                <w:rFonts w:ascii="EYInterstate Light" w:hAnsi="EYInterstate Light"/>
                <w:color w:val="FFFFFF" w:themeColor="background1"/>
                <w:sz w:val="16"/>
                <w:szCs w:val="16"/>
              </w:rPr>
              <w:t>2040</w:t>
            </w:r>
          </w:p>
        </w:tc>
        <w:tc>
          <w:tcPr>
            <w:tcW w:w="1002" w:type="pct"/>
            <w:shd w:val="clear" w:color="auto" w:fill="787890" w:themeFill="text1" w:themeFillTint="99"/>
            <w:vAlign w:val="center"/>
          </w:tcPr>
          <w:p w14:paraId="311EC2A6" w14:textId="77777777" w:rsidR="00BC18B3" w:rsidRPr="00A276DA" w:rsidRDefault="00BC18B3" w:rsidP="003F773E">
            <w:pPr>
              <w:jc w:val="right"/>
              <w:rPr>
                <w:rFonts w:ascii="EYInterstate Light" w:hAnsi="EYInterstate Light"/>
                <w:color w:val="FFFFFF" w:themeColor="background1"/>
                <w:sz w:val="16"/>
                <w:szCs w:val="16"/>
              </w:rPr>
            </w:pPr>
            <w:r w:rsidRPr="00A276DA">
              <w:rPr>
                <w:rFonts w:ascii="EYInterstate Light" w:hAnsi="EYInterstate Light"/>
                <w:color w:val="FFFFFF" w:themeColor="background1"/>
                <w:sz w:val="16"/>
                <w:szCs w:val="16"/>
              </w:rPr>
              <w:t>2050</w:t>
            </w:r>
          </w:p>
        </w:tc>
      </w:tr>
      <w:tr w:rsidR="00BC18B3" w:rsidRPr="00BC18B3" w14:paraId="37A05962" w14:textId="77777777" w:rsidTr="00E6456C">
        <w:trPr>
          <w:trHeight w:val="320"/>
        </w:trPr>
        <w:tc>
          <w:tcPr>
            <w:tcW w:w="5000" w:type="pct"/>
            <w:gridSpan w:val="5"/>
            <w:shd w:val="clear" w:color="auto" w:fill="D2D2DA" w:themeFill="text1" w:themeFillTint="33"/>
            <w:vAlign w:val="center"/>
          </w:tcPr>
          <w:p w14:paraId="16899831" w14:textId="77777777" w:rsidR="00BC18B3" w:rsidRPr="00BC18B3" w:rsidRDefault="00BC18B3" w:rsidP="003F773E">
            <w:pPr>
              <w:rPr>
                <w:rFonts w:ascii="EYInterstate Light" w:hAnsi="EYInterstate Light"/>
                <w:color w:val="000000" w:themeColor="background2"/>
                <w:sz w:val="16"/>
                <w:szCs w:val="16"/>
              </w:rPr>
            </w:pPr>
            <w:r w:rsidRPr="00BC18B3">
              <w:rPr>
                <w:rFonts w:ascii="EYInterstate Light" w:hAnsi="EYInterstate Light"/>
                <w:color w:val="000000" w:themeColor="background2"/>
                <w:sz w:val="16"/>
                <w:szCs w:val="16"/>
              </w:rPr>
              <w:t>Low scenario</w:t>
            </w:r>
          </w:p>
        </w:tc>
      </w:tr>
      <w:tr w:rsidR="00BC18B3" w:rsidRPr="00BC18B3" w14:paraId="1C3621A3" w14:textId="77777777" w:rsidTr="00E6456C">
        <w:trPr>
          <w:trHeight w:val="380"/>
        </w:trPr>
        <w:tc>
          <w:tcPr>
            <w:tcW w:w="997" w:type="pct"/>
            <w:vAlign w:val="center"/>
          </w:tcPr>
          <w:p w14:paraId="1D91C651" w14:textId="77777777" w:rsidR="00BC18B3" w:rsidRPr="00BC18B3" w:rsidRDefault="00BC18B3" w:rsidP="003F773E">
            <w:pPr>
              <w:rPr>
                <w:rFonts w:ascii="EYInterstate Light" w:hAnsi="EYInterstate Light"/>
                <w:color w:val="000000" w:themeColor="background2"/>
                <w:sz w:val="16"/>
                <w:szCs w:val="16"/>
              </w:rPr>
            </w:pPr>
            <w:r w:rsidRPr="00BC18B3">
              <w:rPr>
                <w:rFonts w:ascii="EYInterstate Light" w:hAnsi="EYInterstate Light"/>
                <w:color w:val="000000" w:themeColor="background2"/>
                <w:sz w:val="16"/>
                <w:szCs w:val="16"/>
              </w:rPr>
              <w:t>GDP ($m)</w:t>
            </w:r>
          </w:p>
        </w:tc>
        <w:tc>
          <w:tcPr>
            <w:tcW w:w="1000" w:type="pct"/>
            <w:vAlign w:val="center"/>
          </w:tcPr>
          <w:p w14:paraId="7C71D05D" w14:textId="5454B7CA" w:rsidR="00BC18B3" w:rsidRPr="00BC18B3" w:rsidRDefault="0038256C"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18,000</w:t>
            </w:r>
          </w:p>
        </w:tc>
        <w:tc>
          <w:tcPr>
            <w:tcW w:w="1000" w:type="pct"/>
            <w:vAlign w:val="center"/>
          </w:tcPr>
          <w:p w14:paraId="35536FCE" w14:textId="67227EA4" w:rsidR="00BC18B3" w:rsidRPr="00BC18B3" w:rsidRDefault="002E6627"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400</w:t>
            </w:r>
          </w:p>
        </w:tc>
        <w:tc>
          <w:tcPr>
            <w:tcW w:w="1000" w:type="pct"/>
            <w:vAlign w:val="center"/>
          </w:tcPr>
          <w:p w14:paraId="5CF4FA97" w14:textId="3300F5A3" w:rsidR="00BC18B3" w:rsidRPr="00BC18B3" w:rsidRDefault="002E6627"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1,400</w:t>
            </w:r>
          </w:p>
        </w:tc>
        <w:tc>
          <w:tcPr>
            <w:tcW w:w="1002" w:type="pct"/>
            <w:vAlign w:val="center"/>
          </w:tcPr>
          <w:p w14:paraId="3D3E5B02" w14:textId="4D8361D2" w:rsidR="00BC18B3" w:rsidRPr="00BC18B3" w:rsidRDefault="00AE449D"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2,900</w:t>
            </w:r>
          </w:p>
        </w:tc>
      </w:tr>
      <w:tr w:rsidR="00BC18B3" w:rsidRPr="00BC18B3" w14:paraId="75696A51" w14:textId="77777777" w:rsidTr="00E6456C">
        <w:trPr>
          <w:trHeight w:val="380"/>
        </w:trPr>
        <w:tc>
          <w:tcPr>
            <w:tcW w:w="997" w:type="pct"/>
            <w:vAlign w:val="center"/>
          </w:tcPr>
          <w:p w14:paraId="63B52FBF" w14:textId="1A4D9222" w:rsidR="00BC18B3" w:rsidRPr="00BC18B3" w:rsidRDefault="00BC18B3" w:rsidP="003F773E">
            <w:pPr>
              <w:rPr>
                <w:rFonts w:ascii="EYInterstate Light" w:hAnsi="EYInterstate Light"/>
                <w:color w:val="000000" w:themeColor="background2"/>
                <w:sz w:val="16"/>
                <w:szCs w:val="16"/>
              </w:rPr>
            </w:pPr>
            <w:r w:rsidRPr="00BC18B3">
              <w:rPr>
                <w:rFonts w:ascii="EYInterstate Light" w:hAnsi="EYInterstate Light"/>
                <w:color w:val="000000" w:themeColor="background2"/>
                <w:sz w:val="16"/>
                <w:szCs w:val="16"/>
              </w:rPr>
              <w:t>Employment</w:t>
            </w:r>
            <w:r w:rsidR="006D0C2C">
              <w:rPr>
                <w:rFonts w:ascii="EYInterstate Light" w:hAnsi="EYInterstate Light"/>
                <w:color w:val="000000" w:themeColor="background2"/>
                <w:sz w:val="16"/>
                <w:szCs w:val="16"/>
              </w:rPr>
              <w:t xml:space="preserve"> (FTEs)</w:t>
            </w:r>
          </w:p>
        </w:tc>
        <w:tc>
          <w:tcPr>
            <w:tcW w:w="1000" w:type="pct"/>
            <w:vAlign w:val="center"/>
          </w:tcPr>
          <w:p w14:paraId="38F5A1CE" w14:textId="266B6A65" w:rsidR="00BC18B3" w:rsidRPr="00BC18B3" w:rsidRDefault="00E441C6"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1,176</w:t>
            </w:r>
          </w:p>
        </w:tc>
        <w:tc>
          <w:tcPr>
            <w:tcW w:w="1000" w:type="pct"/>
            <w:vAlign w:val="center"/>
          </w:tcPr>
          <w:p w14:paraId="424D397F" w14:textId="1EB10C25" w:rsidR="00BC18B3" w:rsidRPr="00BC18B3" w:rsidRDefault="008D2131"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520</w:t>
            </w:r>
          </w:p>
        </w:tc>
        <w:tc>
          <w:tcPr>
            <w:tcW w:w="1000" w:type="pct"/>
            <w:vAlign w:val="center"/>
          </w:tcPr>
          <w:p w14:paraId="27A398ED" w14:textId="74EA8471" w:rsidR="00BC18B3" w:rsidRPr="00BC18B3" w:rsidRDefault="00FE601B"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1</w:t>
            </w:r>
            <w:r w:rsidR="00AF4477">
              <w:rPr>
                <w:rFonts w:ascii="EYInterstate Light" w:hAnsi="EYInterstate Light"/>
                <w:color w:val="000000" w:themeColor="background2"/>
                <w:sz w:val="16"/>
                <w:szCs w:val="16"/>
              </w:rPr>
              <w:t>,</w:t>
            </w:r>
            <w:r>
              <w:rPr>
                <w:rFonts w:ascii="EYInterstate Light" w:hAnsi="EYInterstate Light"/>
                <w:color w:val="000000" w:themeColor="background2"/>
                <w:sz w:val="16"/>
                <w:szCs w:val="16"/>
              </w:rPr>
              <w:t>450</w:t>
            </w:r>
          </w:p>
        </w:tc>
        <w:tc>
          <w:tcPr>
            <w:tcW w:w="1002" w:type="pct"/>
            <w:vAlign w:val="center"/>
          </w:tcPr>
          <w:p w14:paraId="4A2E8321" w14:textId="545C530A" w:rsidR="00BC18B3" w:rsidRPr="00BC18B3" w:rsidRDefault="00463650"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2</w:t>
            </w:r>
            <w:r w:rsidR="00AF4477">
              <w:rPr>
                <w:rFonts w:ascii="EYInterstate Light" w:hAnsi="EYInterstate Light"/>
                <w:color w:val="000000" w:themeColor="background2"/>
                <w:sz w:val="16"/>
                <w:szCs w:val="16"/>
              </w:rPr>
              <w:t>,</w:t>
            </w:r>
            <w:r>
              <w:rPr>
                <w:rFonts w:ascii="EYInterstate Light" w:hAnsi="EYInterstate Light"/>
                <w:color w:val="000000" w:themeColor="background2"/>
                <w:sz w:val="16"/>
                <w:szCs w:val="16"/>
              </w:rPr>
              <w:t>650</w:t>
            </w:r>
          </w:p>
        </w:tc>
      </w:tr>
      <w:tr w:rsidR="00BC18B3" w:rsidRPr="00BC18B3" w14:paraId="2CEAAD22" w14:textId="77777777" w:rsidTr="00E6456C">
        <w:trPr>
          <w:trHeight w:val="380"/>
        </w:trPr>
        <w:tc>
          <w:tcPr>
            <w:tcW w:w="997" w:type="pct"/>
            <w:vAlign w:val="center"/>
          </w:tcPr>
          <w:p w14:paraId="6820A3C1" w14:textId="77777777" w:rsidR="00BC18B3" w:rsidRPr="00BC18B3" w:rsidRDefault="00BC18B3" w:rsidP="003F773E">
            <w:pPr>
              <w:rPr>
                <w:rFonts w:ascii="EYInterstate Light" w:hAnsi="EYInterstate Light"/>
                <w:color w:val="000000" w:themeColor="background2"/>
                <w:sz w:val="16"/>
                <w:szCs w:val="16"/>
              </w:rPr>
            </w:pPr>
            <w:r w:rsidRPr="00BC18B3">
              <w:rPr>
                <w:rFonts w:ascii="EYInterstate Light" w:hAnsi="EYInterstate Light"/>
                <w:color w:val="000000" w:themeColor="background2"/>
                <w:sz w:val="16"/>
                <w:szCs w:val="16"/>
              </w:rPr>
              <w:t>Investment ($m)</w:t>
            </w:r>
          </w:p>
        </w:tc>
        <w:tc>
          <w:tcPr>
            <w:tcW w:w="1000" w:type="pct"/>
            <w:vAlign w:val="center"/>
          </w:tcPr>
          <w:p w14:paraId="4737068B" w14:textId="63483B87" w:rsidR="00BC18B3" w:rsidRPr="00BC18B3" w:rsidRDefault="007047CC"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6,500</w:t>
            </w:r>
          </w:p>
        </w:tc>
        <w:tc>
          <w:tcPr>
            <w:tcW w:w="1000" w:type="pct"/>
            <w:vAlign w:val="center"/>
          </w:tcPr>
          <w:p w14:paraId="2502DDC3" w14:textId="78B1C0DD" w:rsidR="00BC18B3" w:rsidRPr="00BC18B3" w:rsidRDefault="00E63CFC"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210</w:t>
            </w:r>
          </w:p>
        </w:tc>
        <w:tc>
          <w:tcPr>
            <w:tcW w:w="1000" w:type="pct"/>
            <w:vAlign w:val="center"/>
          </w:tcPr>
          <w:p w14:paraId="7A023E74" w14:textId="7BAD4952" w:rsidR="00BC18B3" w:rsidRPr="00BC18B3" w:rsidRDefault="00C65918"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490</w:t>
            </w:r>
          </w:p>
        </w:tc>
        <w:tc>
          <w:tcPr>
            <w:tcW w:w="1002" w:type="pct"/>
            <w:vAlign w:val="center"/>
          </w:tcPr>
          <w:p w14:paraId="4322E652" w14:textId="440D7C0A" w:rsidR="00BC18B3" w:rsidRPr="00BC18B3" w:rsidRDefault="00AF4477"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880</w:t>
            </w:r>
          </w:p>
        </w:tc>
      </w:tr>
      <w:tr w:rsidR="00BC18B3" w:rsidRPr="00BC18B3" w14:paraId="32DC0FD8" w14:textId="77777777" w:rsidTr="00E6456C">
        <w:trPr>
          <w:trHeight w:val="369"/>
        </w:trPr>
        <w:tc>
          <w:tcPr>
            <w:tcW w:w="5000" w:type="pct"/>
            <w:gridSpan w:val="5"/>
            <w:shd w:val="clear" w:color="auto" w:fill="D2D2DA" w:themeFill="text1" w:themeFillTint="33"/>
            <w:vAlign w:val="center"/>
          </w:tcPr>
          <w:p w14:paraId="4200C6EB" w14:textId="77777777" w:rsidR="00BC18B3" w:rsidRPr="00BC18B3" w:rsidRDefault="00BC18B3" w:rsidP="003F773E">
            <w:pPr>
              <w:rPr>
                <w:rFonts w:ascii="EYInterstate Light" w:hAnsi="EYInterstate Light"/>
                <w:color w:val="000000" w:themeColor="background2"/>
                <w:sz w:val="16"/>
                <w:szCs w:val="16"/>
              </w:rPr>
            </w:pPr>
            <w:r w:rsidRPr="00BC18B3">
              <w:rPr>
                <w:rFonts w:ascii="EYInterstate Light" w:hAnsi="EYInterstate Light"/>
                <w:color w:val="000000" w:themeColor="background2"/>
                <w:sz w:val="16"/>
                <w:szCs w:val="16"/>
              </w:rPr>
              <w:t>High scenario</w:t>
            </w:r>
          </w:p>
        </w:tc>
      </w:tr>
      <w:tr w:rsidR="00BC18B3" w:rsidRPr="00BC18B3" w14:paraId="3DBA56C1" w14:textId="77777777" w:rsidTr="00E6456C">
        <w:trPr>
          <w:trHeight w:val="380"/>
        </w:trPr>
        <w:tc>
          <w:tcPr>
            <w:tcW w:w="997" w:type="pct"/>
            <w:vAlign w:val="center"/>
          </w:tcPr>
          <w:p w14:paraId="3F58AF94" w14:textId="77777777" w:rsidR="00BC18B3" w:rsidRPr="00BC18B3" w:rsidRDefault="00BC18B3" w:rsidP="003F773E">
            <w:pPr>
              <w:rPr>
                <w:rFonts w:ascii="EYInterstate Light" w:hAnsi="EYInterstate Light"/>
                <w:color w:val="000000" w:themeColor="background2"/>
                <w:sz w:val="16"/>
                <w:szCs w:val="16"/>
              </w:rPr>
            </w:pPr>
            <w:r w:rsidRPr="00BC18B3">
              <w:rPr>
                <w:rFonts w:ascii="EYInterstate Light" w:hAnsi="EYInterstate Light"/>
                <w:color w:val="000000" w:themeColor="background2"/>
                <w:sz w:val="16"/>
                <w:szCs w:val="16"/>
              </w:rPr>
              <w:t>GDP ($m)</w:t>
            </w:r>
          </w:p>
        </w:tc>
        <w:tc>
          <w:tcPr>
            <w:tcW w:w="1000" w:type="pct"/>
            <w:vAlign w:val="center"/>
          </w:tcPr>
          <w:p w14:paraId="4854A000" w14:textId="5DA85F6A" w:rsidR="00BC18B3" w:rsidRPr="00BC18B3" w:rsidRDefault="007047CC"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35,90</w:t>
            </w:r>
            <w:r w:rsidR="002A1406">
              <w:rPr>
                <w:rFonts w:ascii="EYInterstate Light" w:hAnsi="EYInterstate Light"/>
                <w:color w:val="000000" w:themeColor="background2"/>
                <w:sz w:val="16"/>
                <w:szCs w:val="16"/>
              </w:rPr>
              <w:t>0</w:t>
            </w:r>
          </w:p>
        </w:tc>
        <w:tc>
          <w:tcPr>
            <w:tcW w:w="1000" w:type="pct"/>
            <w:vAlign w:val="center"/>
          </w:tcPr>
          <w:p w14:paraId="718AF4AB" w14:textId="77D8CA4B" w:rsidR="00BC18B3" w:rsidRPr="00BC18B3" w:rsidRDefault="00234254"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790</w:t>
            </w:r>
          </w:p>
        </w:tc>
        <w:tc>
          <w:tcPr>
            <w:tcW w:w="1000" w:type="pct"/>
            <w:vAlign w:val="center"/>
          </w:tcPr>
          <w:p w14:paraId="7AD927B3" w14:textId="1FFE78BE" w:rsidR="00BC18B3" w:rsidRPr="00BC18B3" w:rsidRDefault="008A5755"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2</w:t>
            </w:r>
            <w:r w:rsidR="007D1819">
              <w:rPr>
                <w:rFonts w:ascii="EYInterstate Light" w:hAnsi="EYInterstate Light"/>
                <w:color w:val="000000" w:themeColor="background2"/>
                <w:sz w:val="16"/>
                <w:szCs w:val="16"/>
              </w:rPr>
              <w:t>,</w:t>
            </w:r>
            <w:r>
              <w:rPr>
                <w:rFonts w:ascii="EYInterstate Light" w:hAnsi="EYInterstate Light"/>
                <w:color w:val="000000" w:themeColor="background2"/>
                <w:sz w:val="16"/>
                <w:szCs w:val="16"/>
              </w:rPr>
              <w:t>800</w:t>
            </w:r>
          </w:p>
        </w:tc>
        <w:tc>
          <w:tcPr>
            <w:tcW w:w="1002" w:type="pct"/>
            <w:vAlign w:val="center"/>
          </w:tcPr>
          <w:p w14:paraId="77D4E74C" w14:textId="2427E4DB" w:rsidR="00BC18B3" w:rsidRPr="00BC18B3" w:rsidRDefault="008A5755"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5</w:t>
            </w:r>
            <w:r w:rsidR="007D1819">
              <w:rPr>
                <w:rFonts w:ascii="EYInterstate Light" w:hAnsi="EYInterstate Light"/>
                <w:color w:val="000000" w:themeColor="background2"/>
                <w:sz w:val="16"/>
                <w:szCs w:val="16"/>
              </w:rPr>
              <w:t>,</w:t>
            </w:r>
            <w:r>
              <w:rPr>
                <w:rFonts w:ascii="EYInterstate Light" w:hAnsi="EYInterstate Light"/>
                <w:color w:val="000000" w:themeColor="background2"/>
                <w:sz w:val="16"/>
                <w:szCs w:val="16"/>
              </w:rPr>
              <w:t>800</w:t>
            </w:r>
          </w:p>
        </w:tc>
      </w:tr>
      <w:tr w:rsidR="00BC18B3" w:rsidRPr="00BC18B3" w14:paraId="041B8DEA" w14:textId="77777777" w:rsidTr="00A276DA">
        <w:trPr>
          <w:trHeight w:val="380"/>
        </w:trPr>
        <w:tc>
          <w:tcPr>
            <w:tcW w:w="997" w:type="pct"/>
            <w:tcBorders>
              <w:bottom w:val="single" w:sz="4" w:space="0" w:color="787890" w:themeColor="text1" w:themeTint="99"/>
            </w:tcBorders>
            <w:vAlign w:val="center"/>
          </w:tcPr>
          <w:p w14:paraId="309F059A" w14:textId="4EBB92EF" w:rsidR="00BC18B3" w:rsidRPr="00BC18B3" w:rsidRDefault="00BC18B3" w:rsidP="003F773E">
            <w:pPr>
              <w:rPr>
                <w:rFonts w:ascii="EYInterstate Light" w:hAnsi="EYInterstate Light"/>
                <w:color w:val="000000" w:themeColor="background2"/>
                <w:sz w:val="16"/>
                <w:szCs w:val="16"/>
              </w:rPr>
            </w:pPr>
            <w:r w:rsidRPr="00BC18B3">
              <w:rPr>
                <w:rFonts w:ascii="EYInterstate Light" w:hAnsi="EYInterstate Light"/>
                <w:color w:val="000000" w:themeColor="background2"/>
                <w:sz w:val="16"/>
                <w:szCs w:val="16"/>
              </w:rPr>
              <w:t>Employment</w:t>
            </w:r>
            <w:r w:rsidR="006D0C2C">
              <w:rPr>
                <w:rFonts w:ascii="EYInterstate Light" w:hAnsi="EYInterstate Light"/>
                <w:color w:val="000000" w:themeColor="background2"/>
                <w:sz w:val="16"/>
                <w:szCs w:val="16"/>
              </w:rPr>
              <w:t xml:space="preserve"> (FTEs)</w:t>
            </w:r>
          </w:p>
        </w:tc>
        <w:tc>
          <w:tcPr>
            <w:tcW w:w="1000" w:type="pct"/>
            <w:tcBorders>
              <w:bottom w:val="single" w:sz="4" w:space="0" w:color="787890" w:themeColor="text1" w:themeTint="99"/>
            </w:tcBorders>
            <w:vAlign w:val="center"/>
          </w:tcPr>
          <w:p w14:paraId="5FA6B677" w14:textId="36263926" w:rsidR="00BC18B3" w:rsidRPr="00BC18B3" w:rsidRDefault="007047CC"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2,350</w:t>
            </w:r>
          </w:p>
        </w:tc>
        <w:tc>
          <w:tcPr>
            <w:tcW w:w="1000" w:type="pct"/>
            <w:tcBorders>
              <w:bottom w:val="single" w:sz="4" w:space="0" w:color="787890" w:themeColor="text1" w:themeTint="99"/>
            </w:tcBorders>
            <w:vAlign w:val="center"/>
          </w:tcPr>
          <w:p w14:paraId="19B2E50D" w14:textId="006ACFE4" w:rsidR="00BC18B3" w:rsidRPr="00BC18B3" w:rsidRDefault="000A7B56"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1</w:t>
            </w:r>
            <w:r w:rsidR="007D1819">
              <w:rPr>
                <w:rFonts w:ascii="EYInterstate Light" w:hAnsi="EYInterstate Light"/>
                <w:color w:val="000000" w:themeColor="background2"/>
                <w:sz w:val="16"/>
                <w:szCs w:val="16"/>
              </w:rPr>
              <w:t>,</w:t>
            </w:r>
            <w:r>
              <w:rPr>
                <w:rFonts w:ascii="EYInterstate Light" w:hAnsi="EYInterstate Light"/>
                <w:color w:val="000000" w:themeColor="background2"/>
                <w:sz w:val="16"/>
                <w:szCs w:val="16"/>
              </w:rPr>
              <w:t>030</w:t>
            </w:r>
          </w:p>
        </w:tc>
        <w:tc>
          <w:tcPr>
            <w:tcW w:w="1000" w:type="pct"/>
            <w:tcBorders>
              <w:bottom w:val="single" w:sz="4" w:space="0" w:color="787890" w:themeColor="text1" w:themeTint="99"/>
            </w:tcBorders>
            <w:vAlign w:val="center"/>
          </w:tcPr>
          <w:p w14:paraId="7F09D3D3" w14:textId="655243C3" w:rsidR="00BC18B3" w:rsidRPr="00BC18B3" w:rsidRDefault="00441895"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2</w:t>
            </w:r>
            <w:r w:rsidR="007D1819">
              <w:rPr>
                <w:rFonts w:ascii="EYInterstate Light" w:hAnsi="EYInterstate Light"/>
                <w:color w:val="000000" w:themeColor="background2"/>
                <w:sz w:val="16"/>
                <w:szCs w:val="16"/>
              </w:rPr>
              <w:t>,</w:t>
            </w:r>
            <w:r>
              <w:rPr>
                <w:rFonts w:ascii="EYInterstate Light" w:hAnsi="EYInterstate Light"/>
                <w:color w:val="000000" w:themeColor="background2"/>
                <w:sz w:val="16"/>
                <w:szCs w:val="16"/>
              </w:rPr>
              <w:t>900</w:t>
            </w:r>
          </w:p>
        </w:tc>
        <w:tc>
          <w:tcPr>
            <w:tcW w:w="1002" w:type="pct"/>
            <w:tcBorders>
              <w:bottom w:val="single" w:sz="4" w:space="0" w:color="787890" w:themeColor="text1" w:themeTint="99"/>
            </w:tcBorders>
            <w:vAlign w:val="center"/>
          </w:tcPr>
          <w:p w14:paraId="37103705" w14:textId="29836DB7" w:rsidR="00BC18B3" w:rsidRPr="00BC18B3" w:rsidRDefault="00441895"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5</w:t>
            </w:r>
            <w:r w:rsidR="007D1819">
              <w:rPr>
                <w:rFonts w:ascii="EYInterstate Light" w:hAnsi="EYInterstate Light"/>
                <w:color w:val="000000" w:themeColor="background2"/>
                <w:sz w:val="16"/>
                <w:szCs w:val="16"/>
              </w:rPr>
              <w:t>,</w:t>
            </w:r>
            <w:r>
              <w:rPr>
                <w:rFonts w:ascii="EYInterstate Light" w:hAnsi="EYInterstate Light"/>
                <w:color w:val="000000" w:themeColor="background2"/>
                <w:sz w:val="16"/>
                <w:szCs w:val="16"/>
              </w:rPr>
              <w:t>300</w:t>
            </w:r>
          </w:p>
        </w:tc>
      </w:tr>
      <w:tr w:rsidR="00BC18B3" w:rsidRPr="00BC18B3" w14:paraId="51497EC0" w14:textId="77777777" w:rsidTr="00A276DA">
        <w:trPr>
          <w:trHeight w:val="380"/>
        </w:trPr>
        <w:tc>
          <w:tcPr>
            <w:tcW w:w="997" w:type="pct"/>
            <w:tcBorders>
              <w:top w:val="single" w:sz="4" w:space="0" w:color="787890" w:themeColor="text1" w:themeTint="99"/>
              <w:bottom w:val="single" w:sz="4" w:space="0" w:color="787890" w:themeColor="text1" w:themeTint="99"/>
            </w:tcBorders>
            <w:vAlign w:val="center"/>
          </w:tcPr>
          <w:p w14:paraId="30200E58" w14:textId="77777777" w:rsidR="00BC18B3" w:rsidRPr="00BC18B3" w:rsidRDefault="00BC18B3" w:rsidP="003F773E">
            <w:pPr>
              <w:rPr>
                <w:rFonts w:ascii="EYInterstate Light" w:hAnsi="EYInterstate Light"/>
                <w:color w:val="000000" w:themeColor="background2"/>
                <w:sz w:val="16"/>
                <w:szCs w:val="16"/>
              </w:rPr>
            </w:pPr>
            <w:r w:rsidRPr="00BC18B3">
              <w:rPr>
                <w:rFonts w:ascii="EYInterstate Light" w:hAnsi="EYInterstate Light"/>
                <w:color w:val="000000" w:themeColor="background2"/>
                <w:sz w:val="16"/>
                <w:szCs w:val="16"/>
              </w:rPr>
              <w:t>Investment ($m)</w:t>
            </w:r>
          </w:p>
        </w:tc>
        <w:tc>
          <w:tcPr>
            <w:tcW w:w="1000" w:type="pct"/>
            <w:tcBorders>
              <w:top w:val="single" w:sz="4" w:space="0" w:color="787890" w:themeColor="text1" w:themeTint="99"/>
              <w:bottom w:val="single" w:sz="4" w:space="0" w:color="787890" w:themeColor="text1" w:themeTint="99"/>
            </w:tcBorders>
            <w:vAlign w:val="center"/>
          </w:tcPr>
          <w:p w14:paraId="58D3129F" w14:textId="0A0B70E1" w:rsidR="00BC18B3" w:rsidRPr="00BC18B3" w:rsidRDefault="009872F4"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12,900</w:t>
            </w:r>
          </w:p>
        </w:tc>
        <w:tc>
          <w:tcPr>
            <w:tcW w:w="1000" w:type="pct"/>
            <w:tcBorders>
              <w:top w:val="single" w:sz="4" w:space="0" w:color="787890" w:themeColor="text1" w:themeTint="99"/>
              <w:bottom w:val="single" w:sz="4" w:space="0" w:color="787890" w:themeColor="text1" w:themeTint="99"/>
            </w:tcBorders>
            <w:vAlign w:val="center"/>
          </w:tcPr>
          <w:p w14:paraId="347E30A2" w14:textId="4D951F0D" w:rsidR="00BC18B3" w:rsidRPr="00BC18B3" w:rsidRDefault="005F3E99"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430</w:t>
            </w:r>
          </w:p>
        </w:tc>
        <w:tc>
          <w:tcPr>
            <w:tcW w:w="1000" w:type="pct"/>
            <w:tcBorders>
              <w:top w:val="single" w:sz="4" w:space="0" w:color="787890" w:themeColor="text1" w:themeTint="99"/>
              <w:bottom w:val="single" w:sz="4" w:space="0" w:color="787890" w:themeColor="text1" w:themeTint="99"/>
            </w:tcBorders>
            <w:vAlign w:val="center"/>
          </w:tcPr>
          <w:p w14:paraId="681C8CA4" w14:textId="11D4E190" w:rsidR="00BC18B3" w:rsidRPr="00BC18B3" w:rsidRDefault="00E63CFC"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975</w:t>
            </w:r>
          </w:p>
        </w:tc>
        <w:tc>
          <w:tcPr>
            <w:tcW w:w="1002" w:type="pct"/>
            <w:tcBorders>
              <w:top w:val="single" w:sz="4" w:space="0" w:color="787890" w:themeColor="text1" w:themeTint="99"/>
              <w:bottom w:val="single" w:sz="4" w:space="0" w:color="787890" w:themeColor="text1" w:themeTint="99"/>
            </w:tcBorders>
            <w:vAlign w:val="center"/>
          </w:tcPr>
          <w:p w14:paraId="2A4C6EF5" w14:textId="3214DC40" w:rsidR="00BC18B3" w:rsidRPr="00BC18B3" w:rsidRDefault="00E63CFC" w:rsidP="003F773E">
            <w:pPr>
              <w:jc w:val="right"/>
              <w:rPr>
                <w:rFonts w:ascii="EYInterstate Light" w:hAnsi="EYInterstate Light"/>
                <w:color w:val="000000" w:themeColor="background2"/>
                <w:sz w:val="16"/>
                <w:szCs w:val="16"/>
              </w:rPr>
            </w:pPr>
            <w:r>
              <w:rPr>
                <w:rFonts w:ascii="EYInterstate Light" w:hAnsi="EYInterstate Light"/>
                <w:color w:val="000000" w:themeColor="background2"/>
                <w:sz w:val="16"/>
                <w:szCs w:val="16"/>
              </w:rPr>
              <w:t>1</w:t>
            </w:r>
            <w:r w:rsidR="007D1819">
              <w:rPr>
                <w:rFonts w:ascii="EYInterstate Light" w:hAnsi="EYInterstate Light"/>
                <w:color w:val="000000" w:themeColor="background2"/>
                <w:sz w:val="16"/>
                <w:szCs w:val="16"/>
              </w:rPr>
              <w:t>,</w:t>
            </w:r>
            <w:r>
              <w:rPr>
                <w:rFonts w:ascii="EYInterstate Light" w:hAnsi="EYInterstate Light"/>
                <w:color w:val="000000" w:themeColor="background2"/>
                <w:sz w:val="16"/>
                <w:szCs w:val="16"/>
              </w:rPr>
              <w:t>770</w:t>
            </w:r>
          </w:p>
        </w:tc>
      </w:tr>
    </w:tbl>
    <w:p w14:paraId="3E903847" w14:textId="642330C5" w:rsidR="00BC18B3" w:rsidRPr="003007B5" w:rsidRDefault="00BC18B3" w:rsidP="00BF44E4">
      <w:pPr>
        <w:spacing w:before="120" w:after="280"/>
        <w:rPr>
          <w:b/>
          <w:color w:val="747480"/>
          <w:sz w:val="16"/>
          <w:szCs w:val="18"/>
        </w:rPr>
      </w:pPr>
      <w:r w:rsidRPr="00BC18B3">
        <w:rPr>
          <w:b/>
          <w:bCs/>
          <w:color w:val="747480"/>
          <w:sz w:val="16"/>
          <w:szCs w:val="18"/>
        </w:rPr>
        <w:t>Source: EY analysis</w:t>
      </w:r>
    </w:p>
    <w:p w14:paraId="3DCBC7EC" w14:textId="6F77491D" w:rsidR="00BC18B3" w:rsidRPr="00AC674B" w:rsidRDefault="001D1E95" w:rsidP="003F773E">
      <w:pPr>
        <w:pStyle w:val="EYHeading2"/>
      </w:pPr>
      <w:bookmarkStart w:id="38" w:name="_Toc115717085"/>
      <w:r>
        <w:t>S</w:t>
      </w:r>
      <w:r w:rsidR="00BC18B3" w:rsidRPr="00AC674B">
        <w:t>ocial benefits of open access</w:t>
      </w:r>
      <w:bookmarkEnd w:id="38"/>
    </w:p>
    <w:p w14:paraId="4DC17131" w14:textId="060875E9" w:rsidR="00BC18B3" w:rsidRPr="00BC18B3" w:rsidRDefault="00BC18B3" w:rsidP="003F773E">
      <w:pPr>
        <w:spacing w:after="280"/>
        <w:rPr>
          <w:color w:val="000000" w:themeColor="background2"/>
        </w:rPr>
      </w:pPr>
      <w:r w:rsidRPr="00BC18B3">
        <w:rPr>
          <w:color w:val="000000" w:themeColor="background2"/>
        </w:rPr>
        <w:t xml:space="preserve">Open access under the proposed approach facilitates access to academic literature </w:t>
      </w:r>
      <w:r w:rsidR="0086349B">
        <w:rPr>
          <w:color w:val="000000" w:themeColor="background2"/>
        </w:rPr>
        <w:t>across a range of disciplines</w:t>
      </w:r>
      <w:r w:rsidRPr="00BC18B3">
        <w:rPr>
          <w:color w:val="000000" w:themeColor="background2"/>
        </w:rPr>
        <w:t xml:space="preserve"> </w:t>
      </w:r>
      <w:r w:rsidR="007B0A83">
        <w:rPr>
          <w:color w:val="000000" w:themeColor="background2"/>
        </w:rPr>
        <w:t>by all</w:t>
      </w:r>
      <w:r w:rsidRPr="00BC18B3">
        <w:rPr>
          <w:color w:val="000000" w:themeColor="background2"/>
        </w:rPr>
        <w:t xml:space="preserve"> individuals and organisations with</w:t>
      </w:r>
      <w:r w:rsidR="006615AD">
        <w:rPr>
          <w:color w:val="000000" w:themeColor="background2"/>
        </w:rPr>
        <w:t>in</w:t>
      </w:r>
      <w:r w:rsidRPr="00BC18B3">
        <w:rPr>
          <w:color w:val="000000" w:themeColor="background2"/>
        </w:rPr>
        <w:t xml:space="preserve"> Australia</w:t>
      </w:r>
      <w:r w:rsidR="00170C7D">
        <w:rPr>
          <w:color w:val="000000" w:themeColor="background2"/>
        </w:rPr>
        <w:t xml:space="preserve"> with</w:t>
      </w:r>
      <w:r w:rsidRPr="00BC18B3">
        <w:rPr>
          <w:color w:val="000000" w:themeColor="background2"/>
        </w:rPr>
        <w:t xml:space="preserve"> wide social benefits</w:t>
      </w:r>
      <w:r w:rsidR="00170C7D">
        <w:rPr>
          <w:color w:val="000000" w:themeColor="background2"/>
        </w:rPr>
        <w:t>.</w:t>
      </w:r>
    </w:p>
    <w:p w14:paraId="11203115" w14:textId="407DBD1A" w:rsidR="00BC18B3" w:rsidRDefault="00BC18B3" w:rsidP="003F773E">
      <w:pPr>
        <w:spacing w:after="280"/>
        <w:rPr>
          <w:color w:val="000000" w:themeColor="background2"/>
        </w:rPr>
      </w:pPr>
      <w:r w:rsidRPr="00BC18B3">
        <w:rPr>
          <w:color w:val="000000" w:themeColor="background2"/>
        </w:rPr>
        <w:t xml:space="preserve">Access to information supports social cohesion, informs public debate and decision making, and </w:t>
      </w:r>
      <w:r w:rsidR="00763365">
        <w:rPr>
          <w:color w:val="000000" w:themeColor="background2"/>
        </w:rPr>
        <w:t>provides</w:t>
      </w:r>
      <w:r w:rsidRPr="00BC18B3">
        <w:rPr>
          <w:color w:val="000000" w:themeColor="background2"/>
        </w:rPr>
        <w:t xml:space="preserve"> better resources to educational facilitates across Australia. In effect, open access shifts academic literature from being a private commodity (behind a paywall) to a public good.</w:t>
      </w:r>
    </w:p>
    <w:p w14:paraId="05DF5411" w14:textId="194A4A81" w:rsidR="00F679C2" w:rsidRPr="00BC18B3" w:rsidRDefault="00F679C2" w:rsidP="003F773E">
      <w:pPr>
        <w:spacing w:after="280"/>
        <w:rPr>
          <w:color w:val="000000" w:themeColor="background2"/>
        </w:rPr>
      </w:pPr>
      <w:r w:rsidRPr="00BC18B3">
        <w:rPr>
          <w:color w:val="000000" w:themeColor="background2"/>
        </w:rPr>
        <w:t>Some key social benefits are noted in the box below.</w:t>
      </w:r>
    </w:p>
    <w:p w14:paraId="1B07A2A9" w14:textId="1DC13CE8" w:rsidR="00BC18B3" w:rsidRPr="00BC18B3" w:rsidRDefault="00366066" w:rsidP="003F773E">
      <w:pPr>
        <w:spacing w:after="280"/>
        <w:rPr>
          <w:color w:val="000000" w:themeColor="background2"/>
        </w:rPr>
      </w:pPr>
      <w:r w:rsidRPr="00BC18B3">
        <w:rPr>
          <w:noProof/>
        </w:rPr>
        <w:lastRenderedPageBreak/>
        <mc:AlternateContent>
          <mc:Choice Requires="wps">
            <w:drawing>
              <wp:inline distT="0" distB="0" distL="0" distR="0" wp14:anchorId="5F060C50" wp14:editId="7D2B7193">
                <wp:extent cx="5716270" cy="2590800"/>
                <wp:effectExtent l="0" t="0" r="0" b="0"/>
                <wp:docPr id="25" name="Rectangle 25"/>
                <wp:cNvGraphicFramePr/>
                <a:graphic xmlns:a="http://schemas.openxmlformats.org/drawingml/2006/main">
                  <a:graphicData uri="http://schemas.microsoft.com/office/word/2010/wordprocessingShape">
                    <wps:wsp>
                      <wps:cNvSpPr/>
                      <wps:spPr>
                        <a:xfrm>
                          <a:off x="0" y="0"/>
                          <a:ext cx="5716270" cy="2590800"/>
                        </a:xfrm>
                        <a:prstGeom prst="rect">
                          <a:avLst/>
                        </a:prstGeom>
                        <a:solidFill>
                          <a:srgbClr val="2E2E38">
                            <a:lumMod val="20000"/>
                            <a:lumOff val="80000"/>
                          </a:srgbClr>
                        </a:solidFill>
                        <a:ln w="25400" cap="flat" cmpd="sng" algn="ctr">
                          <a:noFill/>
                          <a:prstDash val="solid"/>
                        </a:ln>
                        <a:effectLst/>
                      </wps:spPr>
                      <wps:txbx>
                        <w:txbxContent>
                          <w:p w14:paraId="31DDF2D5" w14:textId="402FD78D" w:rsidR="00BC18B3" w:rsidRPr="00A276DA" w:rsidRDefault="00BC18B3" w:rsidP="00A577AC">
                            <w:pPr>
                              <w:pStyle w:val="EYBodytextwithparaspace"/>
                              <w:rPr>
                                <w:b/>
                              </w:rPr>
                            </w:pPr>
                            <w:r w:rsidRPr="00A276DA">
                              <w:rPr>
                                <w:b/>
                              </w:rPr>
                              <w:t>Key social benefits from open access</w:t>
                            </w:r>
                          </w:p>
                          <w:p w14:paraId="2AB99140" w14:textId="7201DD52" w:rsidR="00BC18B3" w:rsidRPr="00AD2CB8" w:rsidRDefault="00BC18B3" w:rsidP="000125A6">
                            <w:pPr>
                              <w:pStyle w:val="EYBulletnoparaspace"/>
                            </w:pPr>
                            <w:r w:rsidRPr="00AD2CB8">
                              <w:t xml:space="preserve">Reduces the informational asymmetry between the public and academic institutions and promotes the </w:t>
                            </w:r>
                            <w:r w:rsidR="006C6E38" w:rsidRPr="00AD2CB8">
                              <w:t>role</w:t>
                            </w:r>
                            <w:r w:rsidRPr="00AD2CB8">
                              <w:t xml:space="preserve"> of citizen scientist</w:t>
                            </w:r>
                            <w:r w:rsidR="00366066">
                              <w:t>s</w:t>
                            </w:r>
                          </w:p>
                          <w:p w14:paraId="2C05FCBF" w14:textId="3F1AA035" w:rsidR="00BC18B3" w:rsidRPr="00AD2CB8" w:rsidRDefault="00BC18B3" w:rsidP="000125A6">
                            <w:pPr>
                              <w:pStyle w:val="EYBulletnoparaspace"/>
                            </w:pPr>
                            <w:r w:rsidRPr="00AD2CB8">
                              <w:t xml:space="preserve">Promotes greater public engagement with academic research </w:t>
                            </w:r>
                          </w:p>
                          <w:p w14:paraId="7CBE0393" w14:textId="78906632" w:rsidR="00BC18B3" w:rsidRPr="00AD2CB8" w:rsidRDefault="00BC18B3" w:rsidP="000125A6">
                            <w:pPr>
                              <w:pStyle w:val="EYBulletnoparaspace"/>
                            </w:pPr>
                            <w:r w:rsidRPr="00AD2CB8">
                              <w:t xml:space="preserve">Supports more informed public debate by </w:t>
                            </w:r>
                            <w:r w:rsidR="007A4962">
                              <w:t xml:space="preserve">elevating </w:t>
                            </w:r>
                            <w:r w:rsidR="007A1948">
                              <w:t>countering</w:t>
                            </w:r>
                            <w:r w:rsidRPr="00AD2CB8">
                              <w:t xml:space="preserve"> misinformation</w:t>
                            </w:r>
                          </w:p>
                          <w:p w14:paraId="209C1697" w14:textId="56AD847F" w:rsidR="00BC18B3" w:rsidRPr="00AD2CB8" w:rsidRDefault="00BC18B3" w:rsidP="000125A6">
                            <w:pPr>
                              <w:pStyle w:val="EYBulletnoparaspace"/>
                            </w:pPr>
                            <w:r w:rsidRPr="00AD2CB8">
                              <w:t>Provides greater academic resources to educational facilities</w:t>
                            </w:r>
                          </w:p>
                          <w:p w14:paraId="1F1B5FD2" w14:textId="6E39467F" w:rsidR="00BC18B3" w:rsidRPr="00AD2CB8" w:rsidRDefault="00BC18B3" w:rsidP="000125A6">
                            <w:pPr>
                              <w:pStyle w:val="EYBulletnoparaspace"/>
                            </w:pPr>
                            <w:r w:rsidRPr="00AD2CB8">
                              <w:t>Creates the opportunity for multi-disciplinary engagement and foster further research</w:t>
                            </w:r>
                          </w:p>
                          <w:p w14:paraId="7837C145" w14:textId="38F457ED" w:rsidR="00BC18B3" w:rsidRPr="00AD2CB8" w:rsidRDefault="00BC18B3" w:rsidP="000125A6">
                            <w:pPr>
                              <w:pStyle w:val="EYBulletnoparaspace"/>
                            </w:pPr>
                            <w:r w:rsidRPr="00AD2CB8">
                              <w:t>Improves the reach of Australian authors both domestically international</w:t>
                            </w:r>
                            <w:r w:rsidR="007466B8">
                              <w:t>ly</w:t>
                            </w:r>
                          </w:p>
                          <w:p w14:paraId="0DFE66EF" w14:textId="10DE041B" w:rsidR="00BC18B3" w:rsidRPr="00AD2CB8" w:rsidRDefault="00BC18B3" w:rsidP="000125A6">
                            <w:pPr>
                              <w:pStyle w:val="EYBulletnoparaspace"/>
                            </w:pPr>
                            <w:r w:rsidRPr="00AD2CB8">
                              <w:t>Enables taxpayers to access to government funded research</w:t>
                            </w:r>
                          </w:p>
                          <w:p w14:paraId="73BFA3D5" w14:textId="30502D97" w:rsidR="00BC18B3" w:rsidRPr="00526636" w:rsidRDefault="00BC18B3" w:rsidP="000125A6">
                            <w:pPr>
                              <w:pStyle w:val="EYBulletnoparaspace"/>
                            </w:pPr>
                            <w:r w:rsidRPr="00AD2CB8">
                              <w:t>Gives decision makers better access to critical information influencing</w:t>
                            </w:r>
                            <w:r w:rsidRPr="00526636">
                              <w:t xml:space="preserve"> public debate</w:t>
                            </w:r>
                          </w:p>
                          <w:p w14:paraId="77692C78" w14:textId="52124C07" w:rsidR="002C770B" w:rsidRPr="00526636" w:rsidRDefault="00BC18B3" w:rsidP="000125A6">
                            <w:pPr>
                              <w:pStyle w:val="EYBulletnoparaspace"/>
                            </w:pPr>
                            <w:r>
                              <w:t>Prevents</w:t>
                            </w:r>
                            <w:r w:rsidRPr="00526636">
                              <w:t xml:space="preserve"> </w:t>
                            </w:r>
                            <w:r w:rsidR="004F2BAB">
                              <w:t xml:space="preserve">the need for </w:t>
                            </w:r>
                            <w:r w:rsidRPr="00526636">
                              <w:t>research duplication</w:t>
                            </w:r>
                            <w:r w:rsidR="00E63B87">
                              <w:t xml:space="preserve"> </w:t>
                            </w:r>
                            <w:r w:rsidR="00E63B87" w:rsidRPr="00E30FB3">
                              <w:t>by</w:t>
                            </w:r>
                            <w:r w:rsidR="00E63B87">
                              <w:t xml:space="preserve"> </w:t>
                            </w:r>
                            <w:r w:rsidR="001010DE" w:rsidRPr="00E30FB3">
                              <w:t>reducing</w:t>
                            </w:r>
                            <w:r w:rsidR="004F2BAB" w:rsidRPr="00E30FB3">
                              <w:t xml:space="preserve"> barriers to accessing</w:t>
                            </w:r>
                            <w:r w:rsidR="004F2BAB" w:rsidRPr="00E30FB3">
                              <w:rPr>
                                <w:b/>
                              </w:rPr>
                              <w:t xml:space="preserve"> </w:t>
                            </w:r>
                            <w:r w:rsidR="004F2BAB" w:rsidRPr="00E30FB3">
                              <w:t>researc</w:t>
                            </w:r>
                            <w:r w:rsidR="00104534" w:rsidRPr="00E30FB3">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ect w14:anchorId="5F060C50" id="Rectangle 25" o:spid="_x0000_s1030" style="width:450.1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" fillcolor="#d2d2da" stroked="f" strokeweight="2pt">
                <v:textbox style="mso-fit-shape-to-text:t">
                  <w:txbxContent>
                    <w:p w14:paraId="31DDF2D5" w14:textId="402FD78D" w:rsidR="00BC18B3" w:rsidRPr="00A276DA" w:rsidRDefault="00BC18B3" w:rsidP="00A577AC">
                      <w:pPr>
                        <w:pStyle w:val="EYBodytextwithparaspace"/>
                        <w:rPr>
                          <w:b/>
                        </w:rPr>
                      </w:pPr>
                      <w:r w:rsidRPr="00A276DA">
                        <w:rPr>
                          <w:b/>
                        </w:rPr>
                        <w:t>Key social benefits from open access</w:t>
                      </w:r>
                    </w:p>
                    <w:p w14:paraId="2AB99140" w14:textId="7201DD52" w:rsidR="00BC18B3" w:rsidRPr="00AD2CB8" w:rsidRDefault="00BC18B3" w:rsidP="000125A6">
                      <w:pPr>
                        <w:pStyle w:val="EYBulletnoparaspace"/>
                      </w:pPr>
                      <w:r w:rsidRPr="00AD2CB8">
                        <w:t xml:space="preserve">Reduces the informational asymmetry between the public and academic institutions and promotes the </w:t>
                      </w:r>
                      <w:r w:rsidR="006C6E38" w:rsidRPr="00AD2CB8">
                        <w:t>role</w:t>
                      </w:r>
                      <w:r w:rsidRPr="00AD2CB8">
                        <w:t xml:space="preserve"> of citizen scientist</w:t>
                      </w:r>
                      <w:r w:rsidR="00366066">
                        <w:t>s</w:t>
                      </w:r>
                    </w:p>
                    <w:p w14:paraId="2C05FCBF" w14:textId="3F1AA035" w:rsidR="00BC18B3" w:rsidRPr="00AD2CB8" w:rsidRDefault="00BC18B3" w:rsidP="000125A6">
                      <w:pPr>
                        <w:pStyle w:val="EYBulletnoparaspace"/>
                      </w:pPr>
                      <w:r w:rsidRPr="00AD2CB8">
                        <w:t xml:space="preserve">Promotes greater public engagement with academic research </w:t>
                      </w:r>
                    </w:p>
                    <w:p w14:paraId="7CBE0393" w14:textId="78906632" w:rsidR="00BC18B3" w:rsidRPr="00AD2CB8" w:rsidRDefault="00BC18B3" w:rsidP="000125A6">
                      <w:pPr>
                        <w:pStyle w:val="EYBulletnoparaspace"/>
                      </w:pPr>
                      <w:r w:rsidRPr="00AD2CB8">
                        <w:t xml:space="preserve">Supports more informed public debate by </w:t>
                      </w:r>
                      <w:r w:rsidR="007A4962">
                        <w:t xml:space="preserve">elevating </w:t>
                      </w:r>
                      <w:r w:rsidR="007A1948">
                        <w:t>countering</w:t>
                      </w:r>
                      <w:r w:rsidRPr="00AD2CB8">
                        <w:t xml:space="preserve"> misinformation</w:t>
                      </w:r>
                    </w:p>
                    <w:p w14:paraId="209C1697" w14:textId="56AD847F" w:rsidR="00BC18B3" w:rsidRPr="00AD2CB8" w:rsidRDefault="00BC18B3" w:rsidP="000125A6">
                      <w:pPr>
                        <w:pStyle w:val="EYBulletnoparaspace"/>
                      </w:pPr>
                      <w:r w:rsidRPr="00AD2CB8">
                        <w:t>Provides greater academic resources to educational facilities</w:t>
                      </w:r>
                    </w:p>
                    <w:p w14:paraId="1F1B5FD2" w14:textId="6E39467F" w:rsidR="00BC18B3" w:rsidRPr="00AD2CB8" w:rsidRDefault="00BC18B3" w:rsidP="000125A6">
                      <w:pPr>
                        <w:pStyle w:val="EYBulletnoparaspace"/>
                      </w:pPr>
                      <w:r w:rsidRPr="00AD2CB8">
                        <w:t>Creates the opportunity for multi-disciplinary engagement and foster further research</w:t>
                      </w:r>
                    </w:p>
                    <w:p w14:paraId="7837C145" w14:textId="38F457ED" w:rsidR="00BC18B3" w:rsidRPr="00AD2CB8" w:rsidRDefault="00BC18B3" w:rsidP="000125A6">
                      <w:pPr>
                        <w:pStyle w:val="EYBulletnoparaspace"/>
                      </w:pPr>
                      <w:r w:rsidRPr="00AD2CB8">
                        <w:t>Improves the reach of Australian authors both domestically international</w:t>
                      </w:r>
                      <w:r w:rsidR="007466B8">
                        <w:t>ly</w:t>
                      </w:r>
                    </w:p>
                    <w:p w14:paraId="0DFE66EF" w14:textId="10DE041B" w:rsidR="00BC18B3" w:rsidRPr="00AD2CB8" w:rsidRDefault="00BC18B3" w:rsidP="000125A6">
                      <w:pPr>
                        <w:pStyle w:val="EYBulletnoparaspace"/>
                      </w:pPr>
                      <w:r w:rsidRPr="00AD2CB8">
                        <w:t>Enables taxpayers to access to government funded research</w:t>
                      </w:r>
                    </w:p>
                    <w:p w14:paraId="73BFA3D5" w14:textId="30502D97" w:rsidR="00BC18B3" w:rsidRPr="00526636" w:rsidRDefault="00BC18B3" w:rsidP="000125A6">
                      <w:pPr>
                        <w:pStyle w:val="EYBulletnoparaspace"/>
                      </w:pPr>
                      <w:r w:rsidRPr="00AD2CB8">
                        <w:t>Gives decision makers better access to critical information influencing</w:t>
                      </w:r>
                      <w:r w:rsidRPr="00526636">
                        <w:t xml:space="preserve"> public debate</w:t>
                      </w:r>
                    </w:p>
                    <w:p w14:paraId="77692C78" w14:textId="52124C07" w:rsidR="002C770B" w:rsidRPr="00526636" w:rsidRDefault="00BC18B3" w:rsidP="000125A6">
                      <w:pPr>
                        <w:pStyle w:val="EYBulletnoparaspace"/>
                      </w:pPr>
                      <w:r>
                        <w:t>Prevents</w:t>
                      </w:r>
                      <w:r w:rsidRPr="00526636">
                        <w:t xml:space="preserve"> </w:t>
                      </w:r>
                      <w:r w:rsidR="004F2BAB">
                        <w:t xml:space="preserve">the need for </w:t>
                      </w:r>
                      <w:r w:rsidRPr="00526636">
                        <w:t>research duplication</w:t>
                      </w:r>
                      <w:r w:rsidR="00E63B87">
                        <w:t xml:space="preserve"> </w:t>
                      </w:r>
                      <w:r w:rsidR="00E63B87" w:rsidRPr="00E30FB3">
                        <w:t>by</w:t>
                      </w:r>
                      <w:r w:rsidR="00E63B87">
                        <w:t xml:space="preserve"> </w:t>
                      </w:r>
                      <w:r w:rsidR="001010DE" w:rsidRPr="00E30FB3">
                        <w:t>reducing</w:t>
                      </w:r>
                      <w:r w:rsidR="004F2BAB" w:rsidRPr="00E30FB3">
                        <w:t xml:space="preserve"> barriers to accessing</w:t>
                      </w:r>
                      <w:r w:rsidR="004F2BAB" w:rsidRPr="00E30FB3">
                        <w:rPr>
                          <w:b/>
                        </w:rPr>
                        <w:t xml:space="preserve"> </w:t>
                      </w:r>
                      <w:r w:rsidR="004F2BAB" w:rsidRPr="00E30FB3">
                        <w:t>researc</w:t>
                      </w:r>
                      <w:r w:rsidR="00104534" w:rsidRPr="00E30FB3">
                        <w:t>h</w:t>
                      </w:r>
                    </w:p>
                  </w:txbxContent>
                </v:textbox>
                <w10:anchorlock/>
              </v:rect>
            </w:pict>
          </mc:Fallback>
        </mc:AlternateContent>
      </w:r>
    </w:p>
    <w:p w14:paraId="58F5E01A" w14:textId="77777777" w:rsidR="00BC18B3" w:rsidRPr="00CC7F42" w:rsidRDefault="00BC18B3" w:rsidP="003F773E">
      <w:pPr>
        <w:spacing w:after="280"/>
        <w:rPr>
          <w:rFonts w:ascii="EYInterstate" w:hAnsi="EYInterstate"/>
          <w:color w:val="000000" w:themeColor="background2"/>
          <w:sz w:val="24"/>
          <w:szCs w:val="24"/>
        </w:rPr>
      </w:pPr>
      <w:r w:rsidRPr="00CC7F42">
        <w:rPr>
          <w:rFonts w:ascii="EYInterstate" w:hAnsi="EYInterstate"/>
          <w:color w:val="000000" w:themeColor="background2"/>
          <w:sz w:val="24"/>
          <w:szCs w:val="24"/>
        </w:rPr>
        <w:t>Informational asymmetry and citizen scientists</w:t>
      </w:r>
    </w:p>
    <w:p w14:paraId="6BA328CC" w14:textId="4D36D75F" w:rsidR="00BC18B3" w:rsidRPr="00BC18B3" w:rsidRDefault="00BC18B3" w:rsidP="003F773E">
      <w:pPr>
        <w:spacing w:after="280"/>
        <w:rPr>
          <w:i/>
          <w:iCs/>
          <w:color w:val="000000" w:themeColor="background2"/>
        </w:rPr>
      </w:pPr>
      <w:r w:rsidRPr="00BC18B3">
        <w:rPr>
          <w:color w:val="000000" w:themeColor="background2"/>
        </w:rPr>
        <w:t xml:space="preserve">Currently, access to papers and informed research is concentrated within universities, some industry players, and other subscribing organisations. This creates an information asymmetry between different </w:t>
      </w:r>
      <w:r w:rsidR="008D0770">
        <w:rPr>
          <w:color w:val="000000" w:themeColor="background2"/>
        </w:rPr>
        <w:t>groups</w:t>
      </w:r>
      <w:r w:rsidRPr="00BC18B3">
        <w:rPr>
          <w:color w:val="000000" w:themeColor="background2"/>
        </w:rPr>
        <w:t xml:space="preserve"> in society. Open access reduces this access asymmetry by enabling individuals to access the same content, driving a more inclusive society in academic engagement.</w:t>
      </w:r>
      <w:r w:rsidRPr="00BC18B3">
        <w:rPr>
          <w:color w:val="000000" w:themeColor="background2"/>
          <w:vertAlign w:val="superscript"/>
        </w:rPr>
        <w:footnoteReference w:id="29"/>
      </w:r>
    </w:p>
    <w:p w14:paraId="4FE534C0" w14:textId="6E8EB43A" w:rsidR="00BC18B3" w:rsidRDefault="00BC18B3" w:rsidP="003F773E">
      <w:pPr>
        <w:spacing w:after="280"/>
        <w:rPr>
          <w:color w:val="000000" w:themeColor="background2"/>
        </w:rPr>
      </w:pPr>
      <w:r w:rsidRPr="00BC18B3">
        <w:rPr>
          <w:color w:val="000000" w:themeColor="background2"/>
        </w:rPr>
        <w:t xml:space="preserve">Citizen science </w:t>
      </w:r>
      <w:r w:rsidR="00416D75">
        <w:rPr>
          <w:color w:val="000000" w:themeColor="background2"/>
        </w:rPr>
        <w:t>is a growing phenomenon</w:t>
      </w:r>
      <w:r w:rsidRPr="00BC18B3">
        <w:rPr>
          <w:color w:val="000000" w:themeColor="background2"/>
        </w:rPr>
        <w:t>, with individuals across society contributing to data collection and observations propelling scientific advancement.</w:t>
      </w:r>
      <w:r w:rsidRPr="00BC18B3">
        <w:rPr>
          <w:color w:val="000000" w:themeColor="background2"/>
          <w:vertAlign w:val="superscript"/>
        </w:rPr>
        <w:footnoteReference w:id="30"/>
      </w:r>
      <w:r w:rsidRPr="00BC18B3">
        <w:rPr>
          <w:color w:val="000000" w:themeColor="background2"/>
        </w:rPr>
        <w:t xml:space="preserve"> For example, the public contributed significantly to our understanding of the effects of climate change o</w:t>
      </w:r>
      <w:r w:rsidR="007F59F0">
        <w:rPr>
          <w:color w:val="000000" w:themeColor="background2"/>
        </w:rPr>
        <w:t>n</w:t>
      </w:r>
      <w:r w:rsidRPr="00BC18B3">
        <w:rPr>
          <w:color w:val="000000" w:themeColor="background2"/>
        </w:rPr>
        <w:t xml:space="preserve"> migratory birds. Open access will propel citizen science forward, with greater access to academic literature and opportunity for the public to contribute to different fields.</w:t>
      </w:r>
    </w:p>
    <w:p w14:paraId="2854A486" w14:textId="52A01716" w:rsidR="00D834B0" w:rsidRDefault="00D834B0" w:rsidP="003F773E">
      <w:pPr>
        <w:spacing w:after="280"/>
        <w:rPr>
          <w:color w:val="000000" w:themeColor="background2"/>
        </w:rPr>
      </w:pPr>
      <w:r>
        <w:rPr>
          <w:color w:val="000000" w:themeColor="background2"/>
        </w:rPr>
        <w:t>Some evidence on the dissemination and value of open access publishing is provided in the box below.</w:t>
      </w:r>
    </w:p>
    <w:p w14:paraId="6500C8E4" w14:textId="77777777" w:rsidR="00D834B0" w:rsidRDefault="00D834B0" w:rsidP="003F773E">
      <w:pPr>
        <w:spacing w:after="280"/>
        <w:rPr>
          <w:color w:val="000000" w:themeColor="background2"/>
        </w:rPr>
      </w:pPr>
    </w:p>
    <w:p w14:paraId="3D6C87F5" w14:textId="77777777" w:rsidR="00B738A4" w:rsidRDefault="00B738A4" w:rsidP="00B738A4">
      <w:pPr>
        <w:pStyle w:val="Caption"/>
        <w:keepNext/>
      </w:pPr>
    </w:p>
    <w:p w14:paraId="4AC9C822" w14:textId="3080927F" w:rsidR="00BC66D8" w:rsidRDefault="008F6541" w:rsidP="00CC7F42">
      <w:pPr>
        <w:pStyle w:val="Caption"/>
        <w:keepNext/>
      </w:pPr>
      <w:r w:rsidRPr="00BC18B3">
        <w:rPr>
          <w:noProof/>
        </w:rPr>
        <mc:AlternateContent>
          <mc:Choice Requires="wps">
            <w:drawing>
              <wp:inline distT="0" distB="0" distL="0" distR="0" wp14:anchorId="6792540A" wp14:editId="4E30F4AC">
                <wp:extent cx="5716270" cy="4330065"/>
                <wp:effectExtent l="0" t="0" r="0" b="9525"/>
                <wp:docPr id="30" name="Rectangle 30"/>
                <wp:cNvGraphicFramePr/>
                <a:graphic xmlns:a="http://schemas.openxmlformats.org/drawingml/2006/main">
                  <a:graphicData uri="http://schemas.microsoft.com/office/word/2010/wordprocessingShape">
                    <wps:wsp>
                      <wps:cNvSpPr/>
                      <wps:spPr>
                        <a:xfrm>
                          <a:off x="0" y="0"/>
                          <a:ext cx="5716270" cy="4330065"/>
                        </a:xfrm>
                        <a:prstGeom prst="rect">
                          <a:avLst/>
                        </a:prstGeom>
                        <a:solidFill>
                          <a:srgbClr val="2E2E38">
                            <a:lumMod val="20000"/>
                            <a:lumOff val="80000"/>
                          </a:srgbClr>
                        </a:solidFill>
                        <a:ln w="25400" cap="flat" cmpd="sng" algn="ctr">
                          <a:noFill/>
                          <a:prstDash val="solid"/>
                        </a:ln>
                        <a:effectLst/>
                      </wps:spPr>
                      <wps:txbx>
                        <w:txbxContent>
                          <w:p w14:paraId="12F2CC1E" w14:textId="77777777" w:rsidR="005E6078" w:rsidRPr="005E6078" w:rsidRDefault="005E6078" w:rsidP="005E6078">
                            <w:pPr>
                              <w:pStyle w:val="EYBodytextwithparaspace"/>
                              <w:rPr>
                                <w:b/>
                                <w:bCs/>
                                <w:color w:val="auto"/>
                              </w:rPr>
                            </w:pPr>
                            <w:r w:rsidRPr="005E6078">
                              <w:rPr>
                                <w:b/>
                                <w:bCs/>
                                <w:color w:val="auto"/>
                              </w:rPr>
                              <w:t>NASEM finds widespread use of open access in the public domain</w:t>
                            </w:r>
                          </w:p>
                          <w:p w14:paraId="078D6635" w14:textId="589014EA" w:rsidR="005E6078" w:rsidRPr="005E6078" w:rsidRDefault="005E6078" w:rsidP="005E6078">
                            <w:pPr>
                              <w:pStyle w:val="EYBodytextwithoutparaspace"/>
                              <w:spacing w:after="120"/>
                            </w:pPr>
                            <w:r w:rsidRPr="005E6078">
                              <w:t>A recent study highlights the potential for access to high-quality science to provide long</w:t>
                            </w:r>
                            <w:r w:rsidR="00FB0B0A">
                              <w:t xml:space="preserve"> </w:t>
                            </w:r>
                            <w:r w:rsidRPr="005E6078">
                              <w:t>lasting dividends to society, broadly and at the local level. Analysis of the American National Academies of Science, Engineering, and Medicine (NASEM) consensus reports indicates their impact extends far beyond the research community.</w:t>
                            </w:r>
                          </w:p>
                          <w:p w14:paraId="5696A16C" w14:textId="77777777" w:rsidR="005E6078" w:rsidRPr="005E6078" w:rsidRDefault="005E6078" w:rsidP="005E6078">
                            <w:pPr>
                              <w:pStyle w:val="EYBodytextwithoutparaspace"/>
                              <w:spacing w:after="120"/>
                            </w:pPr>
                            <w:r w:rsidRPr="005E6078">
                              <w:t>NASEM’s consensus study reports have served as headland scientific evidence for policymakers. The most downloaded reports are built on social science expertise in education and policy, in addition to medical knowledge. All consensus reports were made open access in 2011.</w:t>
                            </w:r>
                          </w:p>
                          <w:p w14:paraId="6BBB7F7A" w14:textId="77777777" w:rsidR="005E6078" w:rsidRPr="005E6078" w:rsidRDefault="005E6078" w:rsidP="005E6078">
                            <w:pPr>
                              <w:pStyle w:val="EYBodytextwithoutparaspace"/>
                              <w:spacing w:after="120"/>
                            </w:pPr>
                            <w:r w:rsidRPr="005E6078">
                              <w:t>This study provided empirical evidence for the wider impact of open access research, and that people outside of academic institutions are benefitting from access to academic research. The study used machine learning to analyse over 1.6 million comments on research use of NASEM studies.</w:t>
                            </w:r>
                          </w:p>
                          <w:p w14:paraId="131663F5" w14:textId="77777777" w:rsidR="005E6078" w:rsidRPr="005E6078" w:rsidRDefault="005E6078" w:rsidP="000125A6">
                            <w:pPr>
                              <w:pStyle w:val="EYBulletnoparaspace"/>
                            </w:pPr>
                            <w:r w:rsidRPr="005E6078">
                              <w:t>Half of all report downloads are used for non-academic purposes, including to improve the provision of services by medical professionals, local and regional planners, public health workers, and veterans’ advocates.</w:t>
                            </w:r>
                          </w:p>
                          <w:p w14:paraId="5D057290" w14:textId="77777777" w:rsidR="005E6078" w:rsidRPr="005E6078" w:rsidRDefault="005E6078" w:rsidP="000125A6">
                            <w:pPr>
                              <w:pStyle w:val="EYBulletnoparaspace"/>
                            </w:pPr>
                            <w:r w:rsidRPr="005E6078">
                              <w:t>Heavy use is made of Academies reports on STEM education and how people learn by teachers, school administrators and teachers’ coaches.</w:t>
                            </w:r>
                          </w:p>
                          <w:p w14:paraId="3508DFDF" w14:textId="4B056EB9" w:rsidR="005E6078" w:rsidRPr="005E6078" w:rsidRDefault="005E6078" w:rsidP="000125A6">
                            <w:pPr>
                              <w:pStyle w:val="EYBulletnoparaspace"/>
                            </w:pPr>
                            <w:r w:rsidRPr="005E6078">
                              <w:t>The analysis also detect</w:t>
                            </w:r>
                            <w:r w:rsidR="009E3F71">
                              <w:t>s</w:t>
                            </w:r>
                            <w:r w:rsidRPr="005E6078">
                              <w:t xml:space="preserve"> signals of ‘serious leisure’, a sociological concept used to describe unpaid activities by individuals who engage in a systematic, self-directed pursuit of knowledge.</w:t>
                            </w:r>
                          </w:p>
                          <w:p w14:paraId="30813485" w14:textId="77777777" w:rsidR="005E6078" w:rsidRPr="005E6078" w:rsidRDefault="005E6078" w:rsidP="005E6078">
                            <w:pPr>
                              <w:pStyle w:val="EYBodytextwithoutparaspace"/>
                              <w:spacing w:after="120"/>
                            </w:pPr>
                            <w:r w:rsidRPr="005E6078">
                              <w:t>The research indicates an identifiable payoff to society for taxpayer investments into people, technology and design to support open access publishing.</w:t>
                            </w:r>
                          </w:p>
                          <w:p w14:paraId="47DB3798" w14:textId="4742D900" w:rsidR="00BC66D8" w:rsidRPr="005E6078" w:rsidRDefault="005E6078" w:rsidP="008F0478">
                            <w:pPr>
                              <w:pStyle w:val="EYBodytextwithoutparaspace"/>
                              <w:spacing w:after="120"/>
                              <w:rPr>
                                <w:sz w:val="16"/>
                                <w:szCs w:val="16"/>
                              </w:rPr>
                            </w:pPr>
                            <w:r w:rsidRPr="005E6078">
                              <w:rPr>
                                <w:sz w:val="16"/>
                                <w:szCs w:val="16"/>
                              </w:rPr>
                              <w:t>Source: Hicks, D. Zullo, M. Doshi, A. &amp; Asensio, O. 2022, Widespread use of National Academies consensus reports by the American public, Proceedings of the National Academies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ect w14:anchorId="6792540A" id="Rectangle 30" o:spid="_x0000_s1031" style="width:450.1pt;height:3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" fillcolor="#d2d2da" stroked="f" strokeweight="2pt">
                <v:textbox style="mso-fit-shape-to-text:t">
                  <w:txbxContent>
                    <w:p w14:paraId="12F2CC1E" w14:textId="77777777" w:rsidR="005E6078" w:rsidRPr="005E6078" w:rsidRDefault="005E6078" w:rsidP="005E6078">
                      <w:pPr>
                        <w:pStyle w:val="EYBodytextwithparaspace"/>
                        <w:rPr>
                          <w:b/>
                          <w:bCs/>
                          <w:color w:val="auto"/>
                        </w:rPr>
                      </w:pPr>
                      <w:r w:rsidRPr="005E6078">
                        <w:rPr>
                          <w:b/>
                          <w:bCs/>
                          <w:color w:val="auto"/>
                        </w:rPr>
                        <w:t>NASEM finds widespread use of open access in the public domain</w:t>
                      </w:r>
                    </w:p>
                    <w:p w14:paraId="078D6635" w14:textId="589014EA" w:rsidR="005E6078" w:rsidRPr="005E6078" w:rsidRDefault="005E6078" w:rsidP="005E6078">
                      <w:pPr>
                        <w:pStyle w:val="EYBodytextwithoutparaspace"/>
                        <w:spacing w:after="120"/>
                      </w:pPr>
                      <w:r w:rsidRPr="005E6078">
                        <w:t>A recent study highlights the potential for access to high-quality science to provide long</w:t>
                      </w:r>
                      <w:r w:rsidR="00FB0B0A">
                        <w:t xml:space="preserve"> </w:t>
                      </w:r>
                      <w:r w:rsidRPr="005E6078">
                        <w:t>lasting dividends to society, broadly and at the local level. Analysis of the American National Academies of Science, Engineering, and Medicine (NASEM) consensus reports indicates their impact extends far beyond the research community.</w:t>
                      </w:r>
                    </w:p>
                    <w:p w14:paraId="5696A16C" w14:textId="77777777" w:rsidR="005E6078" w:rsidRPr="005E6078" w:rsidRDefault="005E6078" w:rsidP="005E6078">
                      <w:pPr>
                        <w:pStyle w:val="EYBodytextwithoutparaspace"/>
                        <w:spacing w:after="120"/>
                      </w:pPr>
                      <w:r w:rsidRPr="005E6078">
                        <w:t>NASEM’s consensus study reports have served as headland scientific evidence for policymakers. The most downloaded reports are built on social science expertise in education and policy, in addition to medical knowledge. All consensus reports were made open access in 2011.</w:t>
                      </w:r>
                    </w:p>
                    <w:p w14:paraId="6BBB7F7A" w14:textId="77777777" w:rsidR="005E6078" w:rsidRPr="005E6078" w:rsidRDefault="005E6078" w:rsidP="005E6078">
                      <w:pPr>
                        <w:pStyle w:val="EYBodytextwithoutparaspace"/>
                        <w:spacing w:after="120"/>
                      </w:pPr>
                      <w:r w:rsidRPr="005E6078">
                        <w:t>This study provided empirical evidence for the wider impact of open access research, and that people outside of academic institutions are benefitting from access to academic research. The study used machine learning to analyse over 1.6 million comments on research use of NASEM studies.</w:t>
                      </w:r>
                    </w:p>
                    <w:p w14:paraId="131663F5" w14:textId="77777777" w:rsidR="005E6078" w:rsidRPr="005E6078" w:rsidRDefault="005E6078" w:rsidP="000125A6">
                      <w:pPr>
                        <w:pStyle w:val="EYBulletnoparaspace"/>
                      </w:pPr>
                      <w:r w:rsidRPr="005E6078">
                        <w:t>Half of all report downloads are used for non-academic purposes, including to improve the provision of services by medical professionals, local and regional planners, public health workers, and veterans’ advocates.</w:t>
                      </w:r>
                    </w:p>
                    <w:p w14:paraId="5D057290" w14:textId="77777777" w:rsidR="005E6078" w:rsidRPr="005E6078" w:rsidRDefault="005E6078" w:rsidP="000125A6">
                      <w:pPr>
                        <w:pStyle w:val="EYBulletnoparaspace"/>
                      </w:pPr>
                      <w:r w:rsidRPr="005E6078">
                        <w:t>Heavy use is made of Academies reports on STEM education and how people learn by teachers, school administrators and teachers’ coaches.</w:t>
                      </w:r>
                    </w:p>
                    <w:p w14:paraId="3508DFDF" w14:textId="4B056EB9" w:rsidR="005E6078" w:rsidRPr="005E6078" w:rsidRDefault="005E6078" w:rsidP="000125A6">
                      <w:pPr>
                        <w:pStyle w:val="EYBulletnoparaspace"/>
                      </w:pPr>
                      <w:r w:rsidRPr="005E6078">
                        <w:t>The analysis also detect</w:t>
                      </w:r>
                      <w:r w:rsidR="009E3F71">
                        <w:t>s</w:t>
                      </w:r>
                      <w:r w:rsidRPr="005E6078">
                        <w:t xml:space="preserve"> signals of ‘serious leisure’, a sociological concept used to describe unpaid activities by individuals who engage in a systematic, self-directed pursuit of knowledge.</w:t>
                      </w:r>
                    </w:p>
                    <w:p w14:paraId="30813485" w14:textId="77777777" w:rsidR="005E6078" w:rsidRPr="005E6078" w:rsidRDefault="005E6078" w:rsidP="005E6078">
                      <w:pPr>
                        <w:pStyle w:val="EYBodytextwithoutparaspace"/>
                        <w:spacing w:after="120"/>
                      </w:pPr>
                      <w:r w:rsidRPr="005E6078">
                        <w:t>The research indicates an identifiable payoff to society for taxpayer investments into people, technology and design to support open access publishing.</w:t>
                      </w:r>
                    </w:p>
                    <w:p w14:paraId="47DB3798" w14:textId="4742D900" w:rsidR="00BC66D8" w:rsidRPr="005E6078" w:rsidRDefault="005E6078" w:rsidP="008F0478">
                      <w:pPr>
                        <w:pStyle w:val="EYBodytextwithoutparaspace"/>
                        <w:spacing w:after="120"/>
                        <w:rPr>
                          <w:sz w:val="16"/>
                          <w:szCs w:val="16"/>
                        </w:rPr>
                      </w:pPr>
                      <w:r w:rsidRPr="005E6078">
                        <w:rPr>
                          <w:sz w:val="16"/>
                          <w:szCs w:val="16"/>
                        </w:rPr>
                        <w:t>Source: Hicks, D. Zullo, M. Doshi, A. &amp; Asensio, O. 2022, Widespread use of National Academies consensus reports by the American public, Proceedings of the National Academies</w:t>
                      </w:r>
                    </w:p>
                  </w:txbxContent>
                </v:textbox>
                <w10:anchorlock/>
              </v:rect>
            </w:pict>
          </mc:Fallback>
        </mc:AlternateContent>
      </w:r>
    </w:p>
    <w:p w14:paraId="1B9CB907" w14:textId="77777777" w:rsidR="00CC7F42" w:rsidRPr="00CC7F42" w:rsidRDefault="00CC7F42" w:rsidP="00CC7F42"/>
    <w:p w14:paraId="40668A61" w14:textId="6D09ABAD" w:rsidR="00BC18B3" w:rsidRPr="00CC7F42" w:rsidRDefault="00BC18B3" w:rsidP="003F773E">
      <w:pPr>
        <w:spacing w:after="280"/>
        <w:rPr>
          <w:rFonts w:ascii="EYInterstate" w:hAnsi="EYInterstate"/>
          <w:color w:val="000000" w:themeColor="background2"/>
          <w:sz w:val="24"/>
          <w:szCs w:val="24"/>
        </w:rPr>
      </w:pPr>
      <w:r w:rsidRPr="00CC7F42">
        <w:rPr>
          <w:rFonts w:ascii="EYInterstate" w:hAnsi="EYInterstate"/>
          <w:color w:val="000000" w:themeColor="background2"/>
          <w:sz w:val="24"/>
          <w:szCs w:val="24"/>
        </w:rPr>
        <w:t>Supports a more informed public debate and social cohesion</w:t>
      </w:r>
    </w:p>
    <w:p w14:paraId="38D789B9" w14:textId="3E04487C" w:rsidR="00BC18B3" w:rsidRPr="00BC18B3" w:rsidRDefault="00BC18B3" w:rsidP="00FB0B0A">
      <w:pPr>
        <w:pStyle w:val="EYBodytextwithoutparaspace"/>
        <w:rPr>
          <w:i/>
          <w:iCs/>
        </w:rPr>
      </w:pPr>
      <w:r w:rsidRPr="00BC18B3">
        <w:t xml:space="preserve">Open access increases the opportunity for more informed public debate by enabling access to academic literature and primary sources of information. Increasing access to peer reviewed </w:t>
      </w:r>
      <w:r w:rsidR="00AB2037">
        <w:t>research</w:t>
      </w:r>
      <w:r w:rsidRPr="00BC18B3">
        <w:t xml:space="preserve"> </w:t>
      </w:r>
      <w:r w:rsidR="001D69C4">
        <w:t xml:space="preserve">supports </w:t>
      </w:r>
      <w:r w:rsidR="003057A9">
        <w:t xml:space="preserve">citizens to engage in </w:t>
      </w:r>
      <w:r w:rsidRPr="00BC18B3">
        <w:t xml:space="preserve">published literature </w:t>
      </w:r>
      <w:r w:rsidR="002663CD">
        <w:t>and</w:t>
      </w:r>
      <w:r w:rsidRPr="00BC18B3">
        <w:t xml:space="preserve"> public debate from a more informed position, and filter information which may not be accurate. Better informed public debate supports a more democratic society and better decision</w:t>
      </w:r>
      <w:r w:rsidR="00EB1AB3">
        <w:t xml:space="preserve"> making in</w:t>
      </w:r>
      <w:r w:rsidRPr="00BC18B3">
        <w:t xml:space="preserve"> public policy.</w:t>
      </w:r>
    </w:p>
    <w:p w14:paraId="774572CC" w14:textId="09B853BE" w:rsidR="00BC18B3" w:rsidRPr="001C449A" w:rsidRDefault="00BC18B3" w:rsidP="00FB0B0A">
      <w:pPr>
        <w:pStyle w:val="EYBodytextwithoutparaspace"/>
        <w:rPr>
          <w:i/>
        </w:rPr>
      </w:pPr>
      <w:r w:rsidRPr="00BC18B3">
        <w:t xml:space="preserve">Open access supports greater social cohesion across Australia, with </w:t>
      </w:r>
      <w:r w:rsidR="00644F15">
        <w:t>knowledge networks</w:t>
      </w:r>
      <w:r w:rsidRPr="00BC18B3">
        <w:t xml:space="preserve"> </w:t>
      </w:r>
      <w:r w:rsidR="00644F15">
        <w:t>and information asymmetry influencing</w:t>
      </w:r>
      <w:r w:rsidRPr="00BC18B3">
        <w:t xml:space="preserve"> how individuals interact with </w:t>
      </w:r>
      <w:r w:rsidR="00167621">
        <w:t xml:space="preserve">each </w:t>
      </w:r>
      <w:r w:rsidRPr="00BC18B3">
        <w:t>other. Greater social cohesion leads to a more cooperat</w:t>
      </w:r>
      <w:r w:rsidR="00716603">
        <w:t>iv</w:t>
      </w:r>
      <w:r w:rsidRPr="00BC18B3">
        <w:t xml:space="preserve">e society, </w:t>
      </w:r>
      <w:r w:rsidR="003E370D">
        <w:t xml:space="preserve">and </w:t>
      </w:r>
      <w:r w:rsidRPr="00BC18B3">
        <w:t>better health</w:t>
      </w:r>
      <w:r w:rsidR="00641FBA">
        <w:t>,</w:t>
      </w:r>
      <w:r w:rsidRPr="00BC18B3">
        <w:t xml:space="preserve"> and economic outcomes across the nation.</w:t>
      </w:r>
      <w:r w:rsidRPr="00BC18B3">
        <w:rPr>
          <w:vertAlign w:val="superscript"/>
        </w:rPr>
        <w:footnoteReference w:id="31"/>
      </w:r>
    </w:p>
    <w:p w14:paraId="21423ACF" w14:textId="31248E9A" w:rsidR="00BC18B3" w:rsidRPr="00F46EFC" w:rsidRDefault="00BC18B3" w:rsidP="00FB0B0A">
      <w:pPr>
        <w:pStyle w:val="EYBodytextwithoutparaspace"/>
      </w:pPr>
      <w:r w:rsidRPr="00BC18B3">
        <w:t xml:space="preserve">Misinformation is </w:t>
      </w:r>
      <w:r w:rsidR="00B25471">
        <w:t>a serious</w:t>
      </w:r>
      <w:r w:rsidRPr="00BC18B3">
        <w:t xml:space="preserve"> issue facing countries across the globe. Open access </w:t>
      </w:r>
      <w:r w:rsidR="00B25471">
        <w:t>combats</w:t>
      </w:r>
      <w:r w:rsidRPr="00BC18B3">
        <w:t xml:space="preserve"> misinformation by enabling individuals to access primary sources of information and </w:t>
      </w:r>
      <w:r w:rsidR="002E4BF6">
        <w:t>facilitates</w:t>
      </w:r>
      <w:r w:rsidRPr="00BC18B3">
        <w:t xml:space="preserve"> understanding of key issues.</w:t>
      </w:r>
    </w:p>
    <w:p w14:paraId="457E1634" w14:textId="263F09D0" w:rsidR="00007D0A" w:rsidRPr="00F46EFC" w:rsidRDefault="00007D0A" w:rsidP="003F773E">
      <w:pPr>
        <w:spacing w:after="280"/>
        <w:rPr>
          <w:color w:val="000000" w:themeColor="background2"/>
        </w:rPr>
      </w:pPr>
    </w:p>
    <w:p w14:paraId="772204D6" w14:textId="0E76C87E" w:rsidR="0038540C" w:rsidRDefault="00424E37" w:rsidP="009C71D9">
      <w:pPr>
        <w:pStyle w:val="EYHeading1"/>
      </w:pPr>
      <w:bookmarkStart w:id="39" w:name="_Toc115717086"/>
      <w:bookmarkStart w:id="40" w:name="_Toc212886786"/>
      <w:bookmarkEnd w:id="29"/>
      <w:r>
        <w:lastRenderedPageBreak/>
        <w:t xml:space="preserve">A </w:t>
      </w:r>
      <w:r w:rsidR="00956BCE">
        <w:t xml:space="preserve">preferred </w:t>
      </w:r>
      <w:r w:rsidR="007704B6">
        <w:t>model for an</w:t>
      </w:r>
      <w:r>
        <w:t xml:space="preserve"> Australian</w:t>
      </w:r>
      <w:r w:rsidR="007704B6">
        <w:t xml:space="preserve"> </w:t>
      </w:r>
      <w:r w:rsidR="003E2134">
        <w:t>o</w:t>
      </w:r>
      <w:r w:rsidR="007704B6">
        <w:t xml:space="preserve">pen </w:t>
      </w:r>
      <w:r w:rsidR="003E2134">
        <w:t>a</w:t>
      </w:r>
      <w:r w:rsidR="007704B6">
        <w:t xml:space="preserve">ccess </w:t>
      </w:r>
      <w:r w:rsidR="003E2134">
        <w:t>s</w:t>
      </w:r>
      <w:r w:rsidR="007704B6">
        <w:t>cheme</w:t>
      </w:r>
      <w:bookmarkEnd w:id="39"/>
    </w:p>
    <w:p w14:paraId="1EC038BB" w14:textId="67C7ACF3" w:rsidR="00DF752C" w:rsidRDefault="00571D86" w:rsidP="00C343CF">
      <w:pPr>
        <w:pStyle w:val="EYLeader"/>
        <w:spacing w:line="240" w:lineRule="auto"/>
      </w:pPr>
      <w:r>
        <w:t>Based on</w:t>
      </w:r>
      <w:r w:rsidR="00326336">
        <w:t xml:space="preserve"> multi</w:t>
      </w:r>
      <w:r w:rsidR="008A78F3">
        <w:t>-</w:t>
      </w:r>
      <w:r w:rsidR="00326336">
        <w:t xml:space="preserve">criteria assessment, </w:t>
      </w:r>
      <w:r>
        <w:t>a</w:t>
      </w:r>
      <w:r w:rsidR="001A6E1A">
        <w:t xml:space="preserve"> </w:t>
      </w:r>
      <w:r w:rsidR="001C37DC">
        <w:t xml:space="preserve">central implementation body </w:t>
      </w:r>
      <w:r w:rsidR="00AE0D9B">
        <w:t xml:space="preserve">that </w:t>
      </w:r>
      <w:r w:rsidR="001C37DC">
        <w:t>negotiat</w:t>
      </w:r>
      <w:r w:rsidR="00D13BF6">
        <w:t xml:space="preserve">es and manages </w:t>
      </w:r>
      <w:r w:rsidR="00625CC8">
        <w:t xml:space="preserve">transformative </w:t>
      </w:r>
      <w:r w:rsidR="001C37DC">
        <w:t>agreements with publishers</w:t>
      </w:r>
      <w:r>
        <w:t xml:space="preserve"> </w:t>
      </w:r>
      <w:r w:rsidR="00495914">
        <w:t xml:space="preserve">best </w:t>
      </w:r>
      <w:r w:rsidR="001C37DC">
        <w:t>meets the objectives of Australia’s open access strategy.</w:t>
      </w:r>
    </w:p>
    <w:p w14:paraId="231257F7" w14:textId="186C8B99" w:rsidR="00794E60" w:rsidRDefault="00FC4C4C" w:rsidP="00353B3B">
      <w:pPr>
        <w:pStyle w:val="EYBodytextwithoutparaspace"/>
      </w:pPr>
      <w:r>
        <w:t>A</w:t>
      </w:r>
      <w:r w:rsidR="00B74ADB">
        <w:t xml:space="preserve"> multi</w:t>
      </w:r>
      <w:r w:rsidR="008A78F3">
        <w:t>-</w:t>
      </w:r>
      <w:r w:rsidR="00B74ADB">
        <w:t xml:space="preserve">criteria assessment </w:t>
      </w:r>
      <w:r>
        <w:t>examined</w:t>
      </w:r>
      <w:r w:rsidR="00B74ADB">
        <w:t xml:space="preserve"> three different ‘best of breed’ open access models. From this assessment, </w:t>
      </w:r>
      <w:r w:rsidR="00794E60">
        <w:t>a government</w:t>
      </w:r>
      <w:r>
        <w:t>-</w:t>
      </w:r>
      <w:r w:rsidR="00794E60">
        <w:t xml:space="preserve">supported central implementation body negotiating new </w:t>
      </w:r>
      <w:r w:rsidR="002A6CDA">
        <w:t xml:space="preserve">national </w:t>
      </w:r>
      <w:r w:rsidR="00794E60">
        <w:t xml:space="preserve">agreements with publishers is </w:t>
      </w:r>
      <w:r w:rsidR="00A177F4">
        <w:t>likely to be the best model for Australia.</w:t>
      </w:r>
    </w:p>
    <w:p w14:paraId="07009662" w14:textId="593A2750" w:rsidR="00794E60" w:rsidRDefault="00794E60" w:rsidP="00353B3B">
      <w:pPr>
        <w:pStyle w:val="EYBodytextwithoutparaspace"/>
      </w:pPr>
      <w:r>
        <w:t xml:space="preserve">This chapter </w:t>
      </w:r>
      <w:r w:rsidR="002343DD">
        <w:t xml:space="preserve">details </w:t>
      </w:r>
      <w:r w:rsidR="0080271B">
        <w:t>t</w:t>
      </w:r>
      <w:r w:rsidR="00DA177F">
        <w:t>he role of the central implementation body</w:t>
      </w:r>
      <w:r w:rsidR="002343DD">
        <w:t xml:space="preserve">, including types of agreements, </w:t>
      </w:r>
      <w:r w:rsidR="005350A1">
        <w:t>issues around copyright of articles, and Australia’s level of access.</w:t>
      </w:r>
    </w:p>
    <w:p w14:paraId="3E748BD2" w14:textId="6DEE141B" w:rsidR="00EB7DB3" w:rsidRPr="00EE69D7" w:rsidRDefault="00EB7DB3" w:rsidP="00C343CF">
      <w:pPr>
        <w:pStyle w:val="EYHeading2"/>
      </w:pPr>
      <w:bookmarkStart w:id="41" w:name="_Toc105137294"/>
      <w:bookmarkStart w:id="42" w:name="_Toc115717087"/>
      <w:r w:rsidRPr="00EE69D7">
        <w:t xml:space="preserve">Central </w:t>
      </w:r>
      <w:r w:rsidR="00E6204F">
        <w:t>i</w:t>
      </w:r>
      <w:r w:rsidRPr="00EE69D7">
        <w:t>mple</w:t>
      </w:r>
      <w:r w:rsidR="00F82790">
        <w:t>mentation</w:t>
      </w:r>
      <w:r w:rsidRPr="00EE69D7">
        <w:t xml:space="preserve"> </w:t>
      </w:r>
      <w:r w:rsidR="00E6204F">
        <w:t>b</w:t>
      </w:r>
      <w:r w:rsidRPr="00EE69D7">
        <w:t>ody</w:t>
      </w:r>
      <w:bookmarkEnd w:id="41"/>
      <w:bookmarkEnd w:id="42"/>
    </w:p>
    <w:p w14:paraId="361B0441" w14:textId="5D259A36" w:rsidR="000C0F99" w:rsidRDefault="001F572A" w:rsidP="00353B3B">
      <w:pPr>
        <w:pStyle w:val="EYBodytextwithoutparaspace"/>
      </w:pPr>
      <w:r>
        <w:t>Under this model</w:t>
      </w:r>
      <w:r w:rsidR="00C75B76">
        <w:t xml:space="preserve"> of open access</w:t>
      </w:r>
      <w:r>
        <w:t>, a government supported central</w:t>
      </w:r>
      <w:r w:rsidR="0000778D">
        <w:t xml:space="preserve"> implementation body </w:t>
      </w:r>
      <w:r w:rsidR="00251CFE">
        <w:t xml:space="preserve">would </w:t>
      </w:r>
      <w:r w:rsidR="0000778D">
        <w:t xml:space="preserve">negotiate new national read-and-publish agreements on behalf of all Australian stakeholders. </w:t>
      </w:r>
      <w:r w:rsidR="00A9201E">
        <w:t>Broadly, the agreements would cover read</w:t>
      </w:r>
      <w:r w:rsidR="00BA1450">
        <w:t xml:space="preserve"> access</w:t>
      </w:r>
      <w:r w:rsidR="00A9201E">
        <w:t xml:space="preserve"> for </w:t>
      </w:r>
      <w:r w:rsidR="00490347">
        <w:t>individuals and organisations residing in Australia</w:t>
      </w:r>
      <w:r w:rsidR="00210F12">
        <w:t>, and</w:t>
      </w:r>
      <w:r w:rsidR="00D30238">
        <w:t xml:space="preserve"> the costs associated with publishing </w:t>
      </w:r>
      <w:r w:rsidR="008D7AB6">
        <w:t>Australian-led journal article</w:t>
      </w:r>
      <w:r w:rsidR="00D30238">
        <w:t>s</w:t>
      </w:r>
      <w:r w:rsidR="008D7AB6">
        <w:t xml:space="preserve"> </w:t>
      </w:r>
      <w:r w:rsidR="003F14CA">
        <w:t>as open access</w:t>
      </w:r>
      <w:r w:rsidR="008D7AB6">
        <w:t>.</w:t>
      </w:r>
    </w:p>
    <w:p w14:paraId="12041D5E" w14:textId="2CB3474B" w:rsidR="00A22509" w:rsidRDefault="00C75B76" w:rsidP="00A577AC">
      <w:pPr>
        <w:pStyle w:val="EYBodytextwithparaspace"/>
      </w:pPr>
      <w:r>
        <w:t xml:space="preserve">The functions of the central implementation body model of open access are outlined in </w:t>
      </w:r>
      <w:r w:rsidR="0029059A">
        <w:fldChar w:fldCharType="begin"/>
      </w:r>
      <w:r w:rsidR="0029059A">
        <w:instrText xml:space="preserve"> REF _Ref115693764 \h </w:instrText>
      </w:r>
      <w:r w:rsidR="0029059A">
        <w:fldChar w:fldCharType="separate"/>
      </w:r>
      <w:r w:rsidR="008112E6">
        <w:t xml:space="preserve">Figure </w:t>
      </w:r>
      <w:r w:rsidR="008112E6">
        <w:rPr>
          <w:noProof/>
        </w:rPr>
        <w:t>17</w:t>
      </w:r>
      <w:r w:rsidR="0029059A">
        <w:fldChar w:fldCharType="end"/>
      </w:r>
      <w:r w:rsidR="000C0F99">
        <w:t>.</w:t>
      </w:r>
    </w:p>
    <w:p w14:paraId="7EB85500" w14:textId="2F0E1270" w:rsidR="0029059A" w:rsidRDefault="0029059A" w:rsidP="0029059A">
      <w:pPr>
        <w:pStyle w:val="Caption"/>
        <w:keepNext/>
      </w:pPr>
      <w:bookmarkStart w:id="43" w:name="_Ref115693764"/>
      <w:r>
        <w:t xml:space="preserve">Figure </w:t>
      </w:r>
      <w:r>
        <w:fldChar w:fldCharType="begin"/>
      </w:r>
      <w:r>
        <w:instrText xml:space="preserve"> SEQ Figure \* ARABIC </w:instrText>
      </w:r>
      <w:r>
        <w:fldChar w:fldCharType="separate"/>
      </w:r>
      <w:r w:rsidR="008112E6">
        <w:rPr>
          <w:noProof/>
        </w:rPr>
        <w:t>17</w:t>
      </w:r>
      <w:r>
        <w:fldChar w:fldCharType="end"/>
      </w:r>
      <w:bookmarkEnd w:id="43"/>
      <w:r>
        <w:t xml:space="preserve">: </w:t>
      </w:r>
      <w:r w:rsidRPr="00E90B35">
        <w:t>Proposed Australian model</w:t>
      </w:r>
    </w:p>
    <w:p w14:paraId="083846D0" w14:textId="77777777" w:rsidR="0029059A" w:rsidRDefault="00426BDB" w:rsidP="003A5F4F">
      <w:pPr>
        <w:pStyle w:val="EYBodytextwithparaspace"/>
        <w:keepNext/>
        <w:spacing w:before="240"/>
      </w:pPr>
      <w:r>
        <w:rPr>
          <w:noProof/>
          <w:lang w:eastAsia="en-AU"/>
        </w:rPr>
        <w:drawing>
          <wp:inline distT="0" distB="0" distL="0" distR="0" wp14:anchorId="76B6CE9A" wp14:editId="23EB73FB">
            <wp:extent cx="4838700" cy="3907294"/>
            <wp:effectExtent l="0" t="0" r="0" b="0"/>
            <wp:docPr id="26" name="Picture 26" descr="Infographic detailing the relationship between the Australian research community, publishers and a central implementation body for a public access model. The infographic shows a workflow where the Australian research community submits work to publishers and the implementation body provides funding. Publishers make all Australian peer reviewed journal articles open access to the world, and provide access to their full catalogues to people residing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fographic detailing the relationship between the Australian research community, publishers and a central implementation body for a public access model. The infographic shows a workflow where the Australian research community submits work to publishers and the implementation body provides funding. Publishers make all Australian peer reviewed journal articles open access to the world, and provide access to their full catalogues to people residing in Australia."/>
                    <pic:cNvPicPr/>
                  </pic:nvPicPr>
                  <pic:blipFill>
                    <a:blip r:embed="rId21"/>
                    <a:stretch>
                      <a:fillRect/>
                    </a:stretch>
                  </pic:blipFill>
                  <pic:spPr>
                    <a:xfrm>
                      <a:off x="0" y="0"/>
                      <a:ext cx="4884180" cy="3944019"/>
                    </a:xfrm>
                    <a:prstGeom prst="rect">
                      <a:avLst/>
                    </a:prstGeom>
                  </pic:spPr>
                </pic:pic>
              </a:graphicData>
            </a:graphic>
          </wp:inline>
        </w:drawing>
      </w:r>
    </w:p>
    <w:p w14:paraId="66ECDBA8" w14:textId="53B8BFD1" w:rsidR="003F448F" w:rsidRDefault="003A5F4F" w:rsidP="0014712D">
      <w:pPr>
        <w:pStyle w:val="EYBodytextwithoutparaspace"/>
      </w:pPr>
      <w:r>
        <w:fldChar w:fldCharType="begin"/>
      </w:r>
      <w:r>
        <w:instrText xml:space="preserve"> REF _Ref115693842 \h </w:instrText>
      </w:r>
      <w:r>
        <w:fldChar w:fldCharType="separate"/>
      </w:r>
      <w:r w:rsidR="008112E6">
        <w:t xml:space="preserve">Table </w:t>
      </w:r>
      <w:r w:rsidR="008112E6">
        <w:rPr>
          <w:noProof/>
        </w:rPr>
        <w:t>6</w:t>
      </w:r>
      <w:r>
        <w:fldChar w:fldCharType="end"/>
      </w:r>
      <w:r w:rsidR="00C75B76">
        <w:t xml:space="preserve"> summarises the benefits which could be delivered through the central implementation body model</w:t>
      </w:r>
      <w:r w:rsidR="003F448F">
        <w:t>.</w:t>
      </w:r>
    </w:p>
    <w:p w14:paraId="34BE6834" w14:textId="6E56E16C" w:rsidR="002E2518" w:rsidRDefault="002E2518" w:rsidP="002E2518">
      <w:pPr>
        <w:pStyle w:val="Caption"/>
        <w:keepNext/>
      </w:pPr>
      <w:bookmarkStart w:id="44" w:name="_Ref115693842"/>
      <w:r>
        <w:lastRenderedPageBreak/>
        <w:t xml:space="preserve">Table </w:t>
      </w:r>
      <w:r>
        <w:fldChar w:fldCharType="begin"/>
      </w:r>
      <w:r>
        <w:instrText xml:space="preserve"> SEQ Table \* ARABIC </w:instrText>
      </w:r>
      <w:r>
        <w:fldChar w:fldCharType="separate"/>
      </w:r>
      <w:r w:rsidR="008112E6">
        <w:rPr>
          <w:noProof/>
        </w:rPr>
        <w:t>6</w:t>
      </w:r>
      <w:r>
        <w:fldChar w:fldCharType="end"/>
      </w:r>
      <w:bookmarkEnd w:id="44"/>
      <w:r>
        <w:t xml:space="preserve">: </w:t>
      </w:r>
      <w:r w:rsidR="00C25E49">
        <w:t>Expected benefits for each stakeholder group</w:t>
      </w:r>
    </w:p>
    <w:tbl>
      <w:tblPr>
        <w:tblStyle w:val="TableGrid"/>
        <w:tblW w:w="9614" w:type="dxa"/>
        <w:tblBorders>
          <w:top w:val="none" w:sz="0" w:space="0" w:color="auto"/>
          <w:left w:val="none" w:sz="0" w:space="0" w:color="auto"/>
          <w:right w:val="none" w:sz="0" w:space="0" w:color="auto"/>
          <w:insideH w:val="single" w:sz="4" w:space="0" w:color="787890" w:themeColor="text1" w:themeTint="99"/>
          <w:insideV w:val="none" w:sz="0" w:space="0" w:color="auto"/>
        </w:tblBorders>
        <w:tblCellMar>
          <w:top w:w="113" w:type="dxa"/>
          <w:bottom w:w="113" w:type="dxa"/>
        </w:tblCellMar>
        <w:tblLook w:val="04A0" w:firstRow="1" w:lastRow="0" w:firstColumn="1" w:lastColumn="0" w:noHBand="0" w:noVBand="1"/>
      </w:tblPr>
      <w:tblGrid>
        <w:gridCol w:w="1843"/>
        <w:gridCol w:w="7771"/>
      </w:tblGrid>
      <w:tr w:rsidR="001C497A" w:rsidRPr="00C25E49" w14:paraId="27135951" w14:textId="77777777" w:rsidTr="00A276DA">
        <w:trPr>
          <w:trHeight w:val="475"/>
        </w:trPr>
        <w:tc>
          <w:tcPr>
            <w:tcW w:w="1843" w:type="dxa"/>
            <w:shd w:val="clear" w:color="auto" w:fill="787890" w:themeFill="text1" w:themeFillTint="99"/>
          </w:tcPr>
          <w:p w14:paraId="3A12E9AE" w14:textId="407F56E6" w:rsidR="001C497A" w:rsidRPr="00C25E49" w:rsidRDefault="001C497A" w:rsidP="00C343CF">
            <w:pPr>
              <w:rPr>
                <w:rFonts w:ascii="EYInterstate Light" w:hAnsi="EYInterstate Light"/>
                <w:b/>
                <w:color w:val="FFFFFF" w:themeColor="background1"/>
              </w:rPr>
            </w:pPr>
            <w:r w:rsidRPr="00C25E49">
              <w:rPr>
                <w:rFonts w:ascii="EYInterstate Light" w:hAnsi="EYInterstate Light"/>
                <w:b/>
                <w:color w:val="FFFFFF" w:themeColor="background1"/>
              </w:rPr>
              <w:t>Stakeholder Group</w:t>
            </w:r>
          </w:p>
        </w:tc>
        <w:tc>
          <w:tcPr>
            <w:tcW w:w="7771" w:type="dxa"/>
            <w:shd w:val="clear" w:color="auto" w:fill="787890" w:themeFill="text1" w:themeFillTint="99"/>
          </w:tcPr>
          <w:p w14:paraId="029B9E44" w14:textId="71B71D87" w:rsidR="001C497A" w:rsidRPr="00C25E49" w:rsidRDefault="001C497A" w:rsidP="00C343CF">
            <w:pPr>
              <w:rPr>
                <w:rFonts w:ascii="EYInterstate Light" w:hAnsi="EYInterstate Light"/>
                <w:b/>
                <w:color w:val="FFFFFF" w:themeColor="background1"/>
              </w:rPr>
            </w:pPr>
            <w:r w:rsidRPr="00C25E49">
              <w:rPr>
                <w:rFonts w:ascii="EYInterstate Light" w:hAnsi="EYInterstate Light"/>
                <w:b/>
                <w:color w:val="FFFFFF" w:themeColor="background1"/>
              </w:rPr>
              <w:t xml:space="preserve">Intended benefits </w:t>
            </w:r>
          </w:p>
        </w:tc>
      </w:tr>
      <w:tr w:rsidR="001C497A" w:rsidRPr="00B634BB" w14:paraId="6C228C4B" w14:textId="77777777" w:rsidTr="00A276DA">
        <w:trPr>
          <w:trHeight w:val="427"/>
        </w:trPr>
        <w:tc>
          <w:tcPr>
            <w:tcW w:w="1843" w:type="dxa"/>
          </w:tcPr>
          <w:p w14:paraId="2C563E43" w14:textId="78BDD892" w:rsidR="001C497A" w:rsidRPr="00D0327A" w:rsidRDefault="008353E7" w:rsidP="00C343CF">
            <w:pPr>
              <w:rPr>
                <w:rFonts w:ascii="EYInterstate Light" w:hAnsi="EYInterstate Light"/>
                <w:bCs/>
              </w:rPr>
            </w:pPr>
            <w:r w:rsidRPr="00D0327A">
              <w:rPr>
                <w:rFonts w:ascii="EYInterstate Light" w:hAnsi="EYInterstate Light"/>
                <w:bCs/>
              </w:rPr>
              <w:t xml:space="preserve">Universities and research </w:t>
            </w:r>
            <w:r w:rsidR="00D0327A" w:rsidRPr="00D0327A">
              <w:rPr>
                <w:rFonts w:ascii="EYInterstate Light" w:hAnsi="EYInterstate Light"/>
                <w:bCs/>
              </w:rPr>
              <w:t>institutions</w:t>
            </w:r>
          </w:p>
        </w:tc>
        <w:tc>
          <w:tcPr>
            <w:tcW w:w="7771" w:type="dxa"/>
          </w:tcPr>
          <w:p w14:paraId="715CF6FA" w14:textId="68AD1455" w:rsidR="006A5E9D" w:rsidRDefault="007345BC" w:rsidP="00C343CF">
            <w:pPr>
              <w:pStyle w:val="ListParagraph"/>
              <w:numPr>
                <w:ilvl w:val="0"/>
                <w:numId w:val="11"/>
              </w:numPr>
              <w:ind w:left="460" w:hanging="425"/>
              <w:rPr>
                <w:rFonts w:ascii="EYInterstate Light" w:hAnsi="EYInterstate Light"/>
              </w:rPr>
            </w:pPr>
            <w:r>
              <w:rPr>
                <w:rFonts w:ascii="EYInterstate Light" w:hAnsi="EYInterstate Light"/>
              </w:rPr>
              <w:t>I</w:t>
            </w:r>
            <w:r w:rsidR="006A5E9D">
              <w:rPr>
                <w:rFonts w:ascii="EYInterstate Light" w:hAnsi="EYInterstate Light"/>
              </w:rPr>
              <w:t>mprove access to a broader range of research</w:t>
            </w:r>
          </w:p>
          <w:p w14:paraId="039F65E9" w14:textId="6BECAAAF" w:rsidR="001C497A" w:rsidRDefault="008353E7" w:rsidP="00C343CF">
            <w:pPr>
              <w:pStyle w:val="ListParagraph"/>
              <w:numPr>
                <w:ilvl w:val="0"/>
                <w:numId w:val="11"/>
              </w:numPr>
              <w:ind w:left="460" w:hanging="425"/>
              <w:rPr>
                <w:rFonts w:ascii="EYInterstate Light" w:hAnsi="EYInterstate Light"/>
              </w:rPr>
            </w:pPr>
            <w:r>
              <w:rPr>
                <w:rFonts w:ascii="EYInterstate Light" w:hAnsi="EYInterstate Light"/>
              </w:rPr>
              <w:t>Simplification of academic publishing and access costs</w:t>
            </w:r>
          </w:p>
          <w:p w14:paraId="5D6AD303" w14:textId="662E0C5A" w:rsidR="00066F98" w:rsidRDefault="00066F98" w:rsidP="00C343CF">
            <w:pPr>
              <w:pStyle w:val="ListParagraph"/>
              <w:numPr>
                <w:ilvl w:val="0"/>
                <w:numId w:val="11"/>
              </w:numPr>
              <w:ind w:left="460" w:hanging="425"/>
              <w:rPr>
                <w:rFonts w:ascii="EYInterstate Light" w:hAnsi="EYInterstate Light"/>
              </w:rPr>
            </w:pPr>
            <w:r>
              <w:rPr>
                <w:rFonts w:ascii="EYInterstate Light" w:hAnsi="EYInterstate Light"/>
              </w:rPr>
              <w:t>A level playing-field for citation-based metrics</w:t>
            </w:r>
          </w:p>
          <w:p w14:paraId="66E125B0" w14:textId="7C802C18" w:rsidR="00115172" w:rsidRDefault="00115172" w:rsidP="00C343CF">
            <w:pPr>
              <w:pStyle w:val="ListParagraph"/>
              <w:numPr>
                <w:ilvl w:val="0"/>
                <w:numId w:val="11"/>
              </w:numPr>
              <w:ind w:left="460" w:hanging="425"/>
              <w:rPr>
                <w:rFonts w:ascii="EYInterstate Light" w:hAnsi="EYInterstate Light"/>
              </w:rPr>
            </w:pPr>
            <w:r>
              <w:rPr>
                <w:rFonts w:ascii="EYInterstate Light" w:hAnsi="EYInterstate Light"/>
              </w:rPr>
              <w:t>Easier compliance with funder policies</w:t>
            </w:r>
          </w:p>
          <w:p w14:paraId="632A62F0" w14:textId="52EF320D" w:rsidR="001C497A" w:rsidRPr="00066F98" w:rsidRDefault="00115172" w:rsidP="00C343CF">
            <w:pPr>
              <w:pStyle w:val="ListParagraph"/>
              <w:numPr>
                <w:ilvl w:val="0"/>
                <w:numId w:val="11"/>
              </w:numPr>
              <w:ind w:left="460" w:hanging="425"/>
              <w:rPr>
                <w:rFonts w:ascii="EYInterstate Light" w:hAnsi="EYInterstate Light"/>
              </w:rPr>
            </w:pPr>
            <w:r>
              <w:rPr>
                <w:rFonts w:ascii="EYInterstate Light" w:hAnsi="EYInterstate Light"/>
              </w:rPr>
              <w:t xml:space="preserve">Improved open access </w:t>
            </w:r>
            <w:r w:rsidR="007E4650">
              <w:rPr>
                <w:rFonts w:ascii="EYInterstate Light" w:hAnsi="EYInterstate Light"/>
              </w:rPr>
              <w:t>publication rates and elimination of individual APCs</w:t>
            </w:r>
          </w:p>
        </w:tc>
      </w:tr>
      <w:tr w:rsidR="001C497A" w:rsidRPr="00B634BB" w14:paraId="295FDC08" w14:textId="77777777" w:rsidTr="00A276DA">
        <w:trPr>
          <w:trHeight w:val="206"/>
        </w:trPr>
        <w:tc>
          <w:tcPr>
            <w:tcW w:w="1843" w:type="dxa"/>
          </w:tcPr>
          <w:p w14:paraId="046D03CC" w14:textId="362FF674" w:rsidR="001C497A" w:rsidRPr="00D0327A" w:rsidRDefault="00F93CA8" w:rsidP="00C343CF">
            <w:pPr>
              <w:rPr>
                <w:rFonts w:ascii="EYInterstate Light" w:hAnsi="EYInterstate Light"/>
                <w:bCs/>
              </w:rPr>
            </w:pPr>
            <w:r w:rsidRPr="00D0327A">
              <w:rPr>
                <w:rFonts w:ascii="EYInterstate Light" w:hAnsi="EYInterstate Light"/>
                <w:bCs/>
              </w:rPr>
              <w:t>Libraries</w:t>
            </w:r>
          </w:p>
        </w:tc>
        <w:tc>
          <w:tcPr>
            <w:tcW w:w="7771" w:type="dxa"/>
          </w:tcPr>
          <w:p w14:paraId="4A541D20" w14:textId="7B204F19" w:rsidR="001C497A" w:rsidRPr="00F93CA8" w:rsidRDefault="00362577" w:rsidP="00C343CF">
            <w:pPr>
              <w:pStyle w:val="ListParagraph"/>
              <w:numPr>
                <w:ilvl w:val="0"/>
                <w:numId w:val="11"/>
              </w:numPr>
              <w:ind w:left="460" w:hanging="425"/>
              <w:rPr>
                <w:rFonts w:ascii="EYInterstate Light" w:hAnsi="EYInterstate Light"/>
              </w:rPr>
            </w:pPr>
            <w:r>
              <w:rPr>
                <w:rFonts w:ascii="EYInterstate Light" w:hAnsi="EYInterstate Light"/>
              </w:rPr>
              <w:t xml:space="preserve">Reduced cost </w:t>
            </w:r>
            <w:r w:rsidR="00D0327A">
              <w:rPr>
                <w:rFonts w:ascii="EYInterstate Light" w:hAnsi="EYInterstate Light"/>
              </w:rPr>
              <w:t xml:space="preserve">and </w:t>
            </w:r>
            <w:r>
              <w:rPr>
                <w:rFonts w:ascii="EYInterstate Light" w:hAnsi="EYInterstate Light"/>
              </w:rPr>
              <w:t>workload associated with managing journal subscriptions</w:t>
            </w:r>
          </w:p>
          <w:p w14:paraId="199CA482" w14:textId="7C074E3A" w:rsidR="001C497A" w:rsidRPr="00774ADE" w:rsidRDefault="00F93CA8" w:rsidP="00C343CF">
            <w:pPr>
              <w:pStyle w:val="ListParagraph"/>
              <w:numPr>
                <w:ilvl w:val="0"/>
                <w:numId w:val="11"/>
              </w:numPr>
              <w:ind w:left="460" w:hanging="425"/>
              <w:rPr>
                <w:rFonts w:ascii="EYInterstate Light" w:hAnsi="EYInterstate Light"/>
              </w:rPr>
            </w:pPr>
            <w:r w:rsidRPr="00F93CA8">
              <w:rPr>
                <w:rFonts w:ascii="EYInterstate Light" w:hAnsi="EYInterstate Light"/>
              </w:rPr>
              <w:t>Potentially reduced cost and workload associated within managing institutional repositories</w:t>
            </w:r>
          </w:p>
        </w:tc>
      </w:tr>
      <w:tr w:rsidR="001C497A" w:rsidRPr="00B634BB" w14:paraId="1D490008" w14:textId="77777777" w:rsidTr="00A276DA">
        <w:trPr>
          <w:trHeight w:val="221"/>
        </w:trPr>
        <w:tc>
          <w:tcPr>
            <w:tcW w:w="1843" w:type="dxa"/>
          </w:tcPr>
          <w:p w14:paraId="5D88D959" w14:textId="2D3E6D53" w:rsidR="001C497A" w:rsidRPr="00297BB4" w:rsidRDefault="00F93CA8" w:rsidP="00C343CF">
            <w:pPr>
              <w:rPr>
                <w:rFonts w:ascii="EYInterstate Light" w:hAnsi="EYInterstate Light"/>
                <w:bCs/>
              </w:rPr>
            </w:pPr>
            <w:r w:rsidRPr="00F93CA8">
              <w:rPr>
                <w:rFonts w:ascii="EYInterstate Light" w:hAnsi="EYInterstate Light"/>
                <w:bCs/>
              </w:rPr>
              <w:t>Publishers</w:t>
            </w:r>
          </w:p>
        </w:tc>
        <w:tc>
          <w:tcPr>
            <w:tcW w:w="7771" w:type="dxa"/>
          </w:tcPr>
          <w:p w14:paraId="095E45E2" w14:textId="77777777" w:rsidR="001C497A" w:rsidRPr="003D732F" w:rsidRDefault="00F93CA8" w:rsidP="00C343CF">
            <w:pPr>
              <w:pStyle w:val="ListParagraph"/>
              <w:numPr>
                <w:ilvl w:val="0"/>
                <w:numId w:val="11"/>
              </w:numPr>
              <w:ind w:left="460" w:hanging="425"/>
              <w:rPr>
                <w:rFonts w:ascii="EYInterstate Light" w:hAnsi="EYInterstate Light"/>
              </w:rPr>
            </w:pPr>
            <w:r w:rsidRPr="00F93CA8">
              <w:rPr>
                <w:rFonts w:ascii="EYInterstate Light" w:hAnsi="EYInterstate Light"/>
              </w:rPr>
              <w:t>Streamlined, sustainable revenue streams</w:t>
            </w:r>
          </w:p>
          <w:p w14:paraId="1F5BBC06" w14:textId="4B9A2958" w:rsidR="001C497A" w:rsidRPr="00F93CA8" w:rsidRDefault="003D732F" w:rsidP="00C343CF">
            <w:pPr>
              <w:pStyle w:val="ListParagraph"/>
              <w:numPr>
                <w:ilvl w:val="0"/>
                <w:numId w:val="11"/>
              </w:numPr>
              <w:ind w:left="460" w:hanging="425"/>
              <w:rPr>
                <w:rFonts w:ascii="EYInterstate Light" w:hAnsi="EYInterstate Light"/>
              </w:rPr>
            </w:pPr>
            <w:r w:rsidRPr="003D732F">
              <w:rPr>
                <w:rFonts w:ascii="EYInterstate Light" w:hAnsi="EYInterstate Light"/>
              </w:rPr>
              <w:t>Reduced transaction and negotiation costs due to fewer contracts to negotiate</w:t>
            </w:r>
          </w:p>
        </w:tc>
      </w:tr>
      <w:tr w:rsidR="001C497A" w:rsidRPr="00B634BB" w14:paraId="0E6B3F42" w14:textId="77777777" w:rsidTr="00A276DA">
        <w:trPr>
          <w:trHeight w:val="157"/>
        </w:trPr>
        <w:tc>
          <w:tcPr>
            <w:tcW w:w="1843" w:type="dxa"/>
          </w:tcPr>
          <w:p w14:paraId="1493022F" w14:textId="1792D0D5" w:rsidR="001C497A" w:rsidRPr="00297BB4" w:rsidRDefault="003D732F" w:rsidP="00C343CF">
            <w:pPr>
              <w:rPr>
                <w:rFonts w:ascii="EYInterstate Light" w:hAnsi="EYInterstate Light"/>
                <w:bCs/>
              </w:rPr>
            </w:pPr>
            <w:r>
              <w:rPr>
                <w:rFonts w:ascii="EYInterstate Light" w:hAnsi="EYInterstate Light"/>
                <w:bCs/>
              </w:rPr>
              <w:t xml:space="preserve">Industry </w:t>
            </w:r>
          </w:p>
        </w:tc>
        <w:tc>
          <w:tcPr>
            <w:tcW w:w="7771" w:type="dxa"/>
          </w:tcPr>
          <w:p w14:paraId="7D79DDA0" w14:textId="26C0B5F3" w:rsidR="00DC5023" w:rsidRPr="00DC5023" w:rsidRDefault="003D732F" w:rsidP="00C343CF">
            <w:pPr>
              <w:pStyle w:val="ListParagraph"/>
              <w:numPr>
                <w:ilvl w:val="0"/>
                <w:numId w:val="11"/>
              </w:numPr>
              <w:ind w:left="460" w:hanging="425"/>
              <w:rPr>
                <w:rFonts w:ascii="EYInterstate Light" w:hAnsi="EYInterstate Light"/>
              </w:rPr>
            </w:pPr>
            <w:r w:rsidRPr="003D732F">
              <w:rPr>
                <w:rFonts w:ascii="EYInterstate Light" w:hAnsi="EYInterstate Light"/>
              </w:rPr>
              <w:t xml:space="preserve">Improve access to peer reviewed journal </w:t>
            </w:r>
            <w:r w:rsidR="00914C12">
              <w:rPr>
                <w:rFonts w:ascii="EYInterstate Light" w:hAnsi="EYInterstate Light"/>
              </w:rPr>
              <w:t>articles</w:t>
            </w:r>
          </w:p>
          <w:p w14:paraId="66C77F4B" w14:textId="2E56711C" w:rsidR="001C497A" w:rsidRPr="004331EE" w:rsidRDefault="003D732F" w:rsidP="00C343CF">
            <w:pPr>
              <w:pStyle w:val="ListParagraph"/>
              <w:numPr>
                <w:ilvl w:val="0"/>
                <w:numId w:val="11"/>
              </w:numPr>
              <w:ind w:left="460" w:hanging="425"/>
              <w:rPr>
                <w:rFonts w:ascii="EYInterstate Light" w:hAnsi="EYInterstate Light"/>
              </w:rPr>
            </w:pPr>
            <w:r w:rsidRPr="003D732F">
              <w:rPr>
                <w:rFonts w:ascii="EYInterstate Light" w:hAnsi="EYInterstate Light"/>
              </w:rPr>
              <w:t>Productivity lifts across the workforce</w:t>
            </w:r>
          </w:p>
        </w:tc>
      </w:tr>
      <w:tr w:rsidR="003D732F" w:rsidRPr="00B634BB" w14:paraId="547B8322" w14:textId="77777777" w:rsidTr="00A276DA">
        <w:trPr>
          <w:trHeight w:val="157"/>
        </w:trPr>
        <w:tc>
          <w:tcPr>
            <w:tcW w:w="1843" w:type="dxa"/>
          </w:tcPr>
          <w:p w14:paraId="68DBC277" w14:textId="53274BBE" w:rsidR="003D732F" w:rsidRPr="008E7F6E" w:rsidRDefault="003D732F" w:rsidP="00C343CF">
            <w:pPr>
              <w:rPr>
                <w:rFonts w:ascii="EYInterstate Light" w:hAnsi="EYInterstate Light"/>
              </w:rPr>
            </w:pPr>
            <w:r w:rsidRPr="008E7F6E">
              <w:rPr>
                <w:rFonts w:ascii="EYInterstate Light" w:hAnsi="EYInterstate Light"/>
              </w:rPr>
              <w:t xml:space="preserve">Government </w:t>
            </w:r>
          </w:p>
        </w:tc>
        <w:tc>
          <w:tcPr>
            <w:tcW w:w="7771" w:type="dxa"/>
          </w:tcPr>
          <w:p w14:paraId="2953FBD9" w14:textId="77777777" w:rsidR="003D732F" w:rsidRPr="008E7F6E" w:rsidRDefault="008E7F6E" w:rsidP="00C343CF">
            <w:pPr>
              <w:pStyle w:val="ListParagraph"/>
              <w:numPr>
                <w:ilvl w:val="0"/>
                <w:numId w:val="11"/>
              </w:numPr>
              <w:ind w:left="460" w:hanging="425"/>
              <w:rPr>
                <w:rFonts w:ascii="EYInterstate Light" w:hAnsi="EYInterstate Light"/>
              </w:rPr>
            </w:pPr>
            <w:r w:rsidRPr="008E7F6E">
              <w:rPr>
                <w:rFonts w:ascii="EYInterstate Light" w:hAnsi="EYInterstate Light"/>
              </w:rPr>
              <w:t>Maximises impact of publicly funded research</w:t>
            </w:r>
          </w:p>
          <w:p w14:paraId="07B4DE3D" w14:textId="77777777" w:rsidR="003D732F" w:rsidRDefault="008E7F6E" w:rsidP="00C343CF">
            <w:pPr>
              <w:pStyle w:val="ListParagraph"/>
              <w:numPr>
                <w:ilvl w:val="0"/>
                <w:numId w:val="11"/>
              </w:numPr>
              <w:ind w:left="460" w:hanging="425"/>
              <w:rPr>
                <w:rFonts w:ascii="EYInterstate Light" w:hAnsi="EYInterstate Light"/>
              </w:rPr>
            </w:pPr>
            <w:r w:rsidRPr="008E7F6E">
              <w:rPr>
                <w:rFonts w:ascii="EYInterstate Light" w:hAnsi="EYInterstate Light"/>
              </w:rPr>
              <w:t>Better informed public debate, and social cohesion</w:t>
            </w:r>
          </w:p>
          <w:p w14:paraId="51C02C97" w14:textId="76DC6BE3" w:rsidR="003D732F" w:rsidRPr="008E7F6E" w:rsidRDefault="00BE38B3" w:rsidP="00C343CF">
            <w:pPr>
              <w:pStyle w:val="ListParagraph"/>
              <w:numPr>
                <w:ilvl w:val="0"/>
                <w:numId w:val="11"/>
              </w:numPr>
              <w:ind w:left="460" w:hanging="425"/>
              <w:rPr>
                <w:rFonts w:ascii="EYInterstate Light" w:hAnsi="EYInterstate Light"/>
              </w:rPr>
            </w:pPr>
            <w:r>
              <w:rPr>
                <w:rFonts w:ascii="EYInterstate Light" w:hAnsi="EYInterstate Light"/>
              </w:rPr>
              <w:t>Access to research literature to inform policy making</w:t>
            </w:r>
          </w:p>
        </w:tc>
      </w:tr>
      <w:tr w:rsidR="00221A40" w:rsidRPr="00B634BB" w14:paraId="1F60EB36" w14:textId="77777777" w:rsidTr="00A276DA">
        <w:trPr>
          <w:trHeight w:val="157"/>
        </w:trPr>
        <w:tc>
          <w:tcPr>
            <w:tcW w:w="1843" w:type="dxa"/>
          </w:tcPr>
          <w:p w14:paraId="306FCBEB" w14:textId="76266D1E" w:rsidR="00221A40" w:rsidRPr="008E7F6E" w:rsidRDefault="00221A40" w:rsidP="00C343CF">
            <w:r w:rsidRPr="00CB6C2B">
              <w:rPr>
                <w:rFonts w:ascii="EYInterstate Light" w:hAnsi="EYInterstate Light"/>
              </w:rPr>
              <w:t>Australian community</w:t>
            </w:r>
          </w:p>
        </w:tc>
        <w:tc>
          <w:tcPr>
            <w:tcW w:w="7771" w:type="dxa"/>
          </w:tcPr>
          <w:p w14:paraId="175EB8D7" w14:textId="77777777" w:rsidR="00221A40" w:rsidRPr="00CB6C2B" w:rsidRDefault="00EB0D49" w:rsidP="00C343CF">
            <w:pPr>
              <w:pStyle w:val="ListParagraph"/>
              <w:numPr>
                <w:ilvl w:val="0"/>
                <w:numId w:val="11"/>
              </w:numPr>
              <w:ind w:left="460" w:hanging="425"/>
              <w:rPr>
                <w:rFonts w:ascii="EYInterstate Light" w:hAnsi="EYInterstate Light"/>
              </w:rPr>
            </w:pPr>
            <w:r w:rsidRPr="00CB6C2B">
              <w:rPr>
                <w:rFonts w:ascii="EYInterstate Light" w:hAnsi="EYInterstate Light"/>
              </w:rPr>
              <w:t>Increase access to academic and scientific papers</w:t>
            </w:r>
          </w:p>
          <w:p w14:paraId="0D93C477" w14:textId="77777777" w:rsidR="00EB0D49" w:rsidRPr="00CB6C2B" w:rsidRDefault="00BF42A6" w:rsidP="00C343CF">
            <w:pPr>
              <w:pStyle w:val="ListParagraph"/>
              <w:numPr>
                <w:ilvl w:val="0"/>
                <w:numId w:val="11"/>
              </w:numPr>
              <w:ind w:left="460" w:hanging="425"/>
              <w:rPr>
                <w:rFonts w:ascii="EYInterstate Light" w:hAnsi="EYInterstate Light"/>
              </w:rPr>
            </w:pPr>
            <w:r w:rsidRPr="00CB6C2B">
              <w:rPr>
                <w:rFonts w:ascii="EYInterstate Light" w:hAnsi="EYInterstate Light"/>
              </w:rPr>
              <w:t>Enable</w:t>
            </w:r>
            <w:r w:rsidR="00D03B91" w:rsidRPr="00CB6C2B">
              <w:rPr>
                <w:rFonts w:ascii="EYInterstate Light" w:hAnsi="EYInterstate Light"/>
              </w:rPr>
              <w:t>s</w:t>
            </w:r>
            <w:r w:rsidRPr="00CB6C2B">
              <w:rPr>
                <w:rFonts w:ascii="EYInterstate Light" w:hAnsi="EYInterstate Light"/>
              </w:rPr>
              <w:t xml:space="preserve"> greater opportunities for citizen science</w:t>
            </w:r>
          </w:p>
          <w:p w14:paraId="4BEEB34A" w14:textId="5AE94A17" w:rsidR="00D03B91" w:rsidRPr="008E7F6E" w:rsidRDefault="00FF6895" w:rsidP="00C343CF">
            <w:pPr>
              <w:pStyle w:val="ListParagraph"/>
              <w:numPr>
                <w:ilvl w:val="0"/>
                <w:numId w:val="11"/>
              </w:numPr>
              <w:ind w:left="460" w:hanging="425"/>
            </w:pPr>
            <w:r w:rsidRPr="00CB6C2B">
              <w:rPr>
                <w:rFonts w:ascii="EYInterstate Light" w:hAnsi="EYInterstate Light"/>
              </w:rPr>
              <w:t xml:space="preserve">Supports the </w:t>
            </w:r>
            <w:r w:rsidR="00806E9A" w:rsidRPr="00CB6C2B">
              <w:rPr>
                <w:rFonts w:ascii="EYInterstate Light" w:hAnsi="EYInterstate Light"/>
              </w:rPr>
              <w:t>breakdown</w:t>
            </w:r>
            <w:r w:rsidRPr="00CB6C2B">
              <w:rPr>
                <w:rFonts w:ascii="EYInterstate Light" w:hAnsi="EYInterstate Light"/>
              </w:rPr>
              <w:t xml:space="preserve"> of misinformation</w:t>
            </w:r>
            <w:r>
              <w:t xml:space="preserve"> </w:t>
            </w:r>
          </w:p>
        </w:tc>
      </w:tr>
    </w:tbl>
    <w:p w14:paraId="41CE3D24" w14:textId="6524EAD1" w:rsidR="008F072F" w:rsidRPr="008F072F" w:rsidRDefault="008E7F6E" w:rsidP="00C75B76">
      <w:pPr>
        <w:pStyle w:val="EYBodytextwithoutparaspace"/>
        <w:spacing w:before="240"/>
      </w:pPr>
      <w:r>
        <w:t>The following sections provide additional details related to the proposed agreement structure and f</w:t>
      </w:r>
      <w:r w:rsidR="00C75B76">
        <w:t>u</w:t>
      </w:r>
      <w:r>
        <w:t xml:space="preserve">nding approach. </w:t>
      </w:r>
      <w:r w:rsidR="00A44A06">
        <w:t>Further design, implementation, costs</w:t>
      </w:r>
      <w:r w:rsidR="00806E9A">
        <w:t>,</w:t>
      </w:r>
      <w:r w:rsidR="00A44A06">
        <w:t xml:space="preserve"> and risk</w:t>
      </w:r>
      <w:r w:rsidR="002D64E6">
        <w:t xml:space="preserve"> issues are </w:t>
      </w:r>
      <w:r w:rsidR="00A44A06">
        <w:t xml:space="preserve">discussed in Chapter </w:t>
      </w:r>
      <w:r w:rsidR="00573F5D">
        <w:t>6 and 7.</w:t>
      </w:r>
    </w:p>
    <w:p w14:paraId="0DD9B7EF" w14:textId="0F052957" w:rsidR="00331EF4" w:rsidRPr="00331EF4" w:rsidRDefault="00001D3A" w:rsidP="00C343CF">
      <w:pPr>
        <w:pStyle w:val="EYHeading3"/>
      </w:pPr>
      <w:r>
        <w:t>Read-and-publish agreements</w:t>
      </w:r>
    </w:p>
    <w:p w14:paraId="594F6939" w14:textId="7F611848" w:rsidR="000D468C" w:rsidRDefault="00DD1D83" w:rsidP="00353B3B">
      <w:pPr>
        <w:pStyle w:val="EYBodytextwithoutparaspace"/>
      </w:pPr>
      <w:r>
        <w:t xml:space="preserve">Read-and-publish agreements are a </w:t>
      </w:r>
      <w:r w:rsidR="002E631E">
        <w:t>subset of other</w:t>
      </w:r>
      <w:r>
        <w:t xml:space="preserve"> transformative arrangements</w:t>
      </w:r>
      <w:r w:rsidR="004B47EB">
        <w:t xml:space="preserve"> and </w:t>
      </w:r>
      <w:r w:rsidR="002D6FE6">
        <w:t>utilis</w:t>
      </w:r>
      <w:r w:rsidR="004B47EB">
        <w:t>e</w:t>
      </w:r>
      <w:r w:rsidR="002D6FE6">
        <w:t xml:space="preserve"> current </w:t>
      </w:r>
      <w:r w:rsidR="00FE379F">
        <w:t>subscription expenditure</w:t>
      </w:r>
      <w:r w:rsidR="00C75B76">
        <w:t>s</w:t>
      </w:r>
      <w:r w:rsidR="00FE379F">
        <w:t xml:space="preserve"> to </w:t>
      </w:r>
      <w:r w:rsidR="00C75B76">
        <w:t>meet</w:t>
      </w:r>
      <w:r w:rsidR="00FE379F">
        <w:t xml:space="preserve"> the costs of </w:t>
      </w:r>
      <w:r w:rsidR="004B47EB">
        <w:t xml:space="preserve">open access publishing. The intention of these agreements </w:t>
      </w:r>
      <w:r w:rsidR="00EC43BD">
        <w:t xml:space="preserve">is to </w:t>
      </w:r>
      <w:r w:rsidR="003E1563">
        <w:t xml:space="preserve">gradually </w:t>
      </w:r>
      <w:r w:rsidR="00956BCE">
        <w:t>transition</w:t>
      </w:r>
      <w:r w:rsidR="003E1563">
        <w:t xml:space="preserve"> </w:t>
      </w:r>
      <w:r w:rsidR="00A712FE">
        <w:t xml:space="preserve">agreement </w:t>
      </w:r>
      <w:r w:rsidR="00956BCE">
        <w:t>costs from subscriptions and towards APCs</w:t>
      </w:r>
      <w:r w:rsidR="00DB7B01">
        <w:t xml:space="preserve"> payments</w:t>
      </w:r>
      <w:r w:rsidR="00956BCE">
        <w:t>.</w:t>
      </w:r>
    </w:p>
    <w:p w14:paraId="379C9DAF" w14:textId="36C04D58" w:rsidR="00AF2094" w:rsidRDefault="00C75B76" w:rsidP="00353B3B">
      <w:pPr>
        <w:pStyle w:val="EYBodytextwithoutparaspace"/>
      </w:pPr>
      <w:r>
        <w:t xml:space="preserve">Under the </w:t>
      </w:r>
      <w:r w:rsidR="00603F57">
        <w:t xml:space="preserve">preferred </w:t>
      </w:r>
      <w:r>
        <w:t xml:space="preserve">model, the </w:t>
      </w:r>
      <w:r w:rsidR="00603F57">
        <w:t>central implementation body</w:t>
      </w:r>
      <w:r>
        <w:t xml:space="preserve"> would</w:t>
      </w:r>
      <w:r w:rsidR="00603F57">
        <w:t xml:space="preserve"> negotiate new </w:t>
      </w:r>
      <w:r w:rsidR="00BA4965">
        <w:t xml:space="preserve">national </w:t>
      </w:r>
      <w:r w:rsidR="00603F57">
        <w:t xml:space="preserve">read-and-publish agreements with individual publishers. </w:t>
      </w:r>
      <w:r w:rsidR="00BA4965">
        <w:t xml:space="preserve">These agreements </w:t>
      </w:r>
      <w:r>
        <w:t>would</w:t>
      </w:r>
      <w:r w:rsidR="00BA4965">
        <w:t xml:space="preserve"> cover both read access to paywalled articles </w:t>
      </w:r>
      <w:r w:rsidR="00F60EC5">
        <w:t xml:space="preserve">for prescribed users and the APC costs associated with publishing </w:t>
      </w:r>
      <w:r>
        <w:t xml:space="preserve">Australian-led journal articles </w:t>
      </w:r>
      <w:r w:rsidR="00F60EC5">
        <w:t>in open access journals</w:t>
      </w:r>
      <w:r w:rsidR="000D468C">
        <w:t>.</w:t>
      </w:r>
    </w:p>
    <w:p w14:paraId="305D3310" w14:textId="24A57AD0" w:rsidR="00AF2094" w:rsidRPr="0014712D" w:rsidRDefault="00962CA3" w:rsidP="00A577AC">
      <w:pPr>
        <w:pStyle w:val="EYBodytextwithparaspace"/>
        <w:rPr>
          <w:rFonts w:ascii="EYInterstate" w:hAnsi="EYInterstate"/>
          <w:sz w:val="24"/>
          <w:szCs w:val="24"/>
        </w:rPr>
      </w:pPr>
      <w:r w:rsidRPr="0014712D">
        <w:rPr>
          <w:rFonts w:ascii="EYInterstate" w:hAnsi="EYInterstate"/>
          <w:sz w:val="24"/>
          <w:szCs w:val="24"/>
        </w:rPr>
        <w:t>Read access covers all individual users and is the lowest cost option</w:t>
      </w:r>
    </w:p>
    <w:p w14:paraId="62A34B7E" w14:textId="5D9DAA8A" w:rsidR="004E1789" w:rsidRDefault="004E1789" w:rsidP="00353B3B">
      <w:pPr>
        <w:pStyle w:val="EYBodytextwithoutparaspace"/>
      </w:pPr>
      <w:r>
        <w:t xml:space="preserve">Permissions and copyright are directly tied to different licensing conditions. Licensing agreements give individual and institutional users permission to distribute and re-use paywalled journal articles for either educational or commercial purposes. </w:t>
      </w:r>
      <w:r w:rsidR="006A2E90">
        <w:t>T</w:t>
      </w:r>
      <w:r>
        <w:t xml:space="preserve">he intended use </w:t>
      </w:r>
      <w:r w:rsidR="006A2E90">
        <w:t xml:space="preserve">of </w:t>
      </w:r>
      <w:r>
        <w:t>a journal article and how</w:t>
      </w:r>
      <w:r w:rsidR="006A2E90">
        <w:t xml:space="preserve"> it </w:t>
      </w:r>
      <w:r>
        <w:t xml:space="preserve">is to be distributed </w:t>
      </w:r>
      <w:r w:rsidR="006A2E90">
        <w:t>typically</w:t>
      </w:r>
      <w:r>
        <w:t xml:space="preserve"> determines the price of the individual licensing agreement. For example, copying a journal article for distribution in a classroom typically carries a higher </w:t>
      </w:r>
      <w:r w:rsidR="00972387">
        <w:t>cost than read access.</w:t>
      </w:r>
    </w:p>
    <w:p w14:paraId="003E9AD7" w14:textId="6BABCCC9" w:rsidR="00575274" w:rsidRDefault="004E1789" w:rsidP="00353B3B">
      <w:pPr>
        <w:pStyle w:val="EYBodytextwithoutparaspace"/>
      </w:pPr>
      <w:r>
        <w:t xml:space="preserve">Individuals and institutions often require differing access levels depending on the purpose, the reason for access and any resulting re-use of </w:t>
      </w:r>
      <w:r w:rsidR="00C75B76">
        <w:t>article</w:t>
      </w:r>
      <w:r>
        <w:t xml:space="preserve"> content in further research or commercial application.</w:t>
      </w:r>
    </w:p>
    <w:p w14:paraId="1D675270" w14:textId="103621D9" w:rsidR="00314EE9" w:rsidRDefault="002D64E6" w:rsidP="00353B3B">
      <w:pPr>
        <w:pStyle w:val="EYBodytextwithoutparaspace"/>
      </w:pPr>
      <w:r>
        <w:lastRenderedPageBreak/>
        <w:fldChar w:fldCharType="begin"/>
      </w:r>
      <w:r>
        <w:instrText xml:space="preserve"> REF _Ref115693897 \h </w:instrText>
      </w:r>
      <w:r>
        <w:fldChar w:fldCharType="separate"/>
      </w:r>
      <w:r w:rsidR="008112E6">
        <w:t xml:space="preserve">Figure </w:t>
      </w:r>
      <w:r w:rsidR="008112E6">
        <w:rPr>
          <w:noProof/>
        </w:rPr>
        <w:t>18</w:t>
      </w:r>
      <w:r>
        <w:fldChar w:fldCharType="end"/>
      </w:r>
      <w:r>
        <w:t xml:space="preserve"> </w:t>
      </w:r>
      <w:r w:rsidR="00041C65">
        <w:t>provides a matrix of user profiles and reasons for use.</w:t>
      </w:r>
    </w:p>
    <w:p w14:paraId="4E4B8D63" w14:textId="56D3AEAE" w:rsidR="007575FD" w:rsidRDefault="007575FD" w:rsidP="00C343CF">
      <w:pPr>
        <w:pStyle w:val="Caption"/>
        <w:keepNext/>
      </w:pPr>
      <w:bookmarkStart w:id="45" w:name="_Ref115693897"/>
      <w:r>
        <w:t xml:space="preserve">Figure </w:t>
      </w:r>
      <w:r w:rsidR="0029059A">
        <w:fldChar w:fldCharType="begin"/>
      </w:r>
      <w:r w:rsidR="0029059A">
        <w:instrText xml:space="preserve"> SEQ Figure \* ARABIC </w:instrText>
      </w:r>
      <w:r w:rsidR="0029059A">
        <w:fldChar w:fldCharType="separate"/>
      </w:r>
      <w:r w:rsidR="008112E6">
        <w:rPr>
          <w:noProof/>
        </w:rPr>
        <w:t>18</w:t>
      </w:r>
      <w:r w:rsidR="0029059A">
        <w:fldChar w:fldCharType="end"/>
      </w:r>
      <w:bookmarkEnd w:id="45"/>
      <w:r>
        <w:t xml:space="preserve">: </w:t>
      </w:r>
      <w:r w:rsidR="000E6F01">
        <w:t>U</w:t>
      </w:r>
      <w:r>
        <w:t>ser profiles and journal use</w:t>
      </w:r>
    </w:p>
    <w:p w14:paraId="087A37DC" w14:textId="55E94042" w:rsidR="001C3DCD" w:rsidRDefault="0070351B" w:rsidP="002D64E6">
      <w:pPr>
        <w:pStyle w:val="EYBodytextwithparaspace"/>
        <w:spacing w:before="240"/>
      </w:pPr>
      <w:r w:rsidRPr="0070351B">
        <w:rPr>
          <w:noProof/>
        </w:rPr>
        <w:drawing>
          <wp:inline distT="0" distB="0" distL="0" distR="0" wp14:anchorId="542EA948" wp14:editId="4B0A1448">
            <wp:extent cx="5733415" cy="2300605"/>
            <wp:effectExtent l="0" t="0" r="635" b="4445"/>
            <wp:docPr id="696" name="Picture 696" descr="The figure shows a table comparing the user priorities and journal use of stakeholders. Stakeholders include the general public, Citizen scientists, professionals, school teachers policy makers, industry, teaching academies and resear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696" descr="The figure shows a table comparing the user priorities and journal use of stakeholders. Stakeholders include the general public, Citizen scientists, professionals, school teachers policy makers, industry, teaching academies and researcher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3415" cy="2300605"/>
                    </a:xfrm>
                    <a:prstGeom prst="rect">
                      <a:avLst/>
                    </a:prstGeom>
                    <a:noFill/>
                    <a:ln>
                      <a:noFill/>
                    </a:ln>
                  </pic:spPr>
                </pic:pic>
              </a:graphicData>
            </a:graphic>
          </wp:inline>
        </w:drawing>
      </w:r>
    </w:p>
    <w:p w14:paraId="34877392" w14:textId="77777777" w:rsidR="006315AD" w:rsidRDefault="006315AD" w:rsidP="006315AD">
      <w:pPr>
        <w:pStyle w:val="EYBodytextwithoutparaspace"/>
      </w:pPr>
    </w:p>
    <w:p w14:paraId="546C3885" w14:textId="40BFC6B3" w:rsidR="00652CE5" w:rsidRPr="0014712D" w:rsidRDefault="008A0159" w:rsidP="0014712D">
      <w:pPr>
        <w:pStyle w:val="EYBodytextwithoutparaspace"/>
      </w:pPr>
      <w:r w:rsidRPr="0014712D">
        <w:t xml:space="preserve">To </w:t>
      </w:r>
      <w:r w:rsidR="00C83F0E" w:rsidRPr="0014712D">
        <w:t>manage</w:t>
      </w:r>
      <w:r w:rsidRPr="0014712D">
        <w:t xml:space="preserve"> costs and</w:t>
      </w:r>
      <w:r w:rsidR="008F448D">
        <w:t xml:space="preserve"> meet the needs of a national open access scheme</w:t>
      </w:r>
      <w:r w:rsidRPr="0014712D">
        <w:t xml:space="preserve">, the preferred approach </w:t>
      </w:r>
      <w:r w:rsidR="008F448D">
        <w:t>would</w:t>
      </w:r>
      <w:r w:rsidRPr="0014712D">
        <w:t xml:space="preserve"> negotiate read access to paywalled journal articles. Read access </w:t>
      </w:r>
      <w:r w:rsidR="00A32745" w:rsidRPr="0014712D">
        <w:t xml:space="preserve">provides a baseline </w:t>
      </w:r>
      <w:r w:rsidR="008F448D">
        <w:t xml:space="preserve">level of access </w:t>
      </w:r>
      <w:r w:rsidR="00A32745" w:rsidRPr="0014712D">
        <w:t xml:space="preserve">and </w:t>
      </w:r>
      <w:r w:rsidRPr="0014712D">
        <w:t xml:space="preserve">covers all prescribed users under the central implementation body. Users who require a higher level of access than </w:t>
      </w:r>
      <w:r w:rsidR="008F448D">
        <w:t xml:space="preserve">provided under the standard </w:t>
      </w:r>
      <w:r w:rsidRPr="0014712D">
        <w:t xml:space="preserve">model, </w:t>
      </w:r>
      <w:r w:rsidR="00C83F0E" w:rsidRPr="0014712D">
        <w:t>could</w:t>
      </w:r>
      <w:r w:rsidR="004944FF" w:rsidRPr="0014712D">
        <w:t xml:space="preserve"> </w:t>
      </w:r>
      <w:r w:rsidR="00C83F0E" w:rsidRPr="0014712D">
        <w:t>elect</w:t>
      </w:r>
      <w:r w:rsidR="004944FF" w:rsidRPr="0014712D">
        <w:t xml:space="preserve"> to</w:t>
      </w:r>
      <w:r w:rsidRPr="0014712D">
        <w:t xml:space="preserve"> </w:t>
      </w:r>
      <w:r w:rsidR="004944FF" w:rsidRPr="0014712D">
        <w:t>increase their level of access</w:t>
      </w:r>
      <w:r w:rsidR="002966E6" w:rsidRPr="0014712D">
        <w:t xml:space="preserve"> </w:t>
      </w:r>
      <w:r w:rsidR="00BF6426" w:rsidRPr="0014712D">
        <w:t>by negotiating</w:t>
      </w:r>
      <w:r w:rsidR="002966E6" w:rsidRPr="0014712D">
        <w:t xml:space="preserve"> individual agreements or continue accessing journal articles under other licensing arrangemen</w:t>
      </w:r>
      <w:r w:rsidR="0018617D" w:rsidRPr="0014712D">
        <w:t>ts</w:t>
      </w:r>
      <w:r w:rsidR="002966E6" w:rsidRPr="0014712D">
        <w:t xml:space="preserve"> like the </w:t>
      </w:r>
      <w:r w:rsidR="00621D17" w:rsidRPr="0014712D">
        <w:t>education copy scheme (Statutory Education License)</w:t>
      </w:r>
      <w:r w:rsidR="0018617D" w:rsidRPr="0014712D">
        <w:t>.</w:t>
      </w:r>
    </w:p>
    <w:p w14:paraId="7D867F5A" w14:textId="183685AA" w:rsidR="00426BEE" w:rsidRPr="0014712D" w:rsidRDefault="00C167D2" w:rsidP="0014712D">
      <w:pPr>
        <w:pStyle w:val="EYBodytextwithoutparaspace"/>
      </w:pPr>
      <w:r w:rsidRPr="0014712D">
        <w:t>A read</w:t>
      </w:r>
      <w:r w:rsidR="00426BEE" w:rsidRPr="0014712D">
        <w:t xml:space="preserve"> </w:t>
      </w:r>
      <w:r w:rsidR="001349CB" w:rsidRPr="0014712D">
        <w:t>access focused model</w:t>
      </w:r>
      <w:r w:rsidR="00426BEE" w:rsidRPr="0014712D">
        <w:t xml:space="preserve">, as proposed, </w:t>
      </w:r>
      <w:r w:rsidR="00655860" w:rsidRPr="0014712D">
        <w:t>provide</w:t>
      </w:r>
      <w:r w:rsidR="00A36DEE" w:rsidRPr="0014712D">
        <w:t>s</w:t>
      </w:r>
      <w:r w:rsidR="00655860" w:rsidRPr="0014712D">
        <w:t xml:space="preserve"> a base level of access while limiting potential risk</w:t>
      </w:r>
      <w:r w:rsidR="008F448D">
        <w:t>s</w:t>
      </w:r>
      <w:r w:rsidR="00655860" w:rsidRPr="0014712D">
        <w:t xml:space="preserve"> of copyright infringement.</w:t>
      </w:r>
    </w:p>
    <w:p w14:paraId="21655F34" w14:textId="319E4374" w:rsidR="000173AC" w:rsidRPr="0014712D" w:rsidRDefault="0018617D" w:rsidP="00A577AC">
      <w:pPr>
        <w:pStyle w:val="EYBodytextwithparaspace"/>
        <w:rPr>
          <w:rFonts w:ascii="EYInterstate" w:hAnsi="EYInterstate"/>
          <w:iCs/>
          <w:sz w:val="24"/>
          <w:szCs w:val="24"/>
        </w:rPr>
      </w:pPr>
      <w:r w:rsidRPr="0014712D">
        <w:rPr>
          <w:rFonts w:ascii="EYInterstate" w:hAnsi="EYInterstate"/>
          <w:iCs/>
          <w:sz w:val="24"/>
          <w:szCs w:val="24"/>
        </w:rPr>
        <w:t>Creative commons licensing</w:t>
      </w:r>
    </w:p>
    <w:p w14:paraId="229247CA" w14:textId="7EB28CEA" w:rsidR="003A3DD5" w:rsidRDefault="006C63C2" w:rsidP="006315AD">
      <w:pPr>
        <w:pStyle w:val="EYBodytextwithoutparaspace"/>
      </w:pPr>
      <w:r w:rsidRPr="006C63C2">
        <w:t xml:space="preserve">Under the traditional publishing model, authors typically assign the copyright of their author-accepted manuscript to the publisher in exchange for publishing services. To publish an individual article in an open access journal, publishers </w:t>
      </w:r>
      <w:r w:rsidR="005B5C4B">
        <w:t xml:space="preserve">typically </w:t>
      </w:r>
      <w:r w:rsidRPr="006C63C2">
        <w:t xml:space="preserve">charge a one-off fee (APC) as compensation for the required publishing services. Under the read-and-publish agreements, the central implementation body would fund </w:t>
      </w:r>
      <w:r w:rsidR="005B5C4B">
        <w:t>any associated</w:t>
      </w:r>
      <w:r w:rsidRPr="006C63C2">
        <w:t xml:space="preserve"> cost for publishing Australian-led journal articles in open access journals.</w:t>
      </w:r>
    </w:p>
    <w:p w14:paraId="31609DB8" w14:textId="4022E91E" w:rsidR="00953880" w:rsidRDefault="00E8068C" w:rsidP="006315AD">
      <w:pPr>
        <w:pStyle w:val="EYBodytextwithoutparaspace"/>
      </w:pPr>
      <w:r w:rsidRPr="00E8068C">
        <w:t xml:space="preserve">As authors </w:t>
      </w:r>
      <w:r w:rsidR="008F448D">
        <w:t>would</w:t>
      </w:r>
      <w:r w:rsidRPr="00E8068C">
        <w:t xml:space="preserve"> retain the copyright of their submitted journal article through the read-and-publish agreements, the preferred model intends to give authors maximum choice when deciding how their journal article is licensed. Stakeholders suggested that </w:t>
      </w:r>
      <w:r w:rsidR="00EF4D13">
        <w:t xml:space="preserve">the </w:t>
      </w:r>
      <w:r w:rsidRPr="00E8068C">
        <w:t xml:space="preserve">Creative Commons Licensing </w:t>
      </w:r>
      <w:r w:rsidR="00EF4D13">
        <w:t>suite</w:t>
      </w:r>
      <w:r w:rsidRPr="00E8068C">
        <w:t xml:space="preserve"> provides multiple options for authors and allows specific licensing conditions based on individual circumstances</w:t>
      </w:r>
      <w:r>
        <w:t>.</w:t>
      </w:r>
      <w:r w:rsidR="00F9596E">
        <w:t xml:space="preserve"> For example, there may be specific restrictions around indigenous works and literature where</w:t>
      </w:r>
      <w:r w:rsidR="008765FE">
        <w:t xml:space="preserve"> </w:t>
      </w:r>
      <w:r w:rsidR="004A0CD7">
        <w:t xml:space="preserve">Creative Commons Licensing </w:t>
      </w:r>
      <w:r w:rsidR="00F9596E">
        <w:t>may not be appropriate.</w:t>
      </w:r>
      <w:r w:rsidR="008A76BC">
        <w:t xml:space="preserve"> </w:t>
      </w:r>
      <w:r w:rsidR="004A0CD7">
        <w:t>Creative Commons Licensing also allows the greatest distribution of research for education</w:t>
      </w:r>
      <w:r w:rsidR="001C2947">
        <w:t>al</w:t>
      </w:r>
      <w:r w:rsidR="004A0CD7">
        <w:t xml:space="preserve"> uses and commercial application</w:t>
      </w:r>
      <w:r>
        <w:t>s</w:t>
      </w:r>
      <w:r w:rsidR="004A0CD7">
        <w:t>.</w:t>
      </w:r>
    </w:p>
    <w:p w14:paraId="17400003" w14:textId="549A97F6" w:rsidR="00027BE9" w:rsidRDefault="00842915" w:rsidP="00A577AC">
      <w:pPr>
        <w:pStyle w:val="EYBodytextwithparaspace"/>
      </w:pPr>
      <w:r>
        <w:fldChar w:fldCharType="begin"/>
      </w:r>
      <w:r>
        <w:instrText xml:space="preserve"> REF _Ref115698039 \h </w:instrText>
      </w:r>
      <w:r>
        <w:fldChar w:fldCharType="separate"/>
      </w:r>
      <w:r w:rsidR="008112E6">
        <w:t xml:space="preserve">Figure </w:t>
      </w:r>
      <w:r w:rsidR="008112E6">
        <w:rPr>
          <w:noProof/>
        </w:rPr>
        <w:t>19</w:t>
      </w:r>
      <w:r>
        <w:fldChar w:fldCharType="end"/>
      </w:r>
      <w:r>
        <w:t xml:space="preserve"> </w:t>
      </w:r>
      <w:r w:rsidR="007247F6">
        <w:t xml:space="preserve">provides three different options for licensing conditions </w:t>
      </w:r>
      <w:r w:rsidR="00D95BD3">
        <w:t>under the proposed read-and-publish agreements.</w:t>
      </w:r>
    </w:p>
    <w:p w14:paraId="7F9F99E9" w14:textId="7E92CF36" w:rsidR="00842915" w:rsidRDefault="00842915" w:rsidP="00842915">
      <w:pPr>
        <w:pStyle w:val="Caption"/>
        <w:keepNext/>
      </w:pPr>
      <w:bookmarkStart w:id="46" w:name="_Ref115698039"/>
      <w:r>
        <w:lastRenderedPageBreak/>
        <w:t xml:space="preserve">Figure </w:t>
      </w:r>
      <w:r>
        <w:fldChar w:fldCharType="begin"/>
      </w:r>
      <w:r>
        <w:instrText xml:space="preserve"> SEQ Figure \* ARABIC </w:instrText>
      </w:r>
      <w:r>
        <w:fldChar w:fldCharType="separate"/>
      </w:r>
      <w:r w:rsidR="008112E6">
        <w:rPr>
          <w:noProof/>
        </w:rPr>
        <w:t>19</w:t>
      </w:r>
      <w:r>
        <w:fldChar w:fldCharType="end"/>
      </w:r>
      <w:bookmarkEnd w:id="46"/>
      <w:r>
        <w:t xml:space="preserve">: </w:t>
      </w:r>
      <w:r w:rsidRPr="002B2190">
        <w:t>Creative Commons licenses to consider under the proposed model</w:t>
      </w:r>
    </w:p>
    <w:p w14:paraId="790C090B" w14:textId="648A20AF" w:rsidR="003614F2" w:rsidRDefault="00455369" w:rsidP="00A577AC">
      <w:pPr>
        <w:pStyle w:val="EYBodytextwithparaspace"/>
      </w:pPr>
      <w:r w:rsidRPr="00455369">
        <w:rPr>
          <w:noProof/>
        </w:rPr>
        <w:drawing>
          <wp:inline distT="0" distB="0" distL="0" distR="0" wp14:anchorId="262955DA" wp14:editId="093D981B">
            <wp:extent cx="5750340" cy="2127250"/>
            <wp:effectExtent l="0" t="0" r="3175" b="6350"/>
            <wp:docPr id="698" name="Picture 698" descr="Creative Commons licenses. &#10;1. Attribution CC BY. If credit is given to the creator, this license allows others to distribute, remix, adapt, and build upon their work, including commercial use. &#10;2. Attribution-NoDerivs CC BY-ND. If credit is given to the creator, this license allows others to reuse the work for any purpose, including commercial use. However, the work cannot be shared in adapted form.&#10;3. Attribution-NonCommercial CC BY-NC. If the creator is acknowledged, this license lets others remix, adapt, and build upon their work non-commercially. New derivative works do not need to be licensed under the same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698" descr="Creative Commons licenses. &#10;1. Attribution CC BY. If credit is given to the creator, this license allows others to distribute, remix, adapt, and build upon their work, including commercial use. &#10;2. Attribution-NoDerivs CC BY-ND. If credit is given to the creator, this license allows others to reuse the work for any purpose, including commercial use. However, the work cannot be shared in adapted form.&#10;3. Attribution-NonCommercial CC BY-NC. If the creator is acknowledged, this license lets others remix, adapt, and build upon their work non-commercially. New derivative works do not need to be licensed under the same term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6269" cy="2129444"/>
                    </a:xfrm>
                    <a:prstGeom prst="rect">
                      <a:avLst/>
                    </a:prstGeom>
                    <a:noFill/>
                    <a:ln>
                      <a:noFill/>
                    </a:ln>
                  </pic:spPr>
                </pic:pic>
              </a:graphicData>
            </a:graphic>
          </wp:inline>
        </w:drawing>
      </w:r>
    </w:p>
    <w:p w14:paraId="010330E6" w14:textId="7937664D" w:rsidR="005B5C4B" w:rsidRPr="0014712D" w:rsidRDefault="00B13682" w:rsidP="0014712D">
      <w:pPr>
        <w:pStyle w:val="EYBodytextwithoutparaspace"/>
      </w:pPr>
      <w:r w:rsidRPr="0014712D">
        <w:t xml:space="preserve">The Creative Commons Licensing is the </w:t>
      </w:r>
      <w:r w:rsidR="00035422" w:rsidRPr="0014712D">
        <w:t xml:space="preserve">internationally </w:t>
      </w:r>
      <w:r w:rsidRPr="0014712D">
        <w:t xml:space="preserve">accepted standard for open access publishing, it provides the greatest </w:t>
      </w:r>
      <w:r w:rsidR="00F80593" w:rsidRPr="0014712D">
        <w:t xml:space="preserve">opportunity for re-use which </w:t>
      </w:r>
      <w:r w:rsidR="008F448D">
        <w:t>would</w:t>
      </w:r>
      <w:r w:rsidR="007545E0" w:rsidRPr="0014712D">
        <w:t xml:space="preserve"> drive future research and innovation. </w:t>
      </w:r>
      <w:r w:rsidR="00035422" w:rsidRPr="0014712D">
        <w:t>The proposed open access model is consistent with current licensing conditions.</w:t>
      </w:r>
    </w:p>
    <w:p w14:paraId="6F5D1AE4" w14:textId="326AF56F" w:rsidR="00253DC0" w:rsidRPr="00832778" w:rsidRDefault="008A78F3" w:rsidP="008606A9">
      <w:pPr>
        <w:pStyle w:val="EYHeading2"/>
      </w:pPr>
      <w:bookmarkStart w:id="47" w:name="_Toc115717088"/>
      <w:r>
        <w:t>N</w:t>
      </w:r>
      <w:r w:rsidR="008606A9">
        <w:t xml:space="preserve">ational agreements between publishers and </w:t>
      </w:r>
      <w:r w:rsidR="00A72594">
        <w:t>central implementation body</w:t>
      </w:r>
      <w:bookmarkEnd w:id="47"/>
    </w:p>
    <w:p w14:paraId="28A75BBE" w14:textId="448FA0C3" w:rsidR="00F130F5" w:rsidRPr="00701100" w:rsidRDefault="00F130F5" w:rsidP="00701100">
      <w:pPr>
        <w:pStyle w:val="EYBodytextwithoutparaspace"/>
      </w:pPr>
      <w:r w:rsidRPr="00701100">
        <w:t xml:space="preserve">The model </w:t>
      </w:r>
      <w:r w:rsidR="008F448D">
        <w:t>involves</w:t>
      </w:r>
      <w:r w:rsidRPr="00701100">
        <w:t xml:space="preserve"> the central implementation body execut</w:t>
      </w:r>
      <w:r w:rsidR="008F448D">
        <w:t>ing</w:t>
      </w:r>
      <w:r w:rsidRPr="00701100">
        <w:t xml:space="preserve"> individual agreements with publishers</w:t>
      </w:r>
      <w:r w:rsidR="002E503B" w:rsidRPr="00701100">
        <w:t xml:space="preserve">. </w:t>
      </w:r>
      <w:r w:rsidR="006E7F3F" w:rsidRPr="00701100">
        <w:t xml:space="preserve">Each individual agreement may vary </w:t>
      </w:r>
      <w:r w:rsidR="005C0511" w:rsidRPr="00701100">
        <w:t>depending on</w:t>
      </w:r>
      <w:r w:rsidR="006E7F3F" w:rsidRPr="00701100">
        <w:t xml:space="preserve"> the publisher circumstances, range of journals and current level of Australian</w:t>
      </w:r>
      <w:r w:rsidR="008A1BFB" w:rsidRPr="00701100">
        <w:t>-led</w:t>
      </w:r>
      <w:r w:rsidR="006E7F3F" w:rsidRPr="00701100">
        <w:t xml:space="preserve"> </w:t>
      </w:r>
      <w:r w:rsidR="008A1BFB" w:rsidRPr="00701100">
        <w:t>journal</w:t>
      </w:r>
      <w:r w:rsidR="006E7F3F" w:rsidRPr="00701100">
        <w:t xml:space="preserve"> publishing</w:t>
      </w:r>
      <w:r w:rsidR="009E1B88" w:rsidRPr="00701100">
        <w:t>. However,</w:t>
      </w:r>
      <w:r w:rsidR="006E7F3F" w:rsidRPr="00701100">
        <w:t xml:space="preserve"> each individual agreement should adhere to a common set of principles</w:t>
      </w:r>
      <w:r w:rsidR="008F448D">
        <w:t>:</w:t>
      </w:r>
    </w:p>
    <w:p w14:paraId="25B90267" w14:textId="77777777" w:rsidR="00AC1D9B" w:rsidRPr="0014712D" w:rsidRDefault="00AC1D9B" w:rsidP="0014712D">
      <w:pPr>
        <w:pStyle w:val="EYBulletnoparaspace"/>
        <w:ind w:left="426"/>
      </w:pPr>
      <w:r w:rsidRPr="0014712D">
        <w:t>Support unlimited Australian-led open access publishing in participating gold and hybrid journals.</w:t>
      </w:r>
    </w:p>
    <w:p w14:paraId="0374F918" w14:textId="3EC80AA5" w:rsidR="002100E2" w:rsidRPr="0014712D" w:rsidRDefault="005522A3" w:rsidP="0014712D">
      <w:pPr>
        <w:pStyle w:val="EYBulletnoparaspace"/>
        <w:ind w:left="426"/>
      </w:pPr>
      <w:r w:rsidRPr="0014712D">
        <w:t xml:space="preserve">Allow open licensing conditions </w:t>
      </w:r>
      <w:r w:rsidR="00BD1F8C">
        <w:t>(a</w:t>
      </w:r>
      <w:r w:rsidR="00E52969" w:rsidRPr="0014712D">
        <w:t xml:space="preserve">s outlined in </w:t>
      </w:r>
      <w:r w:rsidR="00CB6C2B" w:rsidRPr="0014712D">
        <w:t xml:space="preserve">Figure </w:t>
      </w:r>
      <w:r w:rsidR="005F7F88" w:rsidRPr="0014712D">
        <w:t>19</w:t>
      </w:r>
      <w:r w:rsidR="00BD1F8C">
        <w:t>)</w:t>
      </w:r>
      <w:r w:rsidR="00656EC0" w:rsidRPr="0014712D">
        <w:t>.</w:t>
      </w:r>
    </w:p>
    <w:p w14:paraId="6CB18A2E" w14:textId="664D0B47" w:rsidR="00E52969" w:rsidRPr="0014712D" w:rsidRDefault="009078BB" w:rsidP="0014712D">
      <w:pPr>
        <w:pStyle w:val="EYBulletnoparaspace"/>
        <w:ind w:left="426"/>
      </w:pPr>
      <w:r w:rsidRPr="0014712D">
        <w:t xml:space="preserve">Over time, reduce </w:t>
      </w:r>
      <w:r w:rsidR="007A49C8" w:rsidRPr="0014712D">
        <w:t>subscriptions as a proportion of total costs.</w:t>
      </w:r>
    </w:p>
    <w:p w14:paraId="30FD2105" w14:textId="303E1BC7" w:rsidR="00FB17AC" w:rsidRPr="0014712D" w:rsidRDefault="00FB17AC" w:rsidP="0014712D">
      <w:pPr>
        <w:pStyle w:val="EYBulletnoparaspace"/>
        <w:ind w:left="426"/>
      </w:pPr>
      <w:r w:rsidRPr="0014712D">
        <w:t>Be transitional</w:t>
      </w:r>
      <w:r w:rsidR="00223D30" w:rsidRPr="0014712D">
        <w:t>,</w:t>
      </w:r>
      <w:r w:rsidRPr="0014712D">
        <w:t xml:space="preserve"> enabling publishers to continue to </w:t>
      </w:r>
      <w:r w:rsidR="007F5B84" w:rsidRPr="0014712D">
        <w:t xml:space="preserve">transition </w:t>
      </w:r>
      <w:r w:rsidR="00F47DA2" w:rsidRPr="0014712D">
        <w:t xml:space="preserve">to </w:t>
      </w:r>
      <w:r w:rsidR="007F5B84" w:rsidRPr="0014712D">
        <w:t>hybrid</w:t>
      </w:r>
      <w:r w:rsidR="0033726A" w:rsidRPr="0014712D">
        <w:t xml:space="preserve"> journals to gold.</w:t>
      </w:r>
    </w:p>
    <w:p w14:paraId="4EFEB550" w14:textId="30E7D857" w:rsidR="00E71A92" w:rsidRPr="007F5B84" w:rsidRDefault="00DB14A6" w:rsidP="00D24612">
      <w:pPr>
        <w:pStyle w:val="EYBodytextwithoutparaspace"/>
      </w:pPr>
      <w:r>
        <w:t>Ensuring</w:t>
      </w:r>
      <w:r w:rsidR="00502FC0">
        <w:t xml:space="preserve"> individual agreement adhere to the above principles </w:t>
      </w:r>
      <w:r w:rsidR="008F448D">
        <w:t>would</w:t>
      </w:r>
      <w:r w:rsidR="00502FC0">
        <w:t xml:space="preserve"> </w:t>
      </w:r>
      <w:r>
        <w:t>provide</w:t>
      </w:r>
      <w:r w:rsidR="00502FC0">
        <w:t xml:space="preserve"> a consistent approach towards agreements and </w:t>
      </w:r>
      <w:r w:rsidR="008F448D">
        <w:t xml:space="preserve">is likely to </w:t>
      </w:r>
      <w:r w:rsidR="00502FC0">
        <w:t>drive the greatest benefit for Australian stakeholders.</w:t>
      </w:r>
    </w:p>
    <w:p w14:paraId="3918BCA6" w14:textId="1839A0B6" w:rsidR="00AD3EBC" w:rsidRPr="00A2649E" w:rsidRDefault="00F742EF" w:rsidP="00D24612">
      <w:pPr>
        <w:pStyle w:val="EYBodytextwithoutparaspace"/>
        <w:rPr>
          <w:rFonts w:ascii="EYInterstate" w:hAnsi="EYInterstate"/>
          <w:sz w:val="24"/>
          <w:szCs w:val="24"/>
        </w:rPr>
      </w:pPr>
      <w:r>
        <w:rPr>
          <w:rFonts w:ascii="EYInterstate" w:hAnsi="EYInterstate"/>
          <w:sz w:val="24"/>
          <w:szCs w:val="24"/>
        </w:rPr>
        <w:t>A government-funded</w:t>
      </w:r>
      <w:r w:rsidR="00AD3EBC" w:rsidRPr="00A2649E">
        <w:rPr>
          <w:rFonts w:ascii="EYInterstate" w:hAnsi="EYInterstate"/>
          <w:sz w:val="24"/>
          <w:szCs w:val="24"/>
        </w:rPr>
        <w:t xml:space="preserve"> central implementation </w:t>
      </w:r>
      <w:r w:rsidR="00664D80" w:rsidRPr="00A2649E">
        <w:rPr>
          <w:rFonts w:ascii="EYInterstate" w:hAnsi="EYInterstate"/>
          <w:sz w:val="24"/>
          <w:szCs w:val="24"/>
        </w:rPr>
        <w:t>body</w:t>
      </w:r>
      <w:r>
        <w:rPr>
          <w:rFonts w:ascii="EYInterstate" w:hAnsi="EYInterstate"/>
          <w:sz w:val="24"/>
          <w:szCs w:val="24"/>
        </w:rPr>
        <w:t xml:space="preserve"> </w:t>
      </w:r>
      <w:r w:rsidR="00AD3EBC" w:rsidRPr="00A2649E">
        <w:rPr>
          <w:rFonts w:ascii="EYInterstate" w:hAnsi="EYInterstate"/>
          <w:sz w:val="24"/>
          <w:szCs w:val="24"/>
        </w:rPr>
        <w:t xml:space="preserve">manages all payments to publishers under </w:t>
      </w:r>
      <w:r>
        <w:rPr>
          <w:rFonts w:ascii="EYInterstate" w:hAnsi="EYInterstate"/>
          <w:sz w:val="24"/>
          <w:szCs w:val="24"/>
        </w:rPr>
        <w:t>national</w:t>
      </w:r>
      <w:r w:rsidR="00AD3EBC" w:rsidRPr="00A2649E">
        <w:rPr>
          <w:rFonts w:ascii="EYInterstate" w:hAnsi="EYInterstate"/>
          <w:sz w:val="24"/>
          <w:szCs w:val="24"/>
        </w:rPr>
        <w:t xml:space="preserve"> read-and-publish agreements</w:t>
      </w:r>
    </w:p>
    <w:p w14:paraId="1FF36B87" w14:textId="3DB8D9EF" w:rsidR="004240C0" w:rsidRPr="00701100" w:rsidRDefault="0033726A" w:rsidP="00701100">
      <w:pPr>
        <w:pStyle w:val="EYBodytextwithoutparaspace"/>
      </w:pPr>
      <w:r w:rsidRPr="00701100">
        <w:t xml:space="preserve">Under the preferred model, </w:t>
      </w:r>
      <w:r w:rsidR="004240C0" w:rsidRPr="00701100">
        <w:t xml:space="preserve">the central implementation body </w:t>
      </w:r>
      <w:r w:rsidR="008F448D">
        <w:t>would</w:t>
      </w:r>
      <w:r w:rsidR="004240C0" w:rsidRPr="00701100">
        <w:t xml:space="preserve"> manage all subscription fees and APCs </w:t>
      </w:r>
      <w:r w:rsidR="00550C1A" w:rsidRPr="00701100">
        <w:t xml:space="preserve">paid to publishers </w:t>
      </w:r>
      <w:r w:rsidR="00622B11" w:rsidRPr="00701100">
        <w:t xml:space="preserve">within </w:t>
      </w:r>
      <w:r w:rsidR="00A72594" w:rsidRPr="00701100">
        <w:t xml:space="preserve">each </w:t>
      </w:r>
      <w:r w:rsidR="00622B11" w:rsidRPr="00701100">
        <w:t>read-and-publish agreement. The</w:t>
      </w:r>
      <w:r w:rsidR="00550C1A" w:rsidRPr="00701100">
        <w:t xml:space="preserve"> central implementation body draws funding from the Australian research sector </w:t>
      </w:r>
      <w:r w:rsidR="002F1647" w:rsidRPr="00701100">
        <w:t xml:space="preserve">and other sectors </w:t>
      </w:r>
      <w:r w:rsidR="00615B9E" w:rsidRPr="00701100">
        <w:t xml:space="preserve">as outlined in Chapter </w:t>
      </w:r>
      <w:r w:rsidR="00D116E0" w:rsidRPr="00701100">
        <w:t>6</w:t>
      </w:r>
      <w:r w:rsidR="00C27754" w:rsidRPr="00701100">
        <w:t>.</w:t>
      </w:r>
    </w:p>
    <w:p w14:paraId="605009BF" w14:textId="71054C94" w:rsidR="00AD3EBC" w:rsidRDefault="00312C2F" w:rsidP="00701100">
      <w:pPr>
        <w:pStyle w:val="EYBodytextwithoutparaspace"/>
      </w:pPr>
      <w:r w:rsidRPr="00701100">
        <w:t xml:space="preserve">Centralising funding through the central implementation body </w:t>
      </w:r>
      <w:r w:rsidR="006A2183">
        <w:t xml:space="preserve">essentially </w:t>
      </w:r>
      <w:r w:rsidRPr="00701100">
        <w:t xml:space="preserve">forms one consortium </w:t>
      </w:r>
      <w:r w:rsidR="006A2183">
        <w:t>representing</w:t>
      </w:r>
      <w:r w:rsidRPr="00701100">
        <w:t xml:space="preserve"> all Australian stakeholders</w:t>
      </w:r>
      <w:r w:rsidR="006A2183">
        <w:t xml:space="preserve">. This is likely to </w:t>
      </w:r>
      <w:r w:rsidRPr="00701100">
        <w:t>increas</w:t>
      </w:r>
      <w:r w:rsidR="006A2183">
        <w:t>e</w:t>
      </w:r>
      <w:r w:rsidRPr="00701100">
        <w:t xml:space="preserve"> the bargaining power of Australia in negotiating new agreements with publishers. Centralising payments and funding should</w:t>
      </w:r>
      <w:r w:rsidR="006A2183">
        <w:t xml:space="preserve"> also</w:t>
      </w:r>
      <w:r w:rsidRPr="00701100">
        <w:t xml:space="preserve"> improve visibility of journal expenditure, </w:t>
      </w:r>
      <w:r w:rsidR="00AD542E" w:rsidRPr="00701100">
        <w:t>ensur</w:t>
      </w:r>
      <w:r w:rsidR="0085675B" w:rsidRPr="00701100">
        <w:t>ing</w:t>
      </w:r>
      <w:r w:rsidR="00AD542E" w:rsidRPr="00701100">
        <w:t xml:space="preserve"> a consistent standard is applied to new agreements</w:t>
      </w:r>
      <w:r w:rsidR="00AD542E">
        <w:t>.</w:t>
      </w:r>
    </w:p>
    <w:p w14:paraId="312A4978" w14:textId="77777777" w:rsidR="0038540C" w:rsidRPr="0038540C" w:rsidRDefault="0038540C" w:rsidP="0038540C">
      <w:pPr>
        <w:pStyle w:val="EYLeader"/>
      </w:pPr>
    </w:p>
    <w:p w14:paraId="319DCD0F" w14:textId="1E2F4CFC" w:rsidR="005501E3" w:rsidRPr="00497D7A" w:rsidRDefault="009C71D9" w:rsidP="009C71D9">
      <w:pPr>
        <w:pStyle w:val="EYHeading1"/>
      </w:pPr>
      <w:bookmarkStart w:id="48" w:name="_Toc115717089"/>
      <w:r>
        <w:lastRenderedPageBreak/>
        <w:t xml:space="preserve">Design and </w:t>
      </w:r>
      <w:r w:rsidR="000D2388">
        <w:t>deliverability</w:t>
      </w:r>
      <w:bookmarkEnd w:id="48"/>
    </w:p>
    <w:p w14:paraId="6303853C" w14:textId="4AA32E13" w:rsidR="00020D64" w:rsidRDefault="005D3953" w:rsidP="003F705D">
      <w:pPr>
        <w:pStyle w:val="EYLeader"/>
      </w:pPr>
      <w:r>
        <w:t xml:space="preserve">Australia’s open access scheme substantially </w:t>
      </w:r>
      <w:r w:rsidR="00095397">
        <w:t>c</w:t>
      </w:r>
      <w:r w:rsidR="000D2388">
        <w:t xml:space="preserve">hanges how primary users manage, </w:t>
      </w:r>
      <w:r w:rsidR="007E46B7">
        <w:t>access,</w:t>
      </w:r>
      <w:r w:rsidR="000D2388">
        <w:t xml:space="preserve"> and publish academic research.</w:t>
      </w:r>
      <w:r w:rsidR="00DA08D2">
        <w:t xml:space="preserve"> Based on stakeholder consultation, k</w:t>
      </w:r>
      <w:r w:rsidR="001E21E0">
        <w:t xml:space="preserve">ey benefits </w:t>
      </w:r>
      <w:r w:rsidR="00550C4C">
        <w:t xml:space="preserve">include reduced </w:t>
      </w:r>
      <w:r w:rsidR="00C06BFF">
        <w:t xml:space="preserve">operating costs, </w:t>
      </w:r>
      <w:r w:rsidR="00DA08D2">
        <w:t xml:space="preserve">greater </w:t>
      </w:r>
      <w:r w:rsidR="00C50FFF">
        <w:t xml:space="preserve">opportunities for innovation, and improved access to resources. </w:t>
      </w:r>
      <w:r w:rsidR="00375754">
        <w:t xml:space="preserve">Important delivery issues </w:t>
      </w:r>
      <w:r w:rsidR="00DA442F">
        <w:t>centre on</w:t>
      </w:r>
      <w:r w:rsidR="00375754">
        <w:t xml:space="preserve"> technical aspects of the </w:t>
      </w:r>
      <w:r w:rsidR="002D25B7">
        <w:t>scheme’s</w:t>
      </w:r>
      <w:r w:rsidR="00C50FFF">
        <w:t xml:space="preserve"> design and </w:t>
      </w:r>
      <w:r w:rsidR="00DA442F">
        <w:t xml:space="preserve">underpinning </w:t>
      </w:r>
      <w:r w:rsidR="00F92B97">
        <w:t>governance</w:t>
      </w:r>
      <w:r w:rsidR="00375754">
        <w:t xml:space="preserve"> arrangements</w:t>
      </w:r>
      <w:r w:rsidR="000229DA">
        <w:t>.</w:t>
      </w:r>
    </w:p>
    <w:p w14:paraId="2BBEA11B" w14:textId="3027F3B4" w:rsidR="002B6EE5" w:rsidRDefault="00B3722A" w:rsidP="00353B3B">
      <w:pPr>
        <w:pStyle w:val="EYBodytextwithoutparaspace"/>
      </w:pPr>
      <w:r>
        <w:t>The design of</w:t>
      </w:r>
      <w:r w:rsidR="00BC60AB">
        <w:t xml:space="preserve"> the central implementation body </w:t>
      </w:r>
      <w:r w:rsidR="00AB0BAD">
        <w:t>is crucial to</w:t>
      </w:r>
      <w:r w:rsidR="00BC60AB">
        <w:t xml:space="preserve"> </w:t>
      </w:r>
      <w:r w:rsidR="00C83123">
        <w:t xml:space="preserve">the scheme’s success. </w:t>
      </w:r>
      <w:r w:rsidR="00BC60AB">
        <w:t xml:space="preserve">There are </w:t>
      </w:r>
      <w:r w:rsidR="00AB0BAD">
        <w:t>several</w:t>
      </w:r>
      <w:r w:rsidR="00BC60AB">
        <w:t xml:space="preserve"> </w:t>
      </w:r>
      <w:r w:rsidR="00C83123">
        <w:t>important</w:t>
      </w:r>
      <w:r w:rsidR="00BC60AB">
        <w:t xml:space="preserve"> design feature</w:t>
      </w:r>
      <w:r w:rsidR="00AB0BAD">
        <w:t>s</w:t>
      </w:r>
      <w:r w:rsidR="00BC60AB">
        <w:t xml:space="preserve"> </w:t>
      </w:r>
      <w:r w:rsidR="00C83123">
        <w:t>which need to be settled including the scheme’s</w:t>
      </w:r>
      <w:r w:rsidR="00BC60AB">
        <w:t xml:space="preserve"> governance, supporting IT</w:t>
      </w:r>
      <w:r w:rsidR="00C83123">
        <w:t xml:space="preserve"> and delivery timeframes.</w:t>
      </w:r>
    </w:p>
    <w:p w14:paraId="5DB0322F" w14:textId="3F4B555B" w:rsidR="00BC60AB" w:rsidRPr="002B6EE5" w:rsidRDefault="00BC60AB" w:rsidP="00353B3B">
      <w:pPr>
        <w:pStyle w:val="EYBodytextwithoutparaspace"/>
      </w:pPr>
      <w:r>
        <w:t xml:space="preserve">This chapter details </w:t>
      </w:r>
      <w:r w:rsidR="00C83123">
        <w:t xml:space="preserve">major feedback on design and delivery from stakeholders, </w:t>
      </w:r>
      <w:r w:rsidR="00B66C54">
        <w:t>and how the central implementation body could be designed moving forward.</w:t>
      </w:r>
    </w:p>
    <w:p w14:paraId="0AE9700E" w14:textId="77777777" w:rsidR="009E24CC" w:rsidRDefault="009E24CC" w:rsidP="009E24CC">
      <w:pPr>
        <w:pStyle w:val="EYHeading2"/>
      </w:pPr>
      <w:bookmarkStart w:id="49" w:name="_Toc115717090"/>
      <w:r>
        <w:t>Stakeholder engagement</w:t>
      </w:r>
      <w:bookmarkEnd w:id="49"/>
    </w:p>
    <w:p w14:paraId="02E68B11" w14:textId="37CC05BA" w:rsidR="002478C3" w:rsidRDefault="002478C3" w:rsidP="00353B3B">
      <w:pPr>
        <w:pStyle w:val="EYBodytextwithoutparaspace"/>
      </w:pPr>
      <w:r>
        <w:t xml:space="preserve">As part of this </w:t>
      </w:r>
      <w:r w:rsidR="007C722E">
        <w:t>briefing paper</w:t>
      </w:r>
      <w:r>
        <w:t xml:space="preserve">, EY and the Office of the Chief Scientist </w:t>
      </w:r>
      <w:r w:rsidR="00C83123">
        <w:t>consulted</w:t>
      </w:r>
      <w:r>
        <w:t xml:space="preserve"> stakeholders from a range of sectors, including the publishing market, universities</w:t>
      </w:r>
      <w:r w:rsidR="00641319">
        <w:t>,</w:t>
      </w:r>
      <w:r>
        <w:t xml:space="preserve"> research institutions, industry, and government. A complete list of stakeholders is provided in Appendix </w:t>
      </w:r>
      <w:r w:rsidR="00E429D0">
        <w:t>B</w:t>
      </w:r>
      <w:r>
        <w:t>.</w:t>
      </w:r>
    </w:p>
    <w:p w14:paraId="1B29C791" w14:textId="6C7227FE" w:rsidR="00367A8B" w:rsidRDefault="002478C3" w:rsidP="00353B3B">
      <w:pPr>
        <w:pStyle w:val="EYBodytextwithoutparaspace"/>
      </w:pPr>
      <w:r>
        <w:t xml:space="preserve">Stakeholders across all groups strongly supported Australia’s open access scheme and the driving principles behind the model. Stakeholders </w:t>
      </w:r>
      <w:r w:rsidR="002D0542">
        <w:t>emphasised the scheme’s p</w:t>
      </w:r>
      <w:r w:rsidR="00F25D6B">
        <w:t>otential to:</w:t>
      </w:r>
    </w:p>
    <w:p w14:paraId="60F795FA" w14:textId="329C79D5" w:rsidR="00F25D6B" w:rsidRPr="00701100" w:rsidRDefault="00F25D6B" w:rsidP="00701100">
      <w:pPr>
        <w:pStyle w:val="EYBulletnoparaspace"/>
        <w:ind w:left="426"/>
      </w:pPr>
      <w:r w:rsidRPr="00701100">
        <w:t>R</w:t>
      </w:r>
      <w:r w:rsidR="002478C3" w:rsidRPr="00701100">
        <w:t xml:space="preserve">educe costs </w:t>
      </w:r>
      <w:r w:rsidR="002D0542">
        <w:t>for current subscribers of academic journals</w:t>
      </w:r>
      <w:r w:rsidR="002478C3" w:rsidRPr="00701100">
        <w:t xml:space="preserve"> </w:t>
      </w:r>
      <w:r w:rsidR="002D0542">
        <w:t>and the research sector more broadly</w:t>
      </w:r>
    </w:p>
    <w:p w14:paraId="66E4FB25" w14:textId="33B4E107" w:rsidR="00F25D6B" w:rsidRPr="00701100" w:rsidRDefault="00F25D6B" w:rsidP="00701100">
      <w:pPr>
        <w:pStyle w:val="EYBulletnoparaspace"/>
        <w:ind w:left="426"/>
      </w:pPr>
      <w:r w:rsidRPr="00701100">
        <w:t>D</w:t>
      </w:r>
      <w:r w:rsidR="002478C3" w:rsidRPr="00701100">
        <w:t>rive new opportunities for commercial innovation</w:t>
      </w:r>
    </w:p>
    <w:p w14:paraId="65D0E5A4" w14:textId="4AADDF5E" w:rsidR="002478C3" w:rsidRPr="00701100" w:rsidRDefault="00F25D6B" w:rsidP="00701100">
      <w:pPr>
        <w:pStyle w:val="EYBulletnoparaspace"/>
        <w:ind w:left="426"/>
      </w:pPr>
      <w:r w:rsidRPr="00701100">
        <w:t>I</w:t>
      </w:r>
      <w:r w:rsidR="002478C3" w:rsidRPr="00701100">
        <w:t>ncrease Australia’s access to academic journals.</w:t>
      </w:r>
    </w:p>
    <w:p w14:paraId="3FD798D5" w14:textId="727A4009" w:rsidR="0018178F" w:rsidRDefault="002D0542" w:rsidP="00BD1F8C">
      <w:pPr>
        <w:pStyle w:val="EYBodytextwithoutparaspace"/>
        <w:spacing w:before="240"/>
      </w:pPr>
      <w:r>
        <w:t>Some c</w:t>
      </w:r>
      <w:r w:rsidR="002478C3">
        <w:t xml:space="preserve">oncerns and key challenges </w:t>
      </w:r>
      <w:r w:rsidR="005C0EF2">
        <w:t xml:space="preserve">for a national open access scheme </w:t>
      </w:r>
      <w:r w:rsidR="00F404A0">
        <w:t xml:space="preserve">were also </w:t>
      </w:r>
      <w:r w:rsidR="002478C3">
        <w:t>raised by stakeholders</w:t>
      </w:r>
      <w:r w:rsidR="00F404A0">
        <w:t xml:space="preserve">. </w:t>
      </w:r>
      <w:r w:rsidR="005C0EF2">
        <w:t>The major</w:t>
      </w:r>
      <w:r w:rsidR="00F404A0">
        <w:t xml:space="preserve"> concerns </w:t>
      </w:r>
      <w:r w:rsidR="005C0EF2">
        <w:t>focused on</w:t>
      </w:r>
      <w:r w:rsidR="00F404A0">
        <w:t xml:space="preserve"> the overall governance and cost</w:t>
      </w:r>
      <w:r w:rsidR="002478C3">
        <w:t xml:space="preserve"> </w:t>
      </w:r>
      <w:r w:rsidR="0069776F">
        <w:t>of</w:t>
      </w:r>
      <w:r w:rsidR="002478C3">
        <w:t xml:space="preserve"> the model</w:t>
      </w:r>
      <w:r w:rsidR="0069776F">
        <w:t xml:space="preserve">, </w:t>
      </w:r>
      <w:r w:rsidR="002478C3">
        <w:t>includ</w:t>
      </w:r>
      <w:r w:rsidR="0069776F">
        <w:t>ing</w:t>
      </w:r>
      <w:r w:rsidR="0018178F">
        <w:t>:</w:t>
      </w:r>
    </w:p>
    <w:p w14:paraId="5683D2D3" w14:textId="43769668" w:rsidR="002C12D3" w:rsidRDefault="0018178F" w:rsidP="00701100">
      <w:pPr>
        <w:pStyle w:val="EYBulletnoparaspace"/>
        <w:ind w:left="426"/>
      </w:pPr>
      <w:r>
        <w:t>T</w:t>
      </w:r>
      <w:r w:rsidR="002478C3">
        <w:t>he potential loss of university autonomy</w:t>
      </w:r>
      <w:r w:rsidR="005C0EF2">
        <w:t xml:space="preserve"> around journal access</w:t>
      </w:r>
    </w:p>
    <w:p w14:paraId="01E43193" w14:textId="6B473E8D" w:rsidR="005C0EF2" w:rsidRDefault="005C0EF2" w:rsidP="00F53F88">
      <w:pPr>
        <w:pStyle w:val="EYBulletnoparaspace"/>
        <w:ind w:left="426"/>
      </w:pPr>
      <w:r>
        <w:t>Issues on future funding sources and the potential for rising operational costs</w:t>
      </w:r>
    </w:p>
    <w:p w14:paraId="010BBE8E" w14:textId="02BBE757" w:rsidR="00EF2ABE" w:rsidRDefault="00796432" w:rsidP="00701100">
      <w:pPr>
        <w:pStyle w:val="EYBulletnoparaspace"/>
        <w:ind w:left="426"/>
      </w:pPr>
      <w:r>
        <w:t xml:space="preserve">The </w:t>
      </w:r>
      <w:r w:rsidR="005C0EF2">
        <w:t xml:space="preserve">required </w:t>
      </w:r>
      <w:r>
        <w:t>l</w:t>
      </w:r>
      <w:r w:rsidR="002478C3">
        <w:t>ead time</w:t>
      </w:r>
      <w:r>
        <w:t xml:space="preserve"> to </w:t>
      </w:r>
      <w:r w:rsidR="006A5431">
        <w:t>develop an operating open access model</w:t>
      </w:r>
    </w:p>
    <w:p w14:paraId="0DEB8EFD" w14:textId="77777777" w:rsidR="00EF2ABE" w:rsidRDefault="00EF2ABE" w:rsidP="00701100">
      <w:pPr>
        <w:pStyle w:val="EYBulletnoparaspace"/>
        <w:ind w:left="426"/>
      </w:pPr>
      <w:r>
        <w:t>H</w:t>
      </w:r>
      <w:r w:rsidR="002478C3">
        <w:t>ow the model authenticates prescribed users</w:t>
      </w:r>
    </w:p>
    <w:p w14:paraId="3CFAF944" w14:textId="5F2D16A6" w:rsidR="00F404A0" w:rsidRDefault="00A142D5" w:rsidP="00701100">
      <w:pPr>
        <w:pStyle w:val="EYBulletnoparaspace"/>
        <w:ind w:left="426"/>
      </w:pPr>
      <w:r>
        <w:t>H</w:t>
      </w:r>
      <w:r w:rsidR="0048460C">
        <w:t>ow the</w:t>
      </w:r>
      <w:r w:rsidR="002478C3">
        <w:t xml:space="preserve"> governance structure</w:t>
      </w:r>
      <w:r w:rsidR="0048460C">
        <w:t xml:space="preserve"> will manage associated risks</w:t>
      </w:r>
      <w:r w:rsidR="002478C3">
        <w:t>.</w:t>
      </w:r>
    </w:p>
    <w:p w14:paraId="0B5FBBE4" w14:textId="2EA0CF3F" w:rsidR="002478C3" w:rsidRPr="00106EFA" w:rsidRDefault="000C540C" w:rsidP="00BD1F8C">
      <w:pPr>
        <w:pStyle w:val="EYBodytextwithoutparaspace"/>
        <w:spacing w:before="240"/>
      </w:pPr>
      <w:r w:rsidRPr="00106EFA">
        <w:t>Overall, s</w:t>
      </w:r>
      <w:r w:rsidR="002478C3" w:rsidRPr="00106EFA">
        <w:t xml:space="preserve">takeholders noted that </w:t>
      </w:r>
      <w:r w:rsidR="005C0EF2">
        <w:t>the preferred</w:t>
      </w:r>
      <w:r w:rsidR="002478C3" w:rsidRPr="00106EFA">
        <w:t xml:space="preserve"> approach to open access could drive significant benefit</w:t>
      </w:r>
      <w:r w:rsidR="005C0EF2">
        <w:t>s</w:t>
      </w:r>
      <w:r w:rsidR="002478C3" w:rsidRPr="00106EFA">
        <w:t xml:space="preserve"> across the Australian research community</w:t>
      </w:r>
      <w:r w:rsidR="005C0EF2">
        <w:t>, businesses and the broader community</w:t>
      </w:r>
      <w:r w:rsidR="002478C3" w:rsidRPr="00106EFA">
        <w:t xml:space="preserve"> but would require </w:t>
      </w:r>
      <w:r w:rsidR="005C0EF2">
        <w:t xml:space="preserve">further </w:t>
      </w:r>
      <w:r w:rsidR="002478C3" w:rsidRPr="00106EFA">
        <w:t>stakeholder buy-in and engagement.</w:t>
      </w:r>
    </w:p>
    <w:p w14:paraId="5291228B" w14:textId="68D3637A" w:rsidR="00987505" w:rsidRDefault="002478C3" w:rsidP="00353B3B">
      <w:pPr>
        <w:pStyle w:val="EYBodytextwithoutparaspace"/>
      </w:pPr>
      <w:r>
        <w:t xml:space="preserve">While stakeholders raised several concerns around the design and deliverability of the central implementation body, </w:t>
      </w:r>
      <w:r w:rsidR="005C0EF2">
        <w:t>the</w:t>
      </w:r>
      <w:r>
        <w:t xml:space="preserve"> issues were considered </w:t>
      </w:r>
      <w:r w:rsidR="005C0EF2">
        <w:t>manageable</w:t>
      </w:r>
      <w:r>
        <w:t xml:space="preserve">. Stakeholders cited that several commercial solutions </w:t>
      </w:r>
      <w:r w:rsidR="005C0EF2">
        <w:t xml:space="preserve">addressed the </w:t>
      </w:r>
      <w:r>
        <w:t>key design issues</w:t>
      </w:r>
      <w:r w:rsidR="00B71862">
        <w:t xml:space="preserve">. </w:t>
      </w:r>
      <w:r w:rsidR="005C0EF2">
        <w:t xml:space="preserve">They also noted considerable </w:t>
      </w:r>
      <w:r w:rsidR="00B71862">
        <w:t>scope for</w:t>
      </w:r>
      <w:r>
        <w:t xml:space="preserve"> Australia </w:t>
      </w:r>
      <w:r w:rsidR="00B71862">
        <w:t>to</w:t>
      </w:r>
      <w:r>
        <w:t xml:space="preserve"> learn from other international </w:t>
      </w:r>
      <w:r w:rsidR="00B71862">
        <w:t>open access</w:t>
      </w:r>
      <w:r>
        <w:t xml:space="preserve"> models to </w:t>
      </w:r>
      <w:r w:rsidR="00013D5B">
        <w:t>successfully</w:t>
      </w:r>
      <w:r>
        <w:t xml:space="preserve"> deliver </w:t>
      </w:r>
      <w:r w:rsidR="00013D5B">
        <w:t>a national</w:t>
      </w:r>
      <w:r>
        <w:t xml:space="preserve"> open access scheme. </w:t>
      </w:r>
      <w:r w:rsidR="00987505">
        <w:t>The following sections outline stakeholder views.</w:t>
      </w:r>
    </w:p>
    <w:p w14:paraId="2E03BAE9" w14:textId="2CE1EA36" w:rsidR="005B43DA" w:rsidRDefault="005B43DA" w:rsidP="0033178E">
      <w:pPr>
        <w:pStyle w:val="EYHeading3"/>
      </w:pPr>
      <w:r>
        <w:lastRenderedPageBreak/>
        <w:t>Publishers</w:t>
      </w:r>
    </w:p>
    <w:p w14:paraId="457FB3AB" w14:textId="3DE1EA01" w:rsidR="002049BD" w:rsidRDefault="002049BD" w:rsidP="00A55AAC">
      <w:pPr>
        <w:pStyle w:val="EYBodytextwithoutparaspace"/>
      </w:pPr>
      <w:r>
        <w:t>Publishers recognised the growing trend towards open access</w:t>
      </w:r>
      <w:r w:rsidR="00530B43">
        <w:t>,</w:t>
      </w:r>
      <w:r>
        <w:t xml:space="preserve"> with governments, consortiums and individual institutions across the globe seeking to move away from ‘pay-to-read’ to </w:t>
      </w:r>
      <w:r w:rsidR="00C1009D">
        <w:t>a</w:t>
      </w:r>
      <w:r>
        <w:t xml:space="preserve"> ‘pay-to-publish’ </w:t>
      </w:r>
      <w:r w:rsidR="00C1009D">
        <w:t>agreement</w:t>
      </w:r>
      <w:r w:rsidR="005C0EF2">
        <w:t>s</w:t>
      </w:r>
      <w:r>
        <w:t>. Publishers also recognised their role in disseminating research, including coordinating the peer review process, typesetting and providing IT infrastructure to enable individuals to read journal publications.</w:t>
      </w:r>
    </w:p>
    <w:p w14:paraId="1645C3AF" w14:textId="7AA14C43" w:rsidR="002860FC" w:rsidRDefault="002049BD" w:rsidP="00A55AAC">
      <w:pPr>
        <w:pStyle w:val="EYBodytextwithoutparaspace"/>
      </w:pPr>
      <w:r>
        <w:t xml:space="preserve">Publishers </w:t>
      </w:r>
      <w:r w:rsidR="005C0EF2">
        <w:t>are</w:t>
      </w:r>
      <w:r>
        <w:t xml:space="preserve"> keen to see how Australia’s proposed model aligns with the shift towards ‘pay-to-publish’ open access agreements. Encouragingly, publishers </w:t>
      </w:r>
      <w:r w:rsidR="005C0EF2">
        <w:t>welcomed</w:t>
      </w:r>
      <w:r>
        <w:t xml:space="preserve"> the level of stakeholder engagement from the Office of the Chief Scientist and </w:t>
      </w:r>
      <w:r w:rsidR="005C0EF2">
        <w:t>that the</w:t>
      </w:r>
      <w:r w:rsidR="002860FC">
        <w:t xml:space="preserve"> role of publishers</w:t>
      </w:r>
      <w:r w:rsidR="005C0EF2">
        <w:t xml:space="preserve"> in the national open access model is being recognised</w:t>
      </w:r>
      <w:r w:rsidR="002860FC">
        <w:t xml:space="preserve">. </w:t>
      </w:r>
    </w:p>
    <w:p w14:paraId="146F44D3" w14:textId="58D69BE6" w:rsidR="002049BD" w:rsidRDefault="002049BD" w:rsidP="00A55AAC">
      <w:pPr>
        <w:pStyle w:val="EYBodytextwithoutparaspace"/>
      </w:pPr>
      <w:r>
        <w:t xml:space="preserve">As the Australian model varies from other approaches by including industry and public </w:t>
      </w:r>
      <w:r w:rsidR="005C0EF2">
        <w:t>users</w:t>
      </w:r>
      <w:r>
        <w:t xml:space="preserve">, </w:t>
      </w:r>
      <w:r w:rsidR="00356763">
        <w:t>p</w:t>
      </w:r>
      <w:r>
        <w:t xml:space="preserve">ublishers emphasised the need for </w:t>
      </w:r>
      <w:r w:rsidR="005C0EF2">
        <w:t>extended</w:t>
      </w:r>
      <w:r>
        <w:t xml:space="preserve"> negotiation lead times, as they will be pricing a new agreement and set of </w:t>
      </w:r>
      <w:r w:rsidR="00C64F37">
        <w:t>readers.</w:t>
      </w:r>
      <w:r>
        <w:t xml:space="preserve"> One major publisher suggested the model would need a 12-month lead </w:t>
      </w:r>
      <w:r w:rsidR="00533053">
        <w:t>ti</w:t>
      </w:r>
      <w:r w:rsidR="005C0EF2">
        <w:t>m</w:t>
      </w:r>
      <w:r w:rsidR="00533053">
        <w:t xml:space="preserve">e </w:t>
      </w:r>
      <w:r>
        <w:t>to negotiate new agreements under the proposed model.</w:t>
      </w:r>
    </w:p>
    <w:p w14:paraId="0BB01963" w14:textId="283F1FBB" w:rsidR="002049BD" w:rsidRDefault="005C0EF2" w:rsidP="00A55AAC">
      <w:pPr>
        <w:pStyle w:val="EYBodytextwithoutparaspace"/>
      </w:pPr>
      <w:r>
        <w:t>Publishers</w:t>
      </w:r>
      <w:r w:rsidR="002049BD">
        <w:t xml:space="preserve"> also emphasised that the current traditional publishing model enables them to continue to promote emerging fields of research by using revenue from </w:t>
      </w:r>
      <w:r w:rsidR="00950DEA">
        <w:t>older established</w:t>
      </w:r>
      <w:r w:rsidR="002049BD">
        <w:t xml:space="preserve"> journals to </w:t>
      </w:r>
      <w:r>
        <w:t>help meet the establishment costs of</w:t>
      </w:r>
      <w:r w:rsidR="002049BD">
        <w:t xml:space="preserve"> new journals</w:t>
      </w:r>
      <w:r w:rsidR="00950DEA">
        <w:t xml:space="preserve"> in different disciplines</w:t>
      </w:r>
      <w:r w:rsidR="002049BD">
        <w:t>. Transitioning from the traditional model may impact their ability to launch new journals and quickly meet demand in a growing field.</w:t>
      </w:r>
    </w:p>
    <w:p w14:paraId="63DF07AF" w14:textId="19BBE32E" w:rsidR="002049BD" w:rsidRDefault="002049BD" w:rsidP="00A55AAC">
      <w:pPr>
        <w:pStyle w:val="EYBodytextwithoutparaspace"/>
      </w:pPr>
      <w:r>
        <w:t xml:space="preserve">The biggest concern from publishers </w:t>
      </w:r>
      <w:r w:rsidR="005C0EF2">
        <w:t>on t</w:t>
      </w:r>
      <w:r>
        <w:t xml:space="preserve">he new model was the potential for users outside Australia to access </w:t>
      </w:r>
      <w:r w:rsidR="00950DEA">
        <w:t>paywalled</w:t>
      </w:r>
      <w:r>
        <w:t xml:space="preserve"> journal articles at no cost. This academic </w:t>
      </w:r>
      <w:r w:rsidR="002E7182">
        <w:t>‘</w:t>
      </w:r>
      <w:r>
        <w:t>leakage</w:t>
      </w:r>
      <w:r w:rsidR="002E7182">
        <w:t>’</w:t>
      </w:r>
      <w:r>
        <w:t xml:space="preserve"> was a key concern </w:t>
      </w:r>
      <w:r w:rsidR="002E7182">
        <w:t xml:space="preserve">that needed to be addressed in </w:t>
      </w:r>
      <w:r w:rsidR="00672581">
        <w:t>authenticat</w:t>
      </w:r>
      <w:r w:rsidR="002E7182">
        <w:t>ing Australian users to</w:t>
      </w:r>
      <w:r>
        <w:t xml:space="preserve"> </w:t>
      </w:r>
      <w:r w:rsidR="003761A6">
        <w:t>prevent security breaches.</w:t>
      </w:r>
    </w:p>
    <w:p w14:paraId="1720E102" w14:textId="3ABDDEFE" w:rsidR="0017198F" w:rsidRDefault="002049BD" w:rsidP="00A55AAC">
      <w:pPr>
        <w:pStyle w:val="EYBodytextwithoutparaspace"/>
      </w:pPr>
      <w:r>
        <w:t xml:space="preserve">Moreover, publishers </w:t>
      </w:r>
      <w:r w:rsidR="002E7182">
        <w:t xml:space="preserve">raised issues </w:t>
      </w:r>
      <w:r>
        <w:t xml:space="preserve">about negotiating with a single national purchasing desk. </w:t>
      </w:r>
      <w:r w:rsidR="003761A6">
        <w:t xml:space="preserve">Specifically, they were concerned </w:t>
      </w:r>
      <w:r w:rsidR="002E7182">
        <w:t xml:space="preserve">that </w:t>
      </w:r>
      <w:r w:rsidR="003761A6">
        <w:t xml:space="preserve">with the Australian market being consolidated under one purchasing entity </w:t>
      </w:r>
      <w:r w:rsidR="002E7182">
        <w:t xml:space="preserve">this could erode </w:t>
      </w:r>
      <w:r w:rsidR="003761A6">
        <w:t xml:space="preserve">future and diversified revenue streams. </w:t>
      </w:r>
      <w:r>
        <w:t>While they agreed that CAUL</w:t>
      </w:r>
      <w:r w:rsidR="002E7182">
        <w:t xml:space="preserve"> currently</w:t>
      </w:r>
      <w:r>
        <w:t xml:space="preserve"> acts as one purchasing desk, the proposed model </w:t>
      </w:r>
      <w:r w:rsidR="006125D8">
        <w:t xml:space="preserve">would </w:t>
      </w:r>
      <w:r>
        <w:t xml:space="preserve">consolidate the entire </w:t>
      </w:r>
      <w:r w:rsidR="009824D7">
        <w:t xml:space="preserve">Australian </w:t>
      </w:r>
      <w:r>
        <w:t xml:space="preserve">market into one purchaser. Again, publishers indicated that </w:t>
      </w:r>
      <w:r w:rsidR="002E7182">
        <w:t>comprehensive</w:t>
      </w:r>
      <w:r>
        <w:t xml:space="preserve"> stakeholder </w:t>
      </w:r>
      <w:r w:rsidR="00BB27B2">
        <w:t xml:space="preserve">engagement </w:t>
      </w:r>
      <w:r>
        <w:t>and long</w:t>
      </w:r>
      <w:r w:rsidR="002E7182">
        <w:t>er</w:t>
      </w:r>
      <w:r>
        <w:t xml:space="preserve"> negotiation lead times would support them in </w:t>
      </w:r>
      <w:r w:rsidR="00A55AAC">
        <w:t>striking</w:t>
      </w:r>
      <w:r>
        <w:t xml:space="preserve"> new agreements with the central </w:t>
      </w:r>
      <w:r w:rsidR="00DA3D2A">
        <w:t>implementation</w:t>
      </w:r>
      <w:r>
        <w:t xml:space="preserve"> body.</w:t>
      </w:r>
    </w:p>
    <w:p w14:paraId="46E80964" w14:textId="7F4F5F3E" w:rsidR="00173D95" w:rsidRPr="00173D95" w:rsidRDefault="006A318E" w:rsidP="00E773A4">
      <w:pPr>
        <w:pStyle w:val="EYHeading3"/>
      </w:pPr>
      <w:r>
        <w:t xml:space="preserve">Universities </w:t>
      </w:r>
    </w:p>
    <w:p w14:paraId="39C01273" w14:textId="5581441A" w:rsidR="001A3F26" w:rsidRDefault="000905BC" w:rsidP="00A55AAC">
      <w:pPr>
        <w:pStyle w:val="EYBodytextwithoutparaspace"/>
      </w:pPr>
      <w:r>
        <w:t xml:space="preserve">Universities expressed </w:t>
      </w:r>
      <w:r w:rsidR="001741FF">
        <w:t xml:space="preserve">that </w:t>
      </w:r>
      <w:r>
        <w:t xml:space="preserve">as the primary users and producers of academic research, the </w:t>
      </w:r>
      <w:r w:rsidR="00A55AAC">
        <w:t>proposed</w:t>
      </w:r>
      <w:r>
        <w:t xml:space="preserve"> approach </w:t>
      </w:r>
      <w:r w:rsidR="002E7182">
        <w:t>would have major impacts to them. Buy</w:t>
      </w:r>
      <w:r>
        <w:t xml:space="preserve">-in across the research sector </w:t>
      </w:r>
      <w:r w:rsidR="002E7182">
        <w:t>would thus</w:t>
      </w:r>
      <w:r>
        <w:t xml:space="preserve"> be crucial for the success of the </w:t>
      </w:r>
      <w:r w:rsidR="00251C07">
        <w:t>s</w:t>
      </w:r>
      <w:r>
        <w:t xml:space="preserve">cheme. Universities expressed strong support for the ambition of </w:t>
      </w:r>
      <w:r w:rsidR="00A55AAC">
        <w:t>a national open access scheme.</w:t>
      </w:r>
    </w:p>
    <w:p w14:paraId="459F5467" w14:textId="4BE7FC83" w:rsidR="00E82462" w:rsidRDefault="00E82462" w:rsidP="00A55AAC">
      <w:pPr>
        <w:pStyle w:val="EYBodytextwithoutparaspace"/>
      </w:pPr>
      <w:r>
        <w:t>Universities expressed that the growing costs of journal access continue</w:t>
      </w:r>
      <w:r w:rsidR="002E7182">
        <w:t>s</w:t>
      </w:r>
      <w:r>
        <w:t xml:space="preserve"> to place increased pressure on their library budgets, </w:t>
      </w:r>
      <w:r w:rsidR="002E7182">
        <w:t xml:space="preserve">sometimes leading </w:t>
      </w:r>
      <w:r>
        <w:t xml:space="preserve">them to reduce their journal collection or </w:t>
      </w:r>
      <w:r w:rsidR="002E7182">
        <w:t xml:space="preserve">find savings </w:t>
      </w:r>
      <w:r>
        <w:t xml:space="preserve">elsewhere. </w:t>
      </w:r>
      <w:r w:rsidR="006928F4">
        <w:t>Additionally,</w:t>
      </w:r>
      <w:r>
        <w:t xml:space="preserve"> universities </w:t>
      </w:r>
      <w:r w:rsidR="006928F4">
        <w:t xml:space="preserve">through </w:t>
      </w:r>
      <w:r>
        <w:t xml:space="preserve">CAUL </w:t>
      </w:r>
      <w:r w:rsidR="006928F4">
        <w:t>are attempting</w:t>
      </w:r>
      <w:r>
        <w:t xml:space="preserve"> to negotiate better deals with publishers and reduce the costs of accessing research.</w:t>
      </w:r>
    </w:p>
    <w:p w14:paraId="0C75BCB4" w14:textId="4EC00713" w:rsidR="00E82462" w:rsidRDefault="00E82462" w:rsidP="00A55AAC">
      <w:pPr>
        <w:pStyle w:val="EYBodytextwithoutparaspace"/>
      </w:pPr>
      <w:r>
        <w:t xml:space="preserve">Universities identified that the traditional publishing model </w:t>
      </w:r>
      <w:r w:rsidR="00841EFC">
        <w:t>can be</w:t>
      </w:r>
      <w:r>
        <w:t xml:space="preserve"> inequitable, with </w:t>
      </w:r>
      <w:r w:rsidR="00A55AAC">
        <w:t>academic</w:t>
      </w:r>
      <w:r w:rsidR="00DC6C69">
        <w:t>s</w:t>
      </w:r>
      <w:r w:rsidR="00A55AAC">
        <w:t xml:space="preserve"> </w:t>
      </w:r>
      <w:r>
        <w:t>providing their time to peer</w:t>
      </w:r>
      <w:r w:rsidR="00DC53A4">
        <w:t xml:space="preserve"> </w:t>
      </w:r>
      <w:r>
        <w:t xml:space="preserve">review and referee journals </w:t>
      </w:r>
      <w:r w:rsidR="00190175">
        <w:t>with</w:t>
      </w:r>
      <w:r>
        <w:t xml:space="preserve"> no </w:t>
      </w:r>
      <w:r w:rsidR="00190175">
        <w:t xml:space="preserve">remuneration from </w:t>
      </w:r>
      <w:r>
        <w:t xml:space="preserve">publishers. While this is a </w:t>
      </w:r>
      <w:r w:rsidR="00841EFC">
        <w:t xml:space="preserve">longstanding practice which often is used to further academics’ </w:t>
      </w:r>
      <w:r>
        <w:t xml:space="preserve">fields of research, </w:t>
      </w:r>
      <w:r w:rsidR="00AE79D3">
        <w:t>a</w:t>
      </w:r>
      <w:r w:rsidR="00D60A01" w:rsidRPr="00D60A01">
        <w:t xml:space="preserve"> consequence is that </w:t>
      </w:r>
      <w:r>
        <w:t xml:space="preserve">publishers </w:t>
      </w:r>
      <w:r w:rsidR="00AE79D3">
        <w:t>typically benefit</w:t>
      </w:r>
      <w:r w:rsidR="00562813">
        <w:t xml:space="preserve"> </w:t>
      </w:r>
      <w:r w:rsidR="00C247B4">
        <w:t xml:space="preserve">from </w:t>
      </w:r>
      <w:r w:rsidR="00562813">
        <w:t>access to th</w:t>
      </w:r>
      <w:r w:rsidR="00C247B4">
        <w:t>ese freely provided services.</w:t>
      </w:r>
    </w:p>
    <w:p w14:paraId="1BD4EB3B" w14:textId="4EC1EFBF" w:rsidR="00E82462" w:rsidRDefault="00EA68BC" w:rsidP="00A55AAC">
      <w:pPr>
        <w:pStyle w:val="EYBodytextwithoutparaspace"/>
      </w:pPr>
      <w:r>
        <w:t>U</w:t>
      </w:r>
      <w:r w:rsidR="00E82462">
        <w:t xml:space="preserve">niversities </w:t>
      </w:r>
      <w:r>
        <w:t xml:space="preserve">also </w:t>
      </w:r>
      <w:r w:rsidR="00773D16">
        <w:t xml:space="preserve">suggested </w:t>
      </w:r>
      <w:r w:rsidR="00E82462">
        <w:t>that several new authors are unaware of the publishing process, how to meet the various funder</w:t>
      </w:r>
      <w:r w:rsidR="000905BC">
        <w:t>s’</w:t>
      </w:r>
      <w:r w:rsidR="00E82462">
        <w:t xml:space="preserve"> requirements, and </w:t>
      </w:r>
      <w:r w:rsidR="00403958">
        <w:t xml:space="preserve">how </w:t>
      </w:r>
      <w:r w:rsidR="00E82462">
        <w:t xml:space="preserve">current </w:t>
      </w:r>
      <w:r w:rsidR="00403958">
        <w:t>publishing</w:t>
      </w:r>
      <w:r w:rsidR="00E82462">
        <w:t xml:space="preserve"> agreements transfer copyright to publishers. Universities suggested the </w:t>
      </w:r>
      <w:r w:rsidR="00F421D6">
        <w:t xml:space="preserve">open access </w:t>
      </w:r>
      <w:r w:rsidR="00E82462">
        <w:t xml:space="preserve">model needs to consider these issues, </w:t>
      </w:r>
      <w:r w:rsidR="00E82462">
        <w:lastRenderedPageBreak/>
        <w:t xml:space="preserve">especially around copyright, </w:t>
      </w:r>
      <w:r w:rsidR="00F421D6">
        <w:t>with</w:t>
      </w:r>
      <w:r w:rsidR="00E82462">
        <w:t xml:space="preserve"> the JISC Collective read-and-publish agreements </w:t>
      </w:r>
      <w:r w:rsidR="00F421D6">
        <w:t>being</w:t>
      </w:r>
      <w:r w:rsidR="00E82462">
        <w:t xml:space="preserve"> a good point of reference.</w:t>
      </w:r>
    </w:p>
    <w:p w14:paraId="525105DB" w14:textId="412CEF0C" w:rsidR="00E82462" w:rsidRDefault="00F421D6" w:rsidP="00A55AAC">
      <w:pPr>
        <w:pStyle w:val="EYBodytextwithoutparaspace"/>
      </w:pPr>
      <w:r>
        <w:t>A</w:t>
      </w:r>
      <w:r w:rsidR="00E82462">
        <w:t xml:space="preserve"> critical concern from universities was the potential loss of university autonomy and funding. While universities recognised </w:t>
      </w:r>
      <w:r w:rsidR="00CE2327">
        <w:t xml:space="preserve">that </w:t>
      </w:r>
      <w:r w:rsidR="00E82462">
        <w:t xml:space="preserve">at full </w:t>
      </w:r>
      <w:r w:rsidR="00EA7A3A">
        <w:t>scheme,</w:t>
      </w:r>
      <w:r w:rsidR="00E82462">
        <w:t xml:space="preserve"> </w:t>
      </w:r>
      <w:r w:rsidR="00EA7A3A">
        <w:t>they</w:t>
      </w:r>
      <w:r w:rsidR="00E82462">
        <w:t xml:space="preserve"> will be better off, </w:t>
      </w:r>
      <w:r>
        <w:t>any</w:t>
      </w:r>
      <w:r w:rsidR="00E82462">
        <w:t xml:space="preserve"> loss of funding in the </w:t>
      </w:r>
      <w:r w:rsidR="00203F5E">
        <w:t>transition</w:t>
      </w:r>
      <w:r w:rsidR="00E82462">
        <w:t xml:space="preserve"> </w:t>
      </w:r>
      <w:r>
        <w:t xml:space="preserve">could </w:t>
      </w:r>
      <w:r w:rsidR="001A6CE2">
        <w:t xml:space="preserve">lead to </w:t>
      </w:r>
      <w:r>
        <w:t>reduce</w:t>
      </w:r>
      <w:r w:rsidR="001A6CE2">
        <w:t>d</w:t>
      </w:r>
      <w:r>
        <w:t xml:space="preserve"> subscriptions to </w:t>
      </w:r>
      <w:r w:rsidR="00E82462">
        <w:t>smaller journals that may be specific to their collection.</w:t>
      </w:r>
    </w:p>
    <w:p w14:paraId="795B77C1" w14:textId="2CB4C872" w:rsidR="00E82462" w:rsidRDefault="004D63C0" w:rsidP="00A55AAC">
      <w:pPr>
        <w:pStyle w:val="EYBodytextwithoutparaspace"/>
      </w:pPr>
      <w:r>
        <w:t>A</w:t>
      </w:r>
      <w:r w:rsidR="00E82462">
        <w:t xml:space="preserve">nother </w:t>
      </w:r>
      <w:r w:rsidR="001A6CE2">
        <w:t>issue</w:t>
      </w:r>
      <w:r w:rsidR="00E82462">
        <w:t xml:space="preserve"> for universities was their funding being used to subsidise other stakeholders</w:t>
      </w:r>
      <w:r w:rsidR="007B7C2D">
        <w:t>’</w:t>
      </w:r>
      <w:r w:rsidR="00E82462">
        <w:t xml:space="preserve"> access to academic journals.</w:t>
      </w:r>
      <w:r w:rsidR="001A6CE2">
        <w:t xml:space="preserve"> </w:t>
      </w:r>
      <w:r w:rsidR="009E490F">
        <w:t>Specifically, individual universities were concerned t</w:t>
      </w:r>
      <w:r w:rsidR="001A6CE2">
        <w:t>hat t</w:t>
      </w:r>
      <w:r w:rsidR="009E490F">
        <w:t xml:space="preserve">heir funding </w:t>
      </w:r>
      <w:r w:rsidR="001A6CE2">
        <w:t>c</w:t>
      </w:r>
      <w:r w:rsidR="009E490F">
        <w:t>ould be used to subsidi</w:t>
      </w:r>
      <w:r>
        <w:t>s</w:t>
      </w:r>
      <w:r w:rsidR="009E490F">
        <w:t>e the</w:t>
      </w:r>
      <w:r w:rsidR="001A6CE2">
        <w:t xml:space="preserve"> journal</w:t>
      </w:r>
      <w:r w:rsidR="009E490F">
        <w:t xml:space="preserve"> access of other universities, industry</w:t>
      </w:r>
      <w:r w:rsidR="008F45AE">
        <w:t>,</w:t>
      </w:r>
      <w:r w:rsidR="009E490F">
        <w:t xml:space="preserve"> and</w:t>
      </w:r>
      <w:r w:rsidR="001A6CE2">
        <w:t>/or</w:t>
      </w:r>
      <w:r w:rsidR="009E490F">
        <w:t xml:space="preserve"> the wider Australian community.</w:t>
      </w:r>
    </w:p>
    <w:p w14:paraId="27B5009C" w14:textId="11A50AE1" w:rsidR="006A318E" w:rsidRDefault="006A318E" w:rsidP="00A47434">
      <w:pPr>
        <w:pStyle w:val="EYHeading3"/>
      </w:pPr>
      <w:r>
        <w:t xml:space="preserve">Industry </w:t>
      </w:r>
    </w:p>
    <w:p w14:paraId="4A7C7BA5" w14:textId="1BE39513" w:rsidR="00CE12BF" w:rsidRDefault="00CE12BF" w:rsidP="00226D91">
      <w:pPr>
        <w:pStyle w:val="EYBodytextwithoutparaspace"/>
      </w:pPr>
      <w:r>
        <w:t xml:space="preserve">Industry </w:t>
      </w:r>
      <w:r w:rsidR="000C01D0">
        <w:t xml:space="preserve">stakeholders </w:t>
      </w:r>
      <w:r>
        <w:t xml:space="preserve">expressed strong support for </w:t>
      </w:r>
      <w:r w:rsidR="000C01D0">
        <w:t xml:space="preserve">a national </w:t>
      </w:r>
      <w:r>
        <w:t xml:space="preserve">open access </w:t>
      </w:r>
      <w:r w:rsidR="000C01D0">
        <w:t xml:space="preserve">scheme </w:t>
      </w:r>
      <w:r>
        <w:t xml:space="preserve">and </w:t>
      </w:r>
      <w:r w:rsidR="004D63C0">
        <w:t>how</w:t>
      </w:r>
      <w:r w:rsidR="004B351E">
        <w:t xml:space="preserve"> increased</w:t>
      </w:r>
      <w:r>
        <w:t xml:space="preserve"> access to academic journals could support new research and commercial innovation.</w:t>
      </w:r>
    </w:p>
    <w:p w14:paraId="33991F8B" w14:textId="0D4882A7" w:rsidR="00CE12BF" w:rsidRDefault="000C01D0" w:rsidP="00226D91">
      <w:pPr>
        <w:pStyle w:val="EYBodytextwithoutparaspace"/>
      </w:pPr>
      <w:r>
        <w:t>Apart from</w:t>
      </w:r>
      <w:r w:rsidR="00CE12BF">
        <w:t xml:space="preserve"> </w:t>
      </w:r>
      <w:r>
        <w:t>businesses</w:t>
      </w:r>
      <w:r w:rsidR="00CE12BF">
        <w:t xml:space="preserve"> </w:t>
      </w:r>
      <w:r w:rsidR="00F51F44">
        <w:t>in the</w:t>
      </w:r>
      <w:r w:rsidR="00CE12BF">
        <w:t xml:space="preserve"> health and pharmaceutical</w:t>
      </w:r>
      <w:r w:rsidR="00F51F44">
        <w:t xml:space="preserve"> sectors</w:t>
      </w:r>
      <w:r w:rsidR="00CE12BF">
        <w:t xml:space="preserve">, </w:t>
      </w:r>
      <w:r>
        <w:t>most</w:t>
      </w:r>
      <w:r w:rsidR="00CE12BF">
        <w:t xml:space="preserve"> </w:t>
      </w:r>
      <w:r>
        <w:t xml:space="preserve">businesses do </w:t>
      </w:r>
      <w:r w:rsidR="00CE12BF">
        <w:t xml:space="preserve">not subscribe to academic journals. </w:t>
      </w:r>
      <w:r w:rsidR="00726CF0">
        <w:t>Instead, o</w:t>
      </w:r>
      <w:r w:rsidR="00CE12BF">
        <w:t xml:space="preserve">rganisations </w:t>
      </w:r>
      <w:r>
        <w:t xml:space="preserve">tend to </w:t>
      </w:r>
      <w:r w:rsidR="00CE12BF">
        <w:t>access academic articles from a secondary source (</w:t>
      </w:r>
      <w:r w:rsidR="00A9091D">
        <w:t>such as a</w:t>
      </w:r>
      <w:r w:rsidR="00CE12BF">
        <w:t xml:space="preserve"> university-affiliated</w:t>
      </w:r>
      <w:r w:rsidR="00A9091D">
        <w:t xml:space="preserve"> employee</w:t>
      </w:r>
      <w:r w:rsidR="00CE12BF">
        <w:t>) or look for other accessible sources of information</w:t>
      </w:r>
      <w:r>
        <w:t>, where necessary</w:t>
      </w:r>
      <w:r w:rsidR="00CE12BF">
        <w:t>.</w:t>
      </w:r>
    </w:p>
    <w:p w14:paraId="145BF1DD" w14:textId="70B2CEB9" w:rsidR="00CE12BF" w:rsidRDefault="00CE12BF" w:rsidP="00226D91">
      <w:pPr>
        <w:pStyle w:val="EYBodytextwithoutparaspace"/>
      </w:pPr>
      <w:r>
        <w:t xml:space="preserve">Industry </w:t>
      </w:r>
      <w:r w:rsidR="000C01D0">
        <w:t>stakeholders indicated</w:t>
      </w:r>
      <w:r>
        <w:t xml:space="preserve"> that access to academic literature </w:t>
      </w:r>
      <w:r w:rsidR="000C01D0">
        <w:t>would</w:t>
      </w:r>
      <w:r>
        <w:t xml:space="preserve"> support the early stages of R&amp;D, potentially provide solutions to problems, and support their literature reviews. The impact of open access would be especially prominent for research-intensive organisations and start-ups. </w:t>
      </w:r>
    </w:p>
    <w:p w14:paraId="265A6103" w14:textId="75BAAEB3" w:rsidR="00CE12BF" w:rsidRDefault="00CE12BF" w:rsidP="00226D91">
      <w:pPr>
        <w:pStyle w:val="EYBodytextwithoutparaspace"/>
      </w:pPr>
      <w:r>
        <w:t xml:space="preserve">Industry stakeholders also </w:t>
      </w:r>
      <w:r w:rsidR="000C01D0">
        <w:t>emphasised</w:t>
      </w:r>
      <w:r>
        <w:t xml:space="preserve"> that open access could create a new source of </w:t>
      </w:r>
      <w:r w:rsidR="00CB7664">
        <w:t xml:space="preserve">research </w:t>
      </w:r>
      <w:r>
        <w:t>capital and drive greater linkages between academia and industry. For example, open access could further publicise new research projects to industry, facilitating capital investment and further research</w:t>
      </w:r>
      <w:r w:rsidR="00DC55DC">
        <w:t xml:space="preserve"> funding</w:t>
      </w:r>
      <w:r>
        <w:t>.</w:t>
      </w:r>
    </w:p>
    <w:p w14:paraId="5301CA20" w14:textId="4C6CC037" w:rsidR="00CE12BF" w:rsidRDefault="00CE12BF" w:rsidP="00226D91">
      <w:pPr>
        <w:pStyle w:val="EYBodytextwithoutparaspace"/>
      </w:pPr>
      <w:r>
        <w:t xml:space="preserve">While industry organisations agreed that open access could support more significant levels of research, industry users </w:t>
      </w:r>
      <w:r w:rsidR="00CB7664">
        <w:t>asserted</w:t>
      </w:r>
      <w:r w:rsidR="003436F2">
        <w:t xml:space="preserve"> they </w:t>
      </w:r>
      <w:r w:rsidR="00CB7664">
        <w:t>would</w:t>
      </w:r>
      <w:r>
        <w:t xml:space="preserve"> need the support of research tools to filter </w:t>
      </w:r>
      <w:r w:rsidR="00CB7664">
        <w:t xml:space="preserve">and synthesise </w:t>
      </w:r>
      <w:r>
        <w:t>journal publications.</w:t>
      </w:r>
    </w:p>
    <w:bookmarkEnd w:id="40"/>
    <w:p w14:paraId="571FED5C" w14:textId="472F128E" w:rsidR="006A555B" w:rsidRDefault="006A555B" w:rsidP="006A555B">
      <w:pPr>
        <w:pStyle w:val="EYHeading3"/>
      </w:pPr>
      <w:r>
        <w:t>Government</w:t>
      </w:r>
    </w:p>
    <w:p w14:paraId="7EE1C699" w14:textId="4DCE1117" w:rsidR="006A555B" w:rsidRDefault="006A555B" w:rsidP="00B20A93">
      <w:pPr>
        <w:pStyle w:val="EYBodytextwithoutparaspace"/>
      </w:pPr>
      <w:r>
        <w:t xml:space="preserve">Consulted </w:t>
      </w:r>
      <w:r w:rsidR="009665CC">
        <w:t>g</w:t>
      </w:r>
      <w:r>
        <w:t xml:space="preserve">overnment </w:t>
      </w:r>
      <w:r w:rsidR="009665CC">
        <w:t>d</w:t>
      </w:r>
      <w:r>
        <w:t xml:space="preserve">epartments expressed their strong support </w:t>
      </w:r>
      <w:r w:rsidR="00DC55DC">
        <w:t>for a national</w:t>
      </w:r>
      <w:r>
        <w:t xml:space="preserve"> open access model for Australia and the broader benefits this could bring to the </w:t>
      </w:r>
      <w:r w:rsidR="009665CC">
        <w:t xml:space="preserve">economy and </w:t>
      </w:r>
      <w:r>
        <w:t>community</w:t>
      </w:r>
      <w:r w:rsidR="009665CC">
        <w:t>.</w:t>
      </w:r>
    </w:p>
    <w:p w14:paraId="368CD62A" w14:textId="5DDCCD61" w:rsidR="006A555B" w:rsidRDefault="006A555B" w:rsidP="00B20A93">
      <w:pPr>
        <w:pStyle w:val="EYBodytextwithoutparaspace"/>
      </w:pPr>
      <w:r>
        <w:t xml:space="preserve">The Digital Transformation Agency expressed support for utilising existing platforms and technologies. They </w:t>
      </w:r>
      <w:r w:rsidR="009665CC">
        <w:t>confirmed</w:t>
      </w:r>
      <w:r>
        <w:t xml:space="preserve"> that several existing commercial solutions </w:t>
      </w:r>
      <w:r w:rsidR="009665CC">
        <w:t>c</w:t>
      </w:r>
      <w:r>
        <w:t xml:space="preserve">ould solve the authentication of prescribed users </w:t>
      </w:r>
      <w:r w:rsidR="009665CC">
        <w:t xml:space="preserve">within a national </w:t>
      </w:r>
      <w:r>
        <w:t xml:space="preserve">open access scheme. They also agreed </w:t>
      </w:r>
      <w:r w:rsidR="00DC55DC">
        <w:t>that</w:t>
      </w:r>
      <w:r>
        <w:t xml:space="preserve"> focus</w:t>
      </w:r>
      <w:r w:rsidR="00DC55DC">
        <w:t>sing</w:t>
      </w:r>
      <w:r>
        <w:t xml:space="preserve"> on a simple solution that captures the majority of the </w:t>
      </w:r>
      <w:r w:rsidR="00DC55DC">
        <w:t xml:space="preserve">scheme’s </w:t>
      </w:r>
      <w:r>
        <w:t xml:space="preserve">requirements was the best way forward and </w:t>
      </w:r>
      <w:r w:rsidR="009665CC">
        <w:t>c</w:t>
      </w:r>
      <w:r>
        <w:t xml:space="preserve">ould reduce the costs and delivery timeframes </w:t>
      </w:r>
      <w:r w:rsidR="00DC55DC">
        <w:t>overall</w:t>
      </w:r>
      <w:r>
        <w:t>.</w:t>
      </w:r>
    </w:p>
    <w:p w14:paraId="5400E964" w14:textId="55751F23" w:rsidR="006A555B" w:rsidRDefault="006A555B" w:rsidP="00B20A93">
      <w:pPr>
        <w:pStyle w:val="EYBodytextwithoutparaspace"/>
      </w:pPr>
      <w:r>
        <w:t xml:space="preserve">Departments responsible for wider government policy and fiscal budgets indicated that clearly defining the next steps for government </w:t>
      </w:r>
      <w:r w:rsidR="009665CC">
        <w:t>would be</w:t>
      </w:r>
      <w:r>
        <w:t xml:space="preserve"> essential to moving the scheme forward, including </w:t>
      </w:r>
      <w:r w:rsidR="009665CC">
        <w:t>securing</w:t>
      </w:r>
      <w:r>
        <w:t xml:space="preserve"> cross-departmental and minister</w:t>
      </w:r>
      <w:r w:rsidR="009665CC">
        <w:t>ial</w:t>
      </w:r>
      <w:r>
        <w:t xml:space="preserve"> support.</w:t>
      </w:r>
    </w:p>
    <w:p w14:paraId="42067CE4" w14:textId="41A34D6A" w:rsidR="006A555B" w:rsidRDefault="006A555B" w:rsidP="00B20A93">
      <w:pPr>
        <w:pStyle w:val="EYBodytextwithoutparaspace"/>
      </w:pPr>
      <w:r>
        <w:t xml:space="preserve">Interestingly, the Department of Defence identified that academic research was crucial to national security. Specifically, the Department engages in horizon scanning of future technologies to identify critical developments within the defence, aerospace and IT space. The </w:t>
      </w:r>
      <w:r w:rsidR="003F2133">
        <w:t>D</w:t>
      </w:r>
      <w:r>
        <w:t xml:space="preserve">epartment also indicated </w:t>
      </w:r>
      <w:r w:rsidR="007E3403">
        <w:t xml:space="preserve">it </w:t>
      </w:r>
      <w:r w:rsidR="003F2133">
        <w:t xml:space="preserve">incurs direct costs to </w:t>
      </w:r>
      <w:r>
        <w:t>access</w:t>
      </w:r>
      <w:r w:rsidR="003F2133">
        <w:t xml:space="preserve"> </w:t>
      </w:r>
      <w:r>
        <w:t>academic literature and ha</w:t>
      </w:r>
      <w:r w:rsidR="003F2133">
        <w:t>s</w:t>
      </w:r>
      <w:r>
        <w:t xml:space="preserve"> invested heavily in developing </w:t>
      </w:r>
      <w:r>
        <w:lastRenderedPageBreak/>
        <w:t>this capability.</w:t>
      </w:r>
      <w:r w:rsidR="005D26E7">
        <w:t xml:space="preserve"> An open access model would reduce these operating costs and improve </w:t>
      </w:r>
      <w:r w:rsidR="003F2133">
        <w:t>the Department’s</w:t>
      </w:r>
      <w:r w:rsidR="005D26E7">
        <w:t xml:space="preserve"> horizon scanning capabilities. </w:t>
      </w:r>
    </w:p>
    <w:p w14:paraId="22C66388" w14:textId="30925F40" w:rsidR="00524157" w:rsidRDefault="006A555B" w:rsidP="00B20A93">
      <w:pPr>
        <w:pStyle w:val="EYBodytextwithoutparaspace"/>
      </w:pPr>
      <w:r>
        <w:t xml:space="preserve">The Australia Competition and Consumer Commission identified that further advice would be needed to ensure the proposed open access scheme </w:t>
      </w:r>
      <w:r w:rsidR="00C57C13">
        <w:t>complied with</w:t>
      </w:r>
      <w:r>
        <w:t xml:space="preserve"> Australian competition laws. </w:t>
      </w:r>
      <w:r w:rsidR="00C57C13">
        <w:t xml:space="preserve">While the Commission confirmed that a national open access scheme has a strong public benefit rationale and competition issues are likely to be minimal, they </w:t>
      </w:r>
      <w:r>
        <w:t xml:space="preserve">suggested that </w:t>
      </w:r>
      <w:r w:rsidR="00C57C13">
        <w:t>further legal advice on this issue could support ongoing design and delivery activities.</w:t>
      </w:r>
    </w:p>
    <w:p w14:paraId="0000206D" w14:textId="1F1818D1" w:rsidR="00477AFA" w:rsidRDefault="00C604CC" w:rsidP="00F505BA">
      <w:pPr>
        <w:pStyle w:val="EYHeading2"/>
      </w:pPr>
      <w:bookmarkStart w:id="50" w:name="_Toc115717091"/>
      <w:r>
        <w:t>Governance</w:t>
      </w:r>
      <w:bookmarkEnd w:id="50"/>
    </w:p>
    <w:p w14:paraId="0FC98ECC" w14:textId="5F2B68F3" w:rsidR="00945484" w:rsidRPr="006119F9" w:rsidRDefault="00945484" w:rsidP="00524157">
      <w:pPr>
        <w:pStyle w:val="EYBodytextwithoutparaspace"/>
      </w:pPr>
      <w:r w:rsidRPr="006119F9">
        <w:t xml:space="preserve">Governance of the central implementation model </w:t>
      </w:r>
      <w:r w:rsidR="00AF4C66">
        <w:t xml:space="preserve">will be crucial to the </w:t>
      </w:r>
      <w:r w:rsidRPr="006119F9">
        <w:t>successful deliver</w:t>
      </w:r>
      <w:r w:rsidR="00AF4C66">
        <w:t>y of</w:t>
      </w:r>
      <w:r w:rsidRPr="006119F9">
        <w:t xml:space="preserve"> </w:t>
      </w:r>
      <w:r w:rsidR="00B30339">
        <w:t>a national</w:t>
      </w:r>
      <w:r w:rsidRPr="006119F9">
        <w:t xml:space="preserve"> open access scheme. </w:t>
      </w:r>
      <w:r w:rsidR="00AF4C66">
        <w:t>T</w:t>
      </w:r>
      <w:r w:rsidRPr="006119F9">
        <w:t xml:space="preserve">he central implementation body will need a clear governance framework with established decision-making </w:t>
      </w:r>
      <w:r w:rsidR="00AF4C66" w:rsidRPr="006119F9">
        <w:t>functions</w:t>
      </w:r>
      <w:r w:rsidR="00AF4C66">
        <w:t xml:space="preserve"> and</w:t>
      </w:r>
      <w:r w:rsidRPr="006119F9">
        <w:t xml:space="preserve"> monitoring and reporting structures with significant representation </w:t>
      </w:r>
      <w:r w:rsidR="00AF4C66">
        <w:t>from</w:t>
      </w:r>
      <w:r w:rsidRPr="006119F9">
        <w:t xml:space="preserve"> major stakeholders.</w:t>
      </w:r>
    </w:p>
    <w:p w14:paraId="4277E7F3" w14:textId="643701AE" w:rsidR="00945484" w:rsidRPr="006119F9" w:rsidRDefault="00945484" w:rsidP="00524157">
      <w:pPr>
        <w:pStyle w:val="EYBodytextwithoutparaspace"/>
      </w:pPr>
      <w:r w:rsidRPr="006119F9">
        <w:t>Australia's open access scheme has some unique features which will challenge implementation and roll-out</w:t>
      </w:r>
      <w:r w:rsidR="00730F2E">
        <w:t>:</w:t>
      </w:r>
    </w:p>
    <w:p w14:paraId="5959F39B" w14:textId="12FAADE0" w:rsidR="00945484" w:rsidRPr="006119F9" w:rsidRDefault="00945484" w:rsidP="000125A6">
      <w:pPr>
        <w:pStyle w:val="EYBulletedText1"/>
        <w:numPr>
          <w:ilvl w:val="0"/>
          <w:numId w:val="19"/>
        </w:numPr>
      </w:pPr>
      <w:r w:rsidRPr="006119F9">
        <w:t>A</w:t>
      </w:r>
      <w:r w:rsidR="004A2654">
        <w:t>ccounting for a</w:t>
      </w:r>
      <w:r w:rsidRPr="006119F9">
        <w:t xml:space="preserve">n extensive range of stakeholders </w:t>
      </w:r>
      <w:r w:rsidR="000A2F7D">
        <w:t xml:space="preserve">that </w:t>
      </w:r>
      <w:r w:rsidRPr="006119F9">
        <w:t>are heavily invested in providing open access to academic literature.</w:t>
      </w:r>
    </w:p>
    <w:p w14:paraId="6AE366FC" w14:textId="41D20650" w:rsidR="00945484" w:rsidRPr="006119F9" w:rsidRDefault="00945484" w:rsidP="000125A6">
      <w:pPr>
        <w:pStyle w:val="EYBulletedText1"/>
        <w:numPr>
          <w:ilvl w:val="0"/>
          <w:numId w:val="19"/>
        </w:numPr>
      </w:pPr>
      <w:r w:rsidRPr="006119F9">
        <w:t>Unwinding or transitioning longstanding universities</w:t>
      </w:r>
      <w:r w:rsidR="00283304">
        <w:t>’</w:t>
      </w:r>
      <w:r w:rsidRPr="006119F9">
        <w:t xml:space="preserve"> and research organisations</w:t>
      </w:r>
      <w:r w:rsidR="00616E41">
        <w:t>’</w:t>
      </w:r>
      <w:r w:rsidRPr="006119F9">
        <w:t xml:space="preserve"> publishing and access arrangements with publishers.</w:t>
      </w:r>
    </w:p>
    <w:p w14:paraId="30F2BE0B" w14:textId="0A72748C" w:rsidR="00945484" w:rsidRPr="006119F9" w:rsidRDefault="00945484" w:rsidP="000125A6">
      <w:pPr>
        <w:pStyle w:val="EYBulletedText1"/>
        <w:numPr>
          <w:ilvl w:val="0"/>
          <w:numId w:val="19"/>
        </w:numPr>
      </w:pPr>
      <w:r w:rsidRPr="006119F9">
        <w:t>Setting up supporting IT infrastructure exposed to timing, cost</w:t>
      </w:r>
      <w:r w:rsidR="002523B0">
        <w:t xml:space="preserve"> and</w:t>
      </w:r>
      <w:r w:rsidRPr="006119F9">
        <w:t xml:space="preserve"> technical and operational continuity risks.</w:t>
      </w:r>
    </w:p>
    <w:p w14:paraId="6B71866F" w14:textId="5EAA74BF" w:rsidR="00945484" w:rsidRPr="006119F9" w:rsidRDefault="00945484" w:rsidP="000125A6">
      <w:pPr>
        <w:pStyle w:val="EYBulletedText1"/>
        <w:numPr>
          <w:ilvl w:val="0"/>
          <w:numId w:val="19"/>
        </w:numPr>
      </w:pPr>
      <w:r w:rsidRPr="006119F9">
        <w:t xml:space="preserve">Striking new </w:t>
      </w:r>
      <w:r w:rsidR="00730F2E">
        <w:t>—</w:t>
      </w:r>
      <w:r w:rsidRPr="006119F9">
        <w:t xml:space="preserve"> and newly structured </w:t>
      </w:r>
      <w:r w:rsidR="00730F2E">
        <w:t>—</w:t>
      </w:r>
      <w:r w:rsidRPr="006119F9">
        <w:t xml:space="preserve"> access arrangements with a diverse set of publishers at acceptable terms and costs.</w:t>
      </w:r>
    </w:p>
    <w:p w14:paraId="484EA894" w14:textId="584D1A86" w:rsidR="00C41A7A" w:rsidRDefault="00AF5955" w:rsidP="00524157">
      <w:pPr>
        <w:pStyle w:val="EYBodytextwithoutparaspace"/>
      </w:pPr>
      <w:r>
        <w:br/>
      </w:r>
      <w:r w:rsidR="00CA7673">
        <w:t>Considering the potential cost of the scheme and</w:t>
      </w:r>
      <w:r w:rsidR="008C19F5">
        <w:t xml:space="preserve"> </w:t>
      </w:r>
      <w:r w:rsidR="00CA7673">
        <w:t xml:space="preserve">delivery risks, </w:t>
      </w:r>
      <w:r w:rsidR="00B53496">
        <w:t xml:space="preserve">utilising </w:t>
      </w:r>
      <w:r w:rsidR="00BF0398">
        <w:t>existing capability and knowledge across university libraries, government and academi</w:t>
      </w:r>
      <w:r w:rsidR="00AF4C66">
        <w:t>a</w:t>
      </w:r>
      <w:r w:rsidR="00BF0398">
        <w:t xml:space="preserve"> will be crucial to managing the challenges facing the scheme. </w:t>
      </w:r>
      <w:r w:rsidR="00C41A7A">
        <w:t>While the open access scheme faces challenges, stakeholder</w:t>
      </w:r>
      <w:r w:rsidR="000A5B9D">
        <w:t>s</w:t>
      </w:r>
      <w:r w:rsidR="00C41A7A">
        <w:t xml:space="preserve"> </w:t>
      </w:r>
      <w:r w:rsidR="00071370">
        <w:t>strongly support</w:t>
      </w:r>
      <w:r w:rsidR="000A5B9D">
        <w:t xml:space="preserve"> the </w:t>
      </w:r>
      <w:r w:rsidR="00AF4C66">
        <w:t xml:space="preserve">rationale of an </w:t>
      </w:r>
      <w:r w:rsidR="000A5B9D">
        <w:t xml:space="preserve">open access scheme, and </w:t>
      </w:r>
      <w:r w:rsidR="004B131C">
        <w:t xml:space="preserve">stakeholder buy-in </w:t>
      </w:r>
      <w:r w:rsidR="004F674C">
        <w:t>will</w:t>
      </w:r>
      <w:r w:rsidR="000A5B9D">
        <w:t xml:space="preserve"> </w:t>
      </w:r>
      <w:r w:rsidR="00AF4C66">
        <w:t xml:space="preserve">help </w:t>
      </w:r>
      <w:r w:rsidR="000A5B9D">
        <w:t xml:space="preserve">mitigate </w:t>
      </w:r>
      <w:r w:rsidR="00AF4C66">
        <w:t>several</w:t>
      </w:r>
      <w:r w:rsidR="004F674C">
        <w:t xml:space="preserve"> implementation risks.</w:t>
      </w:r>
    </w:p>
    <w:p w14:paraId="4F3A9EB7" w14:textId="0492B1EA" w:rsidR="000A5B9D" w:rsidRDefault="004F674C" w:rsidP="00524157">
      <w:pPr>
        <w:pStyle w:val="EYBodytextwithoutparaspace"/>
      </w:pPr>
      <w:r>
        <w:t xml:space="preserve">Australia is in strong position to learn from other </w:t>
      </w:r>
      <w:r w:rsidR="00AF4C66">
        <w:t xml:space="preserve">international </w:t>
      </w:r>
      <w:r>
        <w:t xml:space="preserve">approaches </w:t>
      </w:r>
      <w:r w:rsidR="00AF4C66">
        <w:t>for</w:t>
      </w:r>
      <w:r>
        <w:t xml:space="preserve"> open access</w:t>
      </w:r>
      <w:r w:rsidR="00AF4C66">
        <w:t>,</w:t>
      </w:r>
      <w:r>
        <w:t xml:space="preserve"> including </w:t>
      </w:r>
      <w:r w:rsidR="007D3839">
        <w:t>government</w:t>
      </w:r>
      <w:r w:rsidR="00AF4C66">
        <w:t>-</w:t>
      </w:r>
      <w:r w:rsidR="007D3839">
        <w:t xml:space="preserve">led </w:t>
      </w:r>
      <w:r w:rsidR="00D949AC">
        <w:t>negotiations</w:t>
      </w:r>
      <w:r w:rsidR="007D3839">
        <w:t xml:space="preserve"> and consortia</w:t>
      </w:r>
      <w:r w:rsidR="00AF4C66">
        <w:t>-</w:t>
      </w:r>
      <w:r w:rsidR="007D3839">
        <w:t>type approaches</w:t>
      </w:r>
      <w:r w:rsidR="00AF4C66">
        <w:t>,</w:t>
      </w:r>
      <w:r w:rsidR="007D3839">
        <w:t xml:space="preserve"> as demonstrated by CAUL. This </w:t>
      </w:r>
      <w:r w:rsidR="00D949AC">
        <w:t xml:space="preserve">movement demonstrates the growing </w:t>
      </w:r>
      <w:r w:rsidR="00AF4C66">
        <w:t>objective</w:t>
      </w:r>
      <w:r w:rsidR="00D949AC">
        <w:t xml:space="preserve"> </w:t>
      </w:r>
      <w:r w:rsidR="00AF4C66">
        <w:t>of</w:t>
      </w:r>
      <w:r w:rsidR="006C0F93">
        <w:t xml:space="preserve"> the international and Australian research community </w:t>
      </w:r>
      <w:r w:rsidR="00B07C33">
        <w:t>to</w:t>
      </w:r>
      <w:r w:rsidR="006C0F93">
        <w:t xml:space="preserve"> reduc</w:t>
      </w:r>
      <w:r w:rsidR="00B07C33">
        <w:t>e</w:t>
      </w:r>
      <w:r w:rsidR="006C0F93">
        <w:t xml:space="preserve"> publisher paywalls </w:t>
      </w:r>
      <w:r w:rsidR="005C696F">
        <w:t xml:space="preserve">which Australia can leverage </w:t>
      </w:r>
      <w:r w:rsidR="00FA202D">
        <w:t xml:space="preserve">to establish a new open </w:t>
      </w:r>
      <w:r w:rsidR="005C696F">
        <w:t>access scheme.</w:t>
      </w:r>
    </w:p>
    <w:p w14:paraId="7CA2EF2B" w14:textId="139D029A" w:rsidR="00945484" w:rsidRPr="00106EFA" w:rsidRDefault="00945484" w:rsidP="00524157">
      <w:pPr>
        <w:pStyle w:val="EYBodytextwithoutparaspace"/>
        <w:rPr>
          <w:rFonts w:ascii="EYInterstate" w:hAnsi="EYInterstate"/>
          <w:sz w:val="24"/>
          <w:szCs w:val="24"/>
        </w:rPr>
      </w:pPr>
      <w:r w:rsidRPr="00106EFA">
        <w:rPr>
          <w:rFonts w:ascii="EYInterstate" w:hAnsi="EYInterstate"/>
          <w:sz w:val="24"/>
          <w:szCs w:val="24"/>
        </w:rPr>
        <w:t>Managing Australia’s open access scheme</w:t>
      </w:r>
    </w:p>
    <w:p w14:paraId="0968EF5D" w14:textId="095263BB" w:rsidR="0057140E" w:rsidRPr="005F0A1E" w:rsidRDefault="00945484" w:rsidP="005F0A1E">
      <w:pPr>
        <w:pStyle w:val="EYBodytextwithoutparaspace"/>
      </w:pPr>
      <w:r w:rsidRPr="005F0A1E">
        <w:t xml:space="preserve">Governance structures </w:t>
      </w:r>
      <w:r w:rsidR="005C696F" w:rsidRPr="005F0A1E">
        <w:t xml:space="preserve">for </w:t>
      </w:r>
      <w:r w:rsidRPr="005F0A1E">
        <w:t xml:space="preserve">the central implementation </w:t>
      </w:r>
      <w:r w:rsidR="005C696F" w:rsidRPr="005F0A1E">
        <w:t xml:space="preserve">body </w:t>
      </w:r>
      <w:r w:rsidRPr="005F0A1E">
        <w:t>will require high levels of procedural integrity, technical advice, and commercial acumen. The central implementation body will need to have delegated authority to enter into agreements with publis</w:t>
      </w:r>
      <w:r w:rsidR="00595FCB" w:rsidRPr="005F0A1E">
        <w:t>hers</w:t>
      </w:r>
      <w:r w:rsidRPr="005F0A1E">
        <w:t xml:space="preserve">, leading to a commercial decision around costs and terms acceptable to Australian taxpayers. </w:t>
      </w:r>
    </w:p>
    <w:p w14:paraId="63BD52E6" w14:textId="3FBB330C" w:rsidR="00AE22A6" w:rsidRPr="005F0A1E" w:rsidRDefault="0057140E" w:rsidP="0024712B">
      <w:pPr>
        <w:pStyle w:val="EYBodytextwithoutparaspace"/>
      </w:pPr>
      <w:r w:rsidRPr="005F0A1E">
        <w:t>Further</w:t>
      </w:r>
      <w:r w:rsidR="00945484" w:rsidRPr="005F0A1E">
        <w:t xml:space="preserve">, </w:t>
      </w:r>
      <w:r w:rsidR="00E84386" w:rsidRPr="005F0A1E">
        <w:t xml:space="preserve">the success of the scheme will rely on </w:t>
      </w:r>
      <w:r w:rsidR="00992809">
        <w:t xml:space="preserve">effectively </w:t>
      </w:r>
      <w:r w:rsidR="00E84386" w:rsidRPr="005F0A1E">
        <w:t xml:space="preserve">transitioning </w:t>
      </w:r>
      <w:r w:rsidR="00F97636" w:rsidRPr="005F0A1E">
        <w:t>universities to the new central implementation body model.</w:t>
      </w:r>
      <w:r w:rsidR="00992809">
        <w:t xml:space="preserve"> U</w:t>
      </w:r>
      <w:r w:rsidR="004D0BB5" w:rsidRPr="005F0A1E">
        <w:t xml:space="preserve">niversities </w:t>
      </w:r>
      <w:r w:rsidR="00992809">
        <w:t xml:space="preserve">are the largest subscription base </w:t>
      </w:r>
      <w:r w:rsidR="004D0BB5" w:rsidRPr="005F0A1E">
        <w:t xml:space="preserve">in terms of </w:t>
      </w:r>
      <w:r w:rsidR="00992809">
        <w:t xml:space="preserve">their </w:t>
      </w:r>
      <w:r w:rsidR="004D0BB5" w:rsidRPr="005F0A1E">
        <w:t>expenditure</w:t>
      </w:r>
      <w:r w:rsidR="00992809">
        <w:t>s</w:t>
      </w:r>
      <w:r w:rsidR="004D0BB5" w:rsidRPr="005F0A1E">
        <w:t xml:space="preserve"> and levels of access. The</w:t>
      </w:r>
      <w:r w:rsidR="00EC3A30" w:rsidRPr="005F0A1E">
        <w:t xml:space="preserve"> scheme proposes one central access point to all academic journals</w:t>
      </w:r>
      <w:r w:rsidR="00AE22A6" w:rsidRPr="005F0A1E">
        <w:t xml:space="preserve"> </w:t>
      </w:r>
      <w:r w:rsidR="00992809">
        <w:t xml:space="preserve">which </w:t>
      </w:r>
      <w:r w:rsidR="00AE22A6" w:rsidRPr="005F0A1E">
        <w:t>leverage</w:t>
      </w:r>
      <w:r w:rsidR="008E7941">
        <w:t>s</w:t>
      </w:r>
      <w:r w:rsidR="00AE22A6" w:rsidRPr="005F0A1E">
        <w:t xml:space="preserve"> existing expenditure</w:t>
      </w:r>
      <w:r w:rsidR="00992809">
        <w:t>s</w:t>
      </w:r>
      <w:r w:rsidR="00AE22A6" w:rsidRPr="005F0A1E">
        <w:t xml:space="preserve"> within the system.</w:t>
      </w:r>
    </w:p>
    <w:p w14:paraId="4C321B16" w14:textId="19460019" w:rsidR="00945484" w:rsidRPr="005F0A1E" w:rsidRDefault="00945484" w:rsidP="0024712B">
      <w:pPr>
        <w:pStyle w:val="EYBodytextwithoutparaspace"/>
      </w:pPr>
      <w:r w:rsidRPr="005F0A1E">
        <w:t xml:space="preserve">Considering these factors, the central implementation body will need to be delivered with a project management discipline and internal resourcing </w:t>
      </w:r>
      <w:proofErr w:type="gramStart"/>
      <w:r w:rsidRPr="005F0A1E">
        <w:t xml:space="preserve">similar </w:t>
      </w:r>
      <w:r w:rsidR="008E7941">
        <w:t>to</w:t>
      </w:r>
      <w:proofErr w:type="gramEnd"/>
      <w:r w:rsidR="008E7941">
        <w:t xml:space="preserve"> </w:t>
      </w:r>
      <w:r w:rsidR="00EC2F14" w:rsidRPr="005F0A1E">
        <w:t>other national schemes</w:t>
      </w:r>
      <w:r w:rsidRPr="005F0A1E">
        <w:t>.</w:t>
      </w:r>
    </w:p>
    <w:p w14:paraId="5855C279" w14:textId="5B09C50F" w:rsidR="00683293" w:rsidRPr="009B76E8" w:rsidRDefault="00683293" w:rsidP="0024712B">
      <w:pPr>
        <w:pStyle w:val="EYBodytextwithparaspace"/>
        <w:spacing w:line="240" w:lineRule="auto"/>
        <w:rPr>
          <w:color w:val="auto"/>
        </w:rPr>
      </w:pPr>
      <w:r w:rsidRPr="009B76E8">
        <w:rPr>
          <w:color w:val="auto"/>
        </w:rPr>
        <w:lastRenderedPageBreak/>
        <w:t xml:space="preserve">Successful implementation of a national open access scheme will require a robust fit-for-purpose governance structure. New governance arrangements </w:t>
      </w:r>
      <w:r w:rsidR="0024712B">
        <w:rPr>
          <w:color w:val="auto"/>
        </w:rPr>
        <w:t xml:space="preserve">(see </w:t>
      </w:r>
      <w:r w:rsidR="0024712B">
        <w:rPr>
          <w:color w:val="auto"/>
        </w:rPr>
        <w:fldChar w:fldCharType="begin"/>
      </w:r>
      <w:r w:rsidR="0024712B">
        <w:rPr>
          <w:color w:val="auto"/>
        </w:rPr>
        <w:instrText xml:space="preserve"> REF _Ref115698119 \h </w:instrText>
      </w:r>
      <w:r w:rsidR="0024712B">
        <w:rPr>
          <w:color w:val="auto"/>
        </w:rPr>
      </w:r>
      <w:r w:rsidR="0024712B">
        <w:rPr>
          <w:color w:val="auto"/>
        </w:rPr>
        <w:fldChar w:fldCharType="separate"/>
      </w:r>
      <w:r w:rsidR="008112E6">
        <w:t xml:space="preserve">Figure </w:t>
      </w:r>
      <w:r w:rsidR="008112E6">
        <w:rPr>
          <w:noProof/>
        </w:rPr>
        <w:t>20</w:t>
      </w:r>
      <w:r w:rsidR="0024712B">
        <w:rPr>
          <w:color w:val="auto"/>
        </w:rPr>
        <w:fldChar w:fldCharType="end"/>
      </w:r>
      <w:r w:rsidR="0024712B">
        <w:rPr>
          <w:color w:val="auto"/>
        </w:rPr>
        <w:t xml:space="preserve">) </w:t>
      </w:r>
      <w:r w:rsidRPr="009B76E8">
        <w:rPr>
          <w:color w:val="auto"/>
        </w:rPr>
        <w:t>could involve:</w:t>
      </w:r>
    </w:p>
    <w:p w14:paraId="6D128D65" w14:textId="1DD1C2A5" w:rsidR="00683293" w:rsidRPr="009B76E8" w:rsidRDefault="00683293" w:rsidP="00760744">
      <w:pPr>
        <w:pStyle w:val="EYBulletnoparaspace"/>
        <w:ind w:left="426"/>
      </w:pPr>
      <w:r w:rsidRPr="009B76E8">
        <w:t xml:space="preserve">A dedicated delivery agency, recognising the scheme’s position as a new national knowledge centre (for example, the National Library of Australia). Implementing the scheme through an existing body would avoid additional costs and risks of standing up a new organisation. </w:t>
      </w:r>
    </w:p>
    <w:p w14:paraId="7BC75C0A" w14:textId="77777777" w:rsidR="00683293" w:rsidRPr="009B76E8" w:rsidRDefault="00683293" w:rsidP="00760744">
      <w:pPr>
        <w:pStyle w:val="EYBulletnoparaspace"/>
        <w:ind w:left="426"/>
      </w:pPr>
      <w:r w:rsidRPr="009B76E8">
        <w:t>A Project Management Office (PMO) to support design and early implementation of the scheme. The PMO would have direct responsibility for implementation, project controls, assurance, and reporting.</w:t>
      </w:r>
    </w:p>
    <w:p w14:paraId="2A22F1AE" w14:textId="6A98601B" w:rsidR="00683293" w:rsidRPr="009B76E8" w:rsidRDefault="00683293" w:rsidP="00760744">
      <w:pPr>
        <w:pStyle w:val="EYBulletnoparaspace"/>
        <w:ind w:left="426"/>
      </w:pPr>
      <w:r w:rsidRPr="009B76E8">
        <w:t xml:space="preserve">An external advisory group to provide stakeholder input on design matters and access, and academic content covered under the scheme. This group </w:t>
      </w:r>
      <w:r w:rsidR="008E7941">
        <w:t>c</w:t>
      </w:r>
      <w:r w:rsidRPr="009B76E8">
        <w:t>ould provide representation for major stakeholders such as universities and research institutions.</w:t>
      </w:r>
    </w:p>
    <w:p w14:paraId="199E7867" w14:textId="77777777" w:rsidR="00683293" w:rsidRPr="009B76E8" w:rsidRDefault="00683293" w:rsidP="00891964">
      <w:pPr>
        <w:pStyle w:val="EYBulletnoparaspace"/>
        <w:spacing w:after="240"/>
        <w:ind w:left="425" w:hanging="357"/>
      </w:pPr>
      <w:r w:rsidRPr="009B76E8">
        <w:t>A specialised negotiation committee to establish foundation agreements with publishers and transitional arrangements with universities. Negotiations are likely to be resource-intensive, especially the initial agreements with the major publishers. As such, the committee would require appropriate commercial skills and experience in the process of structuring agreements with publishers.</w:t>
      </w:r>
    </w:p>
    <w:p w14:paraId="6E88411F" w14:textId="78E3E58B" w:rsidR="0024712B" w:rsidRDefault="0024712B" w:rsidP="0024712B">
      <w:pPr>
        <w:pStyle w:val="Caption"/>
        <w:keepNext/>
      </w:pPr>
      <w:bookmarkStart w:id="51" w:name="_Ref115698119"/>
      <w:r>
        <w:t xml:space="preserve">Figure </w:t>
      </w:r>
      <w:r>
        <w:fldChar w:fldCharType="begin"/>
      </w:r>
      <w:r>
        <w:instrText xml:space="preserve"> SEQ Figure \* ARABIC </w:instrText>
      </w:r>
      <w:r>
        <w:fldChar w:fldCharType="separate"/>
      </w:r>
      <w:r w:rsidR="008112E6">
        <w:rPr>
          <w:noProof/>
        </w:rPr>
        <w:t>20</w:t>
      </w:r>
      <w:r>
        <w:fldChar w:fldCharType="end"/>
      </w:r>
      <w:bookmarkEnd w:id="51"/>
      <w:r>
        <w:t xml:space="preserve">: </w:t>
      </w:r>
      <w:r w:rsidRPr="00D011CE">
        <w:t>Proposed governance structure</w:t>
      </w:r>
    </w:p>
    <w:p w14:paraId="6A27B14C" w14:textId="3D7056CA" w:rsidR="00945484" w:rsidRPr="00945484" w:rsidRDefault="00476C7D" w:rsidP="0024712B">
      <w:pPr>
        <w:pStyle w:val="EYBodytextwithparaspace"/>
        <w:spacing w:after="360"/>
      </w:pPr>
      <w:r>
        <w:rPr>
          <w:noProof/>
        </w:rPr>
        <w:drawing>
          <wp:inline distT="0" distB="0" distL="0" distR="0" wp14:anchorId="57BF3D43" wp14:editId="42742AF2">
            <wp:extent cx="5679284" cy="2438400"/>
            <wp:effectExtent l="0" t="0" r="0" b="0"/>
            <wp:docPr id="1814" name="Picture 1814" descr="A proposed governance structure including a project management office, negotiating committee and research and technical advisory group reporting to the government sponsors and the sponsoring Mini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Picture 1814" descr="A proposed governance structure including a project management office, negotiating committee and research and technical advisory group reporting to the government sponsors and the sponsoring Minister(s).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86504" cy="2441500"/>
                    </a:xfrm>
                    <a:prstGeom prst="rect">
                      <a:avLst/>
                    </a:prstGeom>
                    <a:noFill/>
                  </pic:spPr>
                </pic:pic>
              </a:graphicData>
            </a:graphic>
          </wp:inline>
        </w:drawing>
      </w:r>
    </w:p>
    <w:p w14:paraId="4624BBA7" w14:textId="77777777" w:rsidR="006A555B" w:rsidRPr="006119F9" w:rsidRDefault="006A555B" w:rsidP="006A555B">
      <w:pPr>
        <w:pStyle w:val="EYHeading2"/>
      </w:pPr>
      <w:bookmarkStart w:id="52" w:name="_Toc115717092"/>
      <w:bookmarkStart w:id="53" w:name="_Toc110545791"/>
      <w:r w:rsidRPr="006119F9">
        <w:t>Supporting IT infrastructure</w:t>
      </w:r>
      <w:bookmarkEnd w:id="52"/>
    </w:p>
    <w:p w14:paraId="0A3FD9DA" w14:textId="3BDBE0BC" w:rsidR="006A555B" w:rsidRDefault="006A555B" w:rsidP="00476C7D">
      <w:pPr>
        <w:pStyle w:val="EYBodytextwithoutparaspace"/>
      </w:pPr>
      <w:r w:rsidRPr="006119F9">
        <w:t xml:space="preserve">As noted, the central implementation body </w:t>
      </w:r>
      <w:r w:rsidR="005F6041">
        <w:t xml:space="preserve">would </w:t>
      </w:r>
      <w:r w:rsidRPr="006119F9">
        <w:t>negotiate read-and-publish agreements with publishers to facilitate read access to academic journal articles for prescribed users and open access publishing for Australian-led research papers. Under the central implementation model, prescribed users will continue to search for journal articles through current public (</w:t>
      </w:r>
      <w:r>
        <w:t xml:space="preserve">e.g. </w:t>
      </w:r>
      <w:r w:rsidRPr="006119F9">
        <w:t>Google Scholar) and institutional platforms (</w:t>
      </w:r>
      <w:r>
        <w:t xml:space="preserve">e.g. </w:t>
      </w:r>
      <w:r w:rsidRPr="006119F9">
        <w:t xml:space="preserve">ANU </w:t>
      </w:r>
      <w:proofErr w:type="spellStart"/>
      <w:r w:rsidRPr="006119F9">
        <w:t>SuperSearch</w:t>
      </w:r>
      <w:proofErr w:type="spellEnd"/>
      <w:r w:rsidRPr="006119F9">
        <w:t>).</w:t>
      </w:r>
    </w:p>
    <w:p w14:paraId="4AD3151F" w14:textId="2879F688" w:rsidR="006A555B" w:rsidRPr="006119F9" w:rsidRDefault="006A555B" w:rsidP="006B73E7">
      <w:pPr>
        <w:pStyle w:val="EYBodytextwithoutparaspace"/>
      </w:pPr>
      <w:r>
        <w:t xml:space="preserve">Australia’s open access scheme creates an online geofence around Australia, with access determined on physical location rather than citizenship and permanent residence. Supporting IT infrastructure will be </w:t>
      </w:r>
      <w:r w:rsidR="00476C7D">
        <w:t xml:space="preserve">a </w:t>
      </w:r>
      <w:r>
        <w:t xml:space="preserve">mechanism to identify prescribed users </w:t>
      </w:r>
      <w:r w:rsidR="00476C7D">
        <w:t>under</w:t>
      </w:r>
      <w:r>
        <w:t xml:space="preserve"> the scheme.</w:t>
      </w:r>
      <w:r w:rsidR="001D6DFD" w:rsidRPr="001D6DFD">
        <w:t xml:space="preserve"> </w:t>
      </w:r>
      <w:r w:rsidR="001D6DFD" w:rsidRPr="006119F9">
        <w:t xml:space="preserve">There are multiple ways to authenticate a user’s physical address, </w:t>
      </w:r>
      <w:r w:rsidR="001D6DFD">
        <w:t>ranging</w:t>
      </w:r>
      <w:r w:rsidR="001D6DFD" w:rsidRPr="006119F9">
        <w:t xml:space="preserve"> from IP addresses to digital identities.</w:t>
      </w:r>
    </w:p>
    <w:p w14:paraId="7EBC38D6" w14:textId="7C54EB0C" w:rsidR="006A555B" w:rsidRPr="00760744" w:rsidRDefault="006A555B" w:rsidP="00A577AC">
      <w:pPr>
        <w:pStyle w:val="EYBodytextwithparaspace"/>
        <w:rPr>
          <w:rFonts w:ascii="EYInterstate" w:hAnsi="EYInterstate"/>
          <w:iCs/>
          <w:sz w:val="24"/>
          <w:szCs w:val="24"/>
        </w:rPr>
      </w:pPr>
      <w:r w:rsidRPr="00760744">
        <w:rPr>
          <w:rFonts w:ascii="EYInterstate" w:hAnsi="EYInterstate"/>
          <w:iCs/>
          <w:sz w:val="24"/>
          <w:szCs w:val="24"/>
        </w:rPr>
        <w:t>Focussing on critical users</w:t>
      </w:r>
    </w:p>
    <w:p w14:paraId="15DD5844" w14:textId="158A9375" w:rsidR="006A555B" w:rsidRDefault="006A555B" w:rsidP="00050E92">
      <w:pPr>
        <w:pStyle w:val="EYBodytextwithoutparaspace"/>
      </w:pPr>
      <w:r w:rsidRPr="006119F9">
        <w:t xml:space="preserve">While multiple commercial solutions support central authentication, the central implementation body needs to balance </w:t>
      </w:r>
      <w:r w:rsidR="005F6041">
        <w:t>appropriate restrictions with ease of</w:t>
      </w:r>
      <w:r>
        <w:t xml:space="preserve"> use. Australia’s open access scheme </w:t>
      </w:r>
      <w:r w:rsidR="005F6041">
        <w:t xml:space="preserve">would </w:t>
      </w:r>
      <w:r>
        <w:t>define users based on location rather than nationality, citizenship or permanent residence.</w:t>
      </w:r>
    </w:p>
    <w:p w14:paraId="678FD92E" w14:textId="604F6BB4" w:rsidR="006A555B" w:rsidRPr="006119F9" w:rsidRDefault="006A555B" w:rsidP="00050E92">
      <w:pPr>
        <w:pStyle w:val="EYBodytextwithoutparaspace"/>
      </w:pPr>
      <w:r w:rsidRPr="006119F9">
        <w:lastRenderedPageBreak/>
        <w:t>As prescribed users are based on location rather than citizenship or nationality, an individual can move between Australia and the rest of the world, testing the central implementation body’s ability to locate a user at any given time. To balance the needs of prescribed users with publisher</w:t>
      </w:r>
      <w:r w:rsidR="000A13E4">
        <w:t>s</w:t>
      </w:r>
      <w:r w:rsidRPr="006119F9">
        <w:t xml:space="preserve">’ concerns around academic leakage, </w:t>
      </w:r>
      <w:r w:rsidR="005F6041">
        <w:t xml:space="preserve">it is useful to consider </w:t>
      </w:r>
      <w:r w:rsidRPr="006119F9">
        <w:t>prescribed and non-prescribed users through a tiered system</w:t>
      </w:r>
      <w:r w:rsidR="00B06004">
        <w:t xml:space="preserve"> (see </w:t>
      </w:r>
      <w:r w:rsidR="00B06004">
        <w:fldChar w:fldCharType="begin"/>
      </w:r>
      <w:r w:rsidR="00B06004">
        <w:instrText xml:space="preserve"> REF _Ref115698208 \h </w:instrText>
      </w:r>
      <w:r w:rsidR="00B06004">
        <w:fldChar w:fldCharType="separate"/>
      </w:r>
      <w:r w:rsidR="008112E6">
        <w:t xml:space="preserve">Figure </w:t>
      </w:r>
      <w:r w:rsidR="008112E6">
        <w:rPr>
          <w:noProof/>
        </w:rPr>
        <w:t>21</w:t>
      </w:r>
      <w:r w:rsidR="00B06004">
        <w:fldChar w:fldCharType="end"/>
      </w:r>
      <w:r w:rsidR="00B06004">
        <w:t>)</w:t>
      </w:r>
      <w:r w:rsidRPr="006119F9">
        <w:t>.</w:t>
      </w:r>
    </w:p>
    <w:p w14:paraId="4CA7D75D" w14:textId="68AB4D0B" w:rsidR="006A555B" w:rsidRDefault="006A555B" w:rsidP="00760744">
      <w:pPr>
        <w:pStyle w:val="EYBulletnoparaspace"/>
        <w:ind w:left="426"/>
      </w:pPr>
      <w:r w:rsidRPr="00B10AEF">
        <w:rPr>
          <w:b/>
          <w:bCs/>
        </w:rPr>
        <w:t>Tier 1 Critical</w:t>
      </w:r>
      <w:r w:rsidRPr="006119F9">
        <w:t xml:space="preserve"> </w:t>
      </w:r>
      <w:r w:rsidR="00B10AEF">
        <w:t>—</w:t>
      </w:r>
      <w:r w:rsidRPr="006119F9">
        <w:t xml:space="preserve"> </w:t>
      </w:r>
      <w:r w:rsidR="00331153">
        <w:t>R</w:t>
      </w:r>
      <w:r w:rsidRPr="006119F9">
        <w:t xml:space="preserve">elates to </w:t>
      </w:r>
      <w:r>
        <w:t>differentiating Australian citizens and permanent residents f</w:t>
      </w:r>
      <w:r w:rsidR="00050E92">
        <w:t>rom</w:t>
      </w:r>
      <w:r>
        <w:t xml:space="preserve"> the international community. A system which differentiates between these two </w:t>
      </w:r>
      <w:r w:rsidR="00935B07">
        <w:t>groups</w:t>
      </w:r>
      <w:r>
        <w:t xml:space="preserve"> is critical to the success of the scheme.</w:t>
      </w:r>
    </w:p>
    <w:p w14:paraId="5DFDF063" w14:textId="2377B1E8" w:rsidR="006A555B" w:rsidRPr="006119F9" w:rsidRDefault="006A555B" w:rsidP="00760744">
      <w:pPr>
        <w:pStyle w:val="EYBulletnoparaspace"/>
        <w:ind w:left="426"/>
      </w:pPr>
      <w:r w:rsidRPr="00B10AEF">
        <w:rPr>
          <w:b/>
          <w:bCs/>
        </w:rPr>
        <w:t>Tier 2 Important</w:t>
      </w:r>
      <w:r w:rsidRPr="006119F9">
        <w:t xml:space="preserve"> </w:t>
      </w:r>
      <w:r w:rsidR="00B10AEF">
        <w:t>—</w:t>
      </w:r>
      <w:r w:rsidRPr="006119F9">
        <w:t xml:space="preserve"> </w:t>
      </w:r>
      <w:r w:rsidR="00935B07">
        <w:t>Refers to</w:t>
      </w:r>
      <w:r>
        <w:t xml:space="preserve"> Australian citizens and non-residents currently outside of Australia (thus would no longer be a prescribed user), and individuals from other nations who are residing in Australia but are not permanent residents or citizens (</w:t>
      </w:r>
      <w:r w:rsidR="004B074C">
        <w:t xml:space="preserve">but who </w:t>
      </w:r>
      <w:r>
        <w:t>are now prescribed users). Differentiating between these two populations is an important consideration for the scheme.</w:t>
      </w:r>
    </w:p>
    <w:p w14:paraId="71FBEB7D" w14:textId="0F1AAD61" w:rsidR="006A555B" w:rsidRDefault="006A555B" w:rsidP="005F6041">
      <w:pPr>
        <w:pStyle w:val="EYBulletnoparaspace"/>
        <w:spacing w:after="360"/>
        <w:ind w:left="425" w:hanging="357"/>
      </w:pPr>
      <w:r w:rsidRPr="00B10AEF">
        <w:rPr>
          <w:b/>
          <w:bCs/>
        </w:rPr>
        <w:t>Tier 3 Neutral</w:t>
      </w:r>
      <w:r w:rsidRPr="006119F9">
        <w:t xml:space="preserve"> </w:t>
      </w:r>
      <w:r w:rsidR="00B10AEF">
        <w:t>—</w:t>
      </w:r>
      <w:r w:rsidRPr="006119F9">
        <w:t xml:space="preserve"> </w:t>
      </w:r>
      <w:r w:rsidR="00331153">
        <w:t>R</w:t>
      </w:r>
      <w:r w:rsidRPr="006119F9">
        <w:t xml:space="preserve">elates to individuals </w:t>
      </w:r>
      <w:r>
        <w:t xml:space="preserve">who are moving between Australia and the rest of the world on </w:t>
      </w:r>
      <w:r w:rsidR="00050E92">
        <w:t xml:space="preserve">a </w:t>
      </w:r>
      <w:r>
        <w:t>short</w:t>
      </w:r>
      <w:r w:rsidR="00004B7A">
        <w:t>-</w:t>
      </w:r>
      <w:r>
        <w:t>term basis. This could include Australian citizens travelling for business reasons or holidays (these would be no longer prescribed users when they leave Australian shores). Alternatively, individuals travelling to Australia would be considered prescribed users while in Australia. Considering the relatively small number of individuals this relates to at any one time, authenticating between these users has a minor impact on the success of the scheme.</w:t>
      </w:r>
    </w:p>
    <w:p w14:paraId="7FF30B6B" w14:textId="6AA8504E" w:rsidR="0024712B" w:rsidRDefault="0024712B" w:rsidP="0024712B">
      <w:pPr>
        <w:pStyle w:val="Caption"/>
        <w:keepNext/>
      </w:pPr>
      <w:bookmarkStart w:id="54" w:name="_Ref115698208"/>
      <w:r>
        <w:t xml:space="preserve">Figure </w:t>
      </w:r>
      <w:r>
        <w:fldChar w:fldCharType="begin"/>
      </w:r>
      <w:r>
        <w:instrText xml:space="preserve"> SEQ Figure \* ARABIC </w:instrText>
      </w:r>
      <w:r>
        <w:fldChar w:fldCharType="separate"/>
      </w:r>
      <w:r w:rsidR="008112E6">
        <w:rPr>
          <w:noProof/>
        </w:rPr>
        <w:t>21</w:t>
      </w:r>
      <w:r>
        <w:fldChar w:fldCharType="end"/>
      </w:r>
      <w:bookmarkEnd w:id="54"/>
      <w:r>
        <w:t xml:space="preserve">: </w:t>
      </w:r>
      <w:r w:rsidRPr="00927EDF">
        <w:t>Tiered users’ assessment</w:t>
      </w:r>
    </w:p>
    <w:p w14:paraId="7C6CE2B5" w14:textId="77777777" w:rsidR="006A555B" w:rsidRPr="006119F9" w:rsidRDefault="006A555B" w:rsidP="00A577AC">
      <w:pPr>
        <w:pStyle w:val="EYBodytextwithparaspace"/>
      </w:pPr>
      <w:r w:rsidRPr="006119F9">
        <w:rPr>
          <w:noProof/>
        </w:rPr>
        <w:drawing>
          <wp:inline distT="0" distB="0" distL="0" distR="0" wp14:anchorId="629694DB" wp14:editId="76796E7F">
            <wp:extent cx="5733415" cy="2732405"/>
            <wp:effectExtent l="0" t="0" r="635" b="0"/>
            <wp:docPr id="68" name="Picture 68" descr="A diagram showing the three tiers of prescribed users and non-prescribed as detail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diagram showing the three tiers of prescribed users and non-prescribed as detailed above. "/>
                    <pic:cNvPicPr/>
                  </pic:nvPicPr>
                  <pic:blipFill>
                    <a:blip r:embed="rId41"/>
                    <a:stretch>
                      <a:fillRect/>
                    </a:stretch>
                  </pic:blipFill>
                  <pic:spPr>
                    <a:xfrm>
                      <a:off x="0" y="0"/>
                      <a:ext cx="5733415" cy="2732405"/>
                    </a:xfrm>
                    <a:prstGeom prst="rect">
                      <a:avLst/>
                    </a:prstGeom>
                  </pic:spPr>
                </pic:pic>
              </a:graphicData>
            </a:graphic>
          </wp:inline>
        </w:drawing>
      </w:r>
    </w:p>
    <w:p w14:paraId="40790100" w14:textId="761EDBDD" w:rsidR="006B73E7" w:rsidRDefault="006A555B" w:rsidP="006B73E7">
      <w:pPr>
        <w:pStyle w:val="EYBodytextwithoutparaspace"/>
        <w:spacing w:before="240"/>
      </w:pPr>
      <w:r>
        <w:t xml:space="preserve">It is important to distinguish between these prescribed and non-prescribed user bases in designing a central authentication system. The scheme needs to balance </w:t>
      </w:r>
      <w:r w:rsidR="00C511AB">
        <w:t>restrictiveness</w:t>
      </w:r>
      <w:r>
        <w:t xml:space="preserve"> with being easy to use. Perfectly capturing all user bases </w:t>
      </w:r>
      <w:r w:rsidR="004A1211">
        <w:t>to</w:t>
      </w:r>
      <w:r>
        <w:t xml:space="preserve"> either allow or preven</w:t>
      </w:r>
      <w:r w:rsidR="004A1211">
        <w:t>t</w:t>
      </w:r>
      <w:r>
        <w:t xml:space="preserve"> access </w:t>
      </w:r>
      <w:r w:rsidR="004A1211">
        <w:t xml:space="preserve">would </w:t>
      </w:r>
      <w:r>
        <w:t>significantly increase the complexity and costs of the authentication system.</w:t>
      </w:r>
    </w:p>
    <w:p w14:paraId="784229FE" w14:textId="6922A13E" w:rsidR="006A555B" w:rsidRPr="006119F9" w:rsidRDefault="00CA0052" w:rsidP="00050E92">
      <w:pPr>
        <w:pStyle w:val="EYBodytextwithoutparaspace"/>
      </w:pPr>
      <w:r>
        <w:t>This occurs through</w:t>
      </w:r>
      <w:r w:rsidR="006A555B">
        <w:t xml:space="preserve"> requiring several authentication steps </w:t>
      </w:r>
      <w:r w:rsidR="004A1211">
        <w:t>which</w:t>
      </w:r>
      <w:r w:rsidR="006A555B">
        <w:t xml:space="preserve"> may be slow to use</w:t>
      </w:r>
      <w:r w:rsidR="004A1211">
        <w:t xml:space="preserve"> and prone to </w:t>
      </w:r>
      <w:r w:rsidR="004717B5">
        <w:t>issues</w:t>
      </w:r>
      <w:r w:rsidR="006A555B">
        <w:t>. However, not effectively distinguishing between prescribed and non-prescribed users can lead to academic leakage which is primary concern for publishers.</w:t>
      </w:r>
    </w:p>
    <w:p w14:paraId="1D51F960" w14:textId="77777777" w:rsidR="006A555B" w:rsidRPr="00760744" w:rsidRDefault="006A555B" w:rsidP="00A577AC">
      <w:pPr>
        <w:pStyle w:val="EYBodytextwithparaspace"/>
        <w:rPr>
          <w:rFonts w:ascii="EYInterstate" w:hAnsi="EYInterstate"/>
          <w:iCs/>
          <w:sz w:val="24"/>
          <w:szCs w:val="24"/>
        </w:rPr>
      </w:pPr>
      <w:r w:rsidRPr="00760744">
        <w:rPr>
          <w:rFonts w:ascii="EYInterstate" w:hAnsi="EYInterstate"/>
          <w:iCs/>
          <w:sz w:val="24"/>
          <w:szCs w:val="24"/>
        </w:rPr>
        <w:t>Potential authentication solutions</w:t>
      </w:r>
    </w:p>
    <w:p w14:paraId="5A7171F6" w14:textId="013FC1A2" w:rsidR="00FF15B8" w:rsidRDefault="006A555B" w:rsidP="001E09B7">
      <w:pPr>
        <w:pStyle w:val="EYBodytextwithoutparaspace"/>
      </w:pPr>
      <w:r w:rsidRPr="000E1326">
        <w:t xml:space="preserve">As noted above, solutions for a central authentication system range from the location of IP address to an Australian digital identity. Other options include using an Australian MyGov account, a similar </w:t>
      </w:r>
      <w:r w:rsidRPr="000E1326">
        <w:lastRenderedPageBreak/>
        <w:t xml:space="preserve">system to </w:t>
      </w:r>
      <w:proofErr w:type="spellStart"/>
      <w:r w:rsidRPr="000E1326">
        <w:t>Singpass</w:t>
      </w:r>
      <w:proofErr w:type="spellEnd"/>
      <w:r w:rsidRPr="000E1326">
        <w:t xml:space="preserve"> (Singapore’s digital identity)</w:t>
      </w:r>
      <w:r w:rsidR="00361209" w:rsidRPr="000E1326">
        <w:t>,</w:t>
      </w:r>
      <w:r w:rsidRPr="000E1326">
        <w:t xml:space="preserve"> and access through an Australian institution. </w:t>
      </w:r>
      <w:r w:rsidR="000D3E60">
        <w:fldChar w:fldCharType="begin"/>
      </w:r>
      <w:r w:rsidR="000D3E60">
        <w:instrText xml:space="preserve"> REF _Ref112762965 \h </w:instrText>
      </w:r>
      <w:r w:rsidR="000D3E60">
        <w:fldChar w:fldCharType="separate"/>
      </w:r>
      <w:r w:rsidR="008112E6" w:rsidRPr="006119F9">
        <w:t xml:space="preserve">Table </w:t>
      </w:r>
      <w:r w:rsidR="008112E6">
        <w:rPr>
          <w:noProof/>
        </w:rPr>
        <w:t>7</w:t>
      </w:r>
      <w:r w:rsidR="000D3E60">
        <w:fldChar w:fldCharType="end"/>
      </w:r>
      <w:r w:rsidR="000D3E60">
        <w:t xml:space="preserve"> </w:t>
      </w:r>
      <w:r w:rsidRPr="000E1326">
        <w:t>outlines Australia’s potential options for an IT solution.</w:t>
      </w:r>
    </w:p>
    <w:p w14:paraId="4BBFBDD9" w14:textId="5C2F83B4" w:rsidR="006A555B" w:rsidRPr="006119F9" w:rsidRDefault="006A555B" w:rsidP="006A555B">
      <w:pPr>
        <w:pStyle w:val="Caption"/>
        <w:keepNext/>
      </w:pPr>
      <w:bookmarkStart w:id="55" w:name="_Ref112762965"/>
      <w:r w:rsidRPr="006119F9">
        <w:t xml:space="preserve">Table </w:t>
      </w:r>
      <w:r w:rsidRPr="006119F9">
        <w:fldChar w:fldCharType="begin"/>
      </w:r>
      <w:r w:rsidRPr="006119F9">
        <w:instrText xml:space="preserve"> SEQ Table \* ARABIC </w:instrText>
      </w:r>
      <w:r w:rsidRPr="006119F9">
        <w:fldChar w:fldCharType="separate"/>
      </w:r>
      <w:r w:rsidR="008112E6">
        <w:rPr>
          <w:noProof/>
        </w:rPr>
        <w:t>7</w:t>
      </w:r>
      <w:r w:rsidRPr="006119F9">
        <w:fldChar w:fldCharType="end"/>
      </w:r>
      <w:bookmarkEnd w:id="55"/>
      <w:r w:rsidRPr="006119F9">
        <w:t>: Assessment of IT solutions</w:t>
      </w:r>
    </w:p>
    <w:tbl>
      <w:tblPr>
        <w:tblStyle w:val="TableGrid"/>
        <w:tblW w:w="9029" w:type="dxa"/>
        <w:tblBorders>
          <w:top w:val="none" w:sz="0" w:space="0" w:color="auto"/>
          <w:left w:val="none" w:sz="0" w:space="0" w:color="auto"/>
          <w:right w:val="none" w:sz="0" w:space="0" w:color="auto"/>
          <w:insideH w:val="single" w:sz="4" w:space="0" w:color="787890" w:themeColor="text1" w:themeTint="99"/>
          <w:insideV w:val="none" w:sz="0" w:space="0" w:color="auto"/>
        </w:tblBorders>
        <w:tblCellMar>
          <w:top w:w="113" w:type="dxa"/>
          <w:bottom w:w="113" w:type="dxa"/>
        </w:tblCellMar>
        <w:tblLook w:val="04A0" w:firstRow="1" w:lastRow="0" w:firstColumn="1" w:lastColumn="0" w:noHBand="0" w:noVBand="1"/>
      </w:tblPr>
      <w:tblGrid>
        <w:gridCol w:w="1363"/>
        <w:gridCol w:w="1198"/>
        <w:gridCol w:w="1264"/>
        <w:gridCol w:w="1261"/>
        <w:gridCol w:w="1262"/>
        <w:gridCol w:w="1330"/>
        <w:gridCol w:w="1351"/>
      </w:tblGrid>
      <w:tr w:rsidR="006A555B" w:rsidRPr="007E0526" w14:paraId="561D0297" w14:textId="77777777" w:rsidTr="007E0526">
        <w:trPr>
          <w:trHeight w:val="313"/>
        </w:trPr>
        <w:tc>
          <w:tcPr>
            <w:tcW w:w="1363" w:type="dxa"/>
            <w:shd w:val="clear" w:color="auto" w:fill="787890" w:themeFill="text1" w:themeFillTint="99"/>
          </w:tcPr>
          <w:p w14:paraId="15E30B92" w14:textId="77777777" w:rsidR="006A555B" w:rsidRPr="007E0526" w:rsidRDefault="006A555B" w:rsidP="00024522">
            <w:pPr>
              <w:rPr>
                <w:rFonts w:ascii="EYInterstate Light" w:hAnsi="EYInterstate Light"/>
                <w:b/>
                <w:color w:val="FFFFFF" w:themeColor="background1"/>
              </w:rPr>
            </w:pPr>
            <w:r w:rsidRPr="007E0526">
              <w:rPr>
                <w:rFonts w:ascii="EYInterstate Light" w:hAnsi="EYInterstate Light"/>
                <w:b/>
                <w:color w:val="FFFFFF" w:themeColor="background1"/>
              </w:rPr>
              <w:t>IT System</w:t>
            </w:r>
          </w:p>
        </w:tc>
        <w:tc>
          <w:tcPr>
            <w:tcW w:w="1198" w:type="dxa"/>
            <w:shd w:val="clear" w:color="auto" w:fill="787890" w:themeFill="text1" w:themeFillTint="99"/>
          </w:tcPr>
          <w:p w14:paraId="423F9C6E" w14:textId="77777777" w:rsidR="006A555B" w:rsidRPr="007E0526" w:rsidRDefault="006A555B" w:rsidP="00024522">
            <w:pPr>
              <w:jc w:val="center"/>
              <w:rPr>
                <w:rFonts w:ascii="EYInterstate Light" w:hAnsi="EYInterstate Light"/>
                <w:b/>
                <w:color w:val="FFFFFF" w:themeColor="background1"/>
              </w:rPr>
            </w:pPr>
            <w:r w:rsidRPr="007E0526">
              <w:rPr>
                <w:rFonts w:ascii="EYInterstate Light" w:hAnsi="EYInterstate Light"/>
                <w:b/>
                <w:color w:val="FFFFFF" w:themeColor="background1"/>
              </w:rPr>
              <w:t>Live location</w:t>
            </w:r>
          </w:p>
        </w:tc>
        <w:tc>
          <w:tcPr>
            <w:tcW w:w="1264" w:type="dxa"/>
            <w:shd w:val="clear" w:color="auto" w:fill="787890" w:themeFill="text1" w:themeFillTint="99"/>
          </w:tcPr>
          <w:p w14:paraId="1D61113D" w14:textId="77777777" w:rsidR="006A555B" w:rsidRPr="007E0526" w:rsidRDefault="006A555B" w:rsidP="00024522">
            <w:pPr>
              <w:jc w:val="center"/>
              <w:rPr>
                <w:rFonts w:ascii="EYInterstate Light" w:hAnsi="EYInterstate Light"/>
                <w:b/>
                <w:color w:val="FFFFFF" w:themeColor="background1"/>
              </w:rPr>
            </w:pPr>
            <w:r w:rsidRPr="007E0526">
              <w:rPr>
                <w:rFonts w:ascii="EYInterstate Light" w:hAnsi="EYInterstate Light"/>
                <w:b/>
                <w:color w:val="FFFFFF" w:themeColor="background1"/>
              </w:rPr>
              <w:t xml:space="preserve">Tier I </w:t>
            </w:r>
          </w:p>
        </w:tc>
        <w:tc>
          <w:tcPr>
            <w:tcW w:w="1261" w:type="dxa"/>
            <w:shd w:val="clear" w:color="auto" w:fill="787890" w:themeFill="text1" w:themeFillTint="99"/>
          </w:tcPr>
          <w:p w14:paraId="2FDF0C81" w14:textId="77777777" w:rsidR="006A555B" w:rsidRPr="007E0526" w:rsidRDefault="006A555B" w:rsidP="00024522">
            <w:pPr>
              <w:jc w:val="center"/>
              <w:rPr>
                <w:rFonts w:ascii="EYInterstate Light" w:hAnsi="EYInterstate Light"/>
                <w:b/>
                <w:color w:val="FFFFFF" w:themeColor="background1"/>
              </w:rPr>
            </w:pPr>
            <w:r w:rsidRPr="007E0526">
              <w:rPr>
                <w:rFonts w:ascii="EYInterstate Light" w:hAnsi="EYInterstate Light"/>
                <w:b/>
                <w:color w:val="FFFFFF" w:themeColor="background1"/>
              </w:rPr>
              <w:t>Tier II</w:t>
            </w:r>
          </w:p>
        </w:tc>
        <w:tc>
          <w:tcPr>
            <w:tcW w:w="1262" w:type="dxa"/>
            <w:shd w:val="clear" w:color="auto" w:fill="787890" w:themeFill="text1" w:themeFillTint="99"/>
          </w:tcPr>
          <w:p w14:paraId="1AEF854F" w14:textId="77777777" w:rsidR="006A555B" w:rsidRPr="007E0526" w:rsidRDefault="006A555B" w:rsidP="00024522">
            <w:pPr>
              <w:jc w:val="center"/>
              <w:rPr>
                <w:rFonts w:ascii="EYInterstate Light" w:hAnsi="EYInterstate Light"/>
                <w:b/>
                <w:color w:val="FFFFFF" w:themeColor="background1"/>
              </w:rPr>
            </w:pPr>
            <w:r w:rsidRPr="007E0526">
              <w:rPr>
                <w:rFonts w:ascii="EYInterstate Light" w:hAnsi="EYInterstate Light"/>
                <w:b/>
                <w:color w:val="FFFFFF" w:themeColor="background1"/>
              </w:rPr>
              <w:t>Tier III</w:t>
            </w:r>
          </w:p>
        </w:tc>
        <w:tc>
          <w:tcPr>
            <w:tcW w:w="1330" w:type="dxa"/>
            <w:shd w:val="clear" w:color="auto" w:fill="787890" w:themeFill="text1" w:themeFillTint="99"/>
          </w:tcPr>
          <w:p w14:paraId="71D9F65F" w14:textId="77777777" w:rsidR="006A555B" w:rsidRPr="007E0526" w:rsidRDefault="006A555B" w:rsidP="00024522">
            <w:pPr>
              <w:jc w:val="center"/>
              <w:rPr>
                <w:rFonts w:ascii="EYInterstate Light" w:hAnsi="EYInterstate Light"/>
                <w:b/>
                <w:color w:val="FFFFFF" w:themeColor="background1"/>
              </w:rPr>
            </w:pPr>
            <w:r w:rsidRPr="007E0526">
              <w:rPr>
                <w:rFonts w:ascii="EYInterstate Light" w:hAnsi="EYInterstate Light"/>
                <w:b/>
                <w:color w:val="FFFFFF" w:themeColor="background1"/>
              </w:rPr>
              <w:t>Ease of use</w:t>
            </w:r>
          </w:p>
        </w:tc>
        <w:tc>
          <w:tcPr>
            <w:tcW w:w="1351" w:type="dxa"/>
            <w:shd w:val="clear" w:color="auto" w:fill="787890" w:themeFill="text1" w:themeFillTint="99"/>
          </w:tcPr>
          <w:p w14:paraId="51CD9013" w14:textId="77777777" w:rsidR="006A555B" w:rsidRPr="007E0526" w:rsidRDefault="006A555B" w:rsidP="00024522">
            <w:pPr>
              <w:jc w:val="center"/>
              <w:rPr>
                <w:rFonts w:ascii="EYInterstate Light" w:hAnsi="EYInterstate Light"/>
                <w:b/>
                <w:color w:val="FFFFFF" w:themeColor="background1"/>
              </w:rPr>
            </w:pPr>
            <w:r w:rsidRPr="007E0526">
              <w:rPr>
                <w:rFonts w:ascii="EYInterstate Light" w:hAnsi="EYInterstate Light"/>
                <w:b/>
                <w:color w:val="FFFFFF" w:themeColor="background1"/>
              </w:rPr>
              <w:t xml:space="preserve">Potential for leakage </w:t>
            </w:r>
          </w:p>
        </w:tc>
      </w:tr>
      <w:tr w:rsidR="006A555B" w:rsidRPr="006119F9" w14:paraId="55F0E231" w14:textId="77777777" w:rsidTr="007E0526">
        <w:trPr>
          <w:trHeight w:val="313"/>
        </w:trPr>
        <w:tc>
          <w:tcPr>
            <w:tcW w:w="1363" w:type="dxa"/>
            <w:shd w:val="clear" w:color="auto" w:fill="auto"/>
          </w:tcPr>
          <w:p w14:paraId="31F944F5" w14:textId="77777777" w:rsidR="006A555B" w:rsidRPr="006119F9" w:rsidRDefault="006A555B" w:rsidP="00024522">
            <w:pPr>
              <w:rPr>
                <w:rFonts w:ascii="EYInterstate Light" w:hAnsi="EYInterstate Light"/>
              </w:rPr>
            </w:pPr>
            <w:r w:rsidRPr="006119F9">
              <w:rPr>
                <w:rFonts w:ascii="EYInterstate Light" w:hAnsi="EYInterstate Light"/>
              </w:rPr>
              <w:t>IP Address</w:t>
            </w:r>
          </w:p>
        </w:tc>
        <w:tc>
          <w:tcPr>
            <w:tcW w:w="1198" w:type="dxa"/>
          </w:tcPr>
          <w:p w14:paraId="42D72646" w14:textId="77777777" w:rsidR="006A555B" w:rsidRPr="006119F9" w:rsidRDefault="006A555B" w:rsidP="00024522">
            <w:pPr>
              <w:jc w:val="center"/>
              <w:rPr>
                <w:rFonts w:ascii="EYInterstate Light" w:hAnsi="EYInterstate Light"/>
              </w:rPr>
            </w:pPr>
            <w:r w:rsidRPr="006119F9">
              <w:rPr>
                <w:rFonts w:ascii="EYInterstate Light" w:hAnsi="EYInterstate Light"/>
              </w:rPr>
              <w:t>Yes</w:t>
            </w:r>
          </w:p>
        </w:tc>
        <w:tc>
          <w:tcPr>
            <w:tcW w:w="1264" w:type="dxa"/>
            <w:shd w:val="clear" w:color="auto" w:fill="auto"/>
          </w:tcPr>
          <w:p w14:paraId="52E418E8" w14:textId="77777777" w:rsidR="006A555B" w:rsidRPr="006119F9" w:rsidRDefault="006A555B" w:rsidP="00024522">
            <w:pPr>
              <w:jc w:val="center"/>
              <w:rPr>
                <w:rFonts w:ascii="EYInterstate Light" w:hAnsi="EYInterstate Light"/>
              </w:rPr>
            </w:pPr>
            <w:r w:rsidRPr="006119F9">
              <w:rPr>
                <w:rFonts w:ascii="EYInterstate Light" w:hAnsi="EYInterstate Light"/>
              </w:rPr>
              <w:t xml:space="preserve">Yes </w:t>
            </w:r>
          </w:p>
        </w:tc>
        <w:tc>
          <w:tcPr>
            <w:tcW w:w="1261" w:type="dxa"/>
            <w:shd w:val="clear" w:color="auto" w:fill="auto"/>
          </w:tcPr>
          <w:p w14:paraId="139C4F14" w14:textId="77777777" w:rsidR="006A555B" w:rsidRPr="006119F9" w:rsidRDefault="006A555B" w:rsidP="00024522">
            <w:pPr>
              <w:jc w:val="center"/>
              <w:rPr>
                <w:rFonts w:ascii="EYInterstate Light" w:hAnsi="EYInterstate Light"/>
              </w:rPr>
            </w:pPr>
            <w:r w:rsidRPr="006119F9">
              <w:rPr>
                <w:rFonts w:ascii="EYInterstate Light" w:hAnsi="EYInterstate Light"/>
              </w:rPr>
              <w:t xml:space="preserve">Yes </w:t>
            </w:r>
          </w:p>
        </w:tc>
        <w:tc>
          <w:tcPr>
            <w:tcW w:w="1262" w:type="dxa"/>
            <w:shd w:val="clear" w:color="auto" w:fill="auto"/>
          </w:tcPr>
          <w:p w14:paraId="6E928116" w14:textId="77777777" w:rsidR="006A555B" w:rsidRPr="006119F9" w:rsidRDefault="006A555B" w:rsidP="00024522">
            <w:pPr>
              <w:jc w:val="center"/>
              <w:rPr>
                <w:rFonts w:ascii="EYInterstate Light" w:hAnsi="EYInterstate Light"/>
              </w:rPr>
            </w:pPr>
            <w:r w:rsidRPr="006119F9">
              <w:rPr>
                <w:rFonts w:ascii="EYInterstate Light" w:hAnsi="EYInterstate Light"/>
              </w:rPr>
              <w:t xml:space="preserve">Yes </w:t>
            </w:r>
          </w:p>
        </w:tc>
        <w:tc>
          <w:tcPr>
            <w:tcW w:w="1330" w:type="dxa"/>
            <w:shd w:val="clear" w:color="auto" w:fill="auto"/>
          </w:tcPr>
          <w:p w14:paraId="056F2C7F" w14:textId="77777777" w:rsidR="006A555B" w:rsidRPr="006119F9" w:rsidRDefault="006A555B" w:rsidP="00024522">
            <w:pPr>
              <w:jc w:val="center"/>
              <w:rPr>
                <w:rFonts w:ascii="EYInterstate Light" w:hAnsi="EYInterstate Light"/>
              </w:rPr>
            </w:pPr>
            <w:r w:rsidRPr="006119F9">
              <w:rPr>
                <w:rFonts w:ascii="EYInterstate Light" w:hAnsi="EYInterstate Light"/>
              </w:rPr>
              <w:t xml:space="preserve">High </w:t>
            </w:r>
          </w:p>
        </w:tc>
        <w:tc>
          <w:tcPr>
            <w:tcW w:w="1351" w:type="dxa"/>
            <w:shd w:val="clear" w:color="auto" w:fill="auto"/>
          </w:tcPr>
          <w:p w14:paraId="150AAF39" w14:textId="77777777" w:rsidR="006A555B" w:rsidRPr="006119F9" w:rsidRDefault="006A555B" w:rsidP="00024522">
            <w:pPr>
              <w:jc w:val="center"/>
              <w:rPr>
                <w:rFonts w:ascii="EYInterstate Light" w:hAnsi="EYInterstate Light"/>
              </w:rPr>
            </w:pPr>
            <w:r w:rsidRPr="006119F9">
              <w:rPr>
                <w:rFonts w:ascii="EYInterstate Light" w:hAnsi="EYInterstate Light"/>
              </w:rPr>
              <w:t xml:space="preserve">High </w:t>
            </w:r>
          </w:p>
        </w:tc>
      </w:tr>
      <w:tr w:rsidR="006A555B" w:rsidRPr="006119F9" w14:paraId="2FB4BF2B" w14:textId="77777777" w:rsidTr="007E0526">
        <w:trPr>
          <w:trHeight w:val="313"/>
        </w:trPr>
        <w:tc>
          <w:tcPr>
            <w:tcW w:w="1363" w:type="dxa"/>
            <w:shd w:val="clear" w:color="auto" w:fill="auto"/>
          </w:tcPr>
          <w:p w14:paraId="15224C64" w14:textId="77777777" w:rsidR="006A555B" w:rsidRPr="006119F9" w:rsidRDefault="006A555B" w:rsidP="00024522">
            <w:pPr>
              <w:rPr>
                <w:rFonts w:ascii="EYInterstate Light" w:hAnsi="EYInterstate Light"/>
              </w:rPr>
            </w:pPr>
            <w:r w:rsidRPr="006119F9">
              <w:rPr>
                <w:rFonts w:ascii="EYInterstate Light" w:hAnsi="EYInterstate Light"/>
              </w:rPr>
              <w:t xml:space="preserve">Digital Identity </w:t>
            </w:r>
          </w:p>
        </w:tc>
        <w:tc>
          <w:tcPr>
            <w:tcW w:w="1198" w:type="dxa"/>
          </w:tcPr>
          <w:p w14:paraId="5FD962F5" w14:textId="77777777" w:rsidR="006A555B" w:rsidRPr="006119F9" w:rsidRDefault="006A555B" w:rsidP="00024522">
            <w:pPr>
              <w:jc w:val="center"/>
              <w:rPr>
                <w:rFonts w:ascii="EYInterstate Light" w:hAnsi="EYInterstate Light"/>
              </w:rPr>
            </w:pPr>
            <w:r w:rsidRPr="006119F9">
              <w:rPr>
                <w:rFonts w:ascii="EYInterstate Light" w:hAnsi="EYInterstate Light"/>
              </w:rPr>
              <w:t>No</w:t>
            </w:r>
          </w:p>
        </w:tc>
        <w:tc>
          <w:tcPr>
            <w:tcW w:w="1264" w:type="dxa"/>
            <w:shd w:val="clear" w:color="auto" w:fill="auto"/>
          </w:tcPr>
          <w:p w14:paraId="31B6278C" w14:textId="77777777" w:rsidR="006A555B" w:rsidRPr="006119F9" w:rsidRDefault="006A555B" w:rsidP="00024522">
            <w:pPr>
              <w:jc w:val="center"/>
              <w:rPr>
                <w:rFonts w:ascii="EYInterstate Light" w:hAnsi="EYInterstate Light"/>
              </w:rPr>
            </w:pPr>
            <w:r w:rsidRPr="006119F9">
              <w:rPr>
                <w:rFonts w:ascii="EYInterstate Light" w:hAnsi="EYInterstate Light"/>
              </w:rPr>
              <w:t xml:space="preserve">Yes </w:t>
            </w:r>
          </w:p>
        </w:tc>
        <w:tc>
          <w:tcPr>
            <w:tcW w:w="1261" w:type="dxa"/>
            <w:shd w:val="clear" w:color="auto" w:fill="auto"/>
          </w:tcPr>
          <w:p w14:paraId="3417F7D5" w14:textId="77777777" w:rsidR="006A555B" w:rsidRPr="006119F9" w:rsidRDefault="006A555B" w:rsidP="00024522">
            <w:pPr>
              <w:jc w:val="center"/>
              <w:rPr>
                <w:rFonts w:ascii="EYInterstate Light" w:hAnsi="EYInterstate Light"/>
              </w:rPr>
            </w:pPr>
            <w:r w:rsidRPr="006119F9">
              <w:rPr>
                <w:rFonts w:ascii="EYInterstate Light" w:hAnsi="EYInterstate Light"/>
              </w:rPr>
              <w:t xml:space="preserve">Yes </w:t>
            </w:r>
          </w:p>
        </w:tc>
        <w:tc>
          <w:tcPr>
            <w:tcW w:w="1262" w:type="dxa"/>
            <w:shd w:val="clear" w:color="auto" w:fill="auto"/>
          </w:tcPr>
          <w:p w14:paraId="168B7548" w14:textId="77777777" w:rsidR="006A555B" w:rsidRPr="006119F9" w:rsidRDefault="006A555B" w:rsidP="00024522">
            <w:pPr>
              <w:jc w:val="center"/>
              <w:rPr>
                <w:rFonts w:ascii="EYInterstate Light" w:hAnsi="EYInterstate Light"/>
              </w:rPr>
            </w:pPr>
            <w:r w:rsidRPr="006119F9">
              <w:rPr>
                <w:rFonts w:ascii="EYInterstate Light" w:hAnsi="EYInterstate Light"/>
              </w:rPr>
              <w:t>No</w:t>
            </w:r>
          </w:p>
        </w:tc>
        <w:tc>
          <w:tcPr>
            <w:tcW w:w="1330" w:type="dxa"/>
            <w:shd w:val="clear" w:color="auto" w:fill="auto"/>
          </w:tcPr>
          <w:p w14:paraId="7F1F08E5" w14:textId="77777777" w:rsidR="006A555B" w:rsidRPr="006119F9" w:rsidRDefault="006A555B" w:rsidP="00024522">
            <w:pPr>
              <w:jc w:val="center"/>
              <w:rPr>
                <w:rFonts w:ascii="EYInterstate Light" w:hAnsi="EYInterstate Light"/>
              </w:rPr>
            </w:pPr>
            <w:r w:rsidRPr="006119F9">
              <w:rPr>
                <w:rFonts w:ascii="EYInterstate Light" w:hAnsi="EYInterstate Light"/>
              </w:rPr>
              <w:t xml:space="preserve">Medium </w:t>
            </w:r>
          </w:p>
        </w:tc>
        <w:tc>
          <w:tcPr>
            <w:tcW w:w="1351" w:type="dxa"/>
            <w:shd w:val="clear" w:color="auto" w:fill="auto"/>
          </w:tcPr>
          <w:p w14:paraId="64A52CCE" w14:textId="77777777" w:rsidR="006A555B" w:rsidRPr="006119F9" w:rsidRDefault="006A555B" w:rsidP="00024522">
            <w:pPr>
              <w:jc w:val="center"/>
              <w:rPr>
                <w:rFonts w:ascii="EYInterstate Light" w:hAnsi="EYInterstate Light"/>
              </w:rPr>
            </w:pPr>
            <w:r w:rsidRPr="006119F9">
              <w:rPr>
                <w:rFonts w:ascii="EYInterstate Light" w:hAnsi="EYInterstate Light"/>
              </w:rPr>
              <w:t xml:space="preserve">Low </w:t>
            </w:r>
          </w:p>
        </w:tc>
      </w:tr>
      <w:tr w:rsidR="006A555B" w:rsidRPr="006119F9" w14:paraId="7D1508EB" w14:textId="77777777" w:rsidTr="007E0526">
        <w:trPr>
          <w:trHeight w:val="313"/>
        </w:trPr>
        <w:tc>
          <w:tcPr>
            <w:tcW w:w="1363" w:type="dxa"/>
            <w:shd w:val="clear" w:color="auto" w:fill="auto"/>
          </w:tcPr>
          <w:p w14:paraId="4416906A" w14:textId="77777777" w:rsidR="006A555B" w:rsidRPr="006119F9" w:rsidRDefault="006A555B" w:rsidP="00024522">
            <w:pPr>
              <w:rPr>
                <w:rFonts w:ascii="EYInterstate Light" w:hAnsi="EYInterstate Light"/>
              </w:rPr>
            </w:pPr>
            <w:r w:rsidRPr="006119F9">
              <w:rPr>
                <w:rFonts w:ascii="EYInterstate Light" w:hAnsi="EYInterstate Light"/>
              </w:rPr>
              <w:t xml:space="preserve">Proof </w:t>
            </w:r>
            <w:r>
              <w:rPr>
                <w:rFonts w:ascii="EYInterstate Light" w:hAnsi="EYInterstate Light"/>
              </w:rPr>
              <w:t>citizenship or residence</w:t>
            </w:r>
            <w:r w:rsidRPr="006119F9">
              <w:rPr>
                <w:rFonts w:ascii="EYInterstate Light" w:hAnsi="EYInterstate Light"/>
              </w:rPr>
              <w:t xml:space="preserve"> </w:t>
            </w:r>
          </w:p>
        </w:tc>
        <w:tc>
          <w:tcPr>
            <w:tcW w:w="1198" w:type="dxa"/>
          </w:tcPr>
          <w:p w14:paraId="30AF0A66" w14:textId="77777777" w:rsidR="006A555B" w:rsidRPr="006119F9" w:rsidRDefault="006A555B" w:rsidP="00024522">
            <w:pPr>
              <w:jc w:val="center"/>
              <w:rPr>
                <w:rFonts w:ascii="EYInterstate Light" w:hAnsi="EYInterstate Light"/>
              </w:rPr>
            </w:pPr>
            <w:r w:rsidRPr="006119F9">
              <w:rPr>
                <w:rFonts w:ascii="EYInterstate Light" w:hAnsi="EYInterstate Light"/>
              </w:rPr>
              <w:t>no</w:t>
            </w:r>
          </w:p>
        </w:tc>
        <w:tc>
          <w:tcPr>
            <w:tcW w:w="1264" w:type="dxa"/>
            <w:shd w:val="clear" w:color="auto" w:fill="auto"/>
          </w:tcPr>
          <w:p w14:paraId="462EC75E" w14:textId="77777777" w:rsidR="006A555B" w:rsidRPr="006119F9" w:rsidRDefault="006A555B" w:rsidP="00024522">
            <w:pPr>
              <w:jc w:val="center"/>
              <w:rPr>
                <w:rFonts w:ascii="EYInterstate Light" w:hAnsi="EYInterstate Light"/>
              </w:rPr>
            </w:pPr>
            <w:r w:rsidRPr="006119F9">
              <w:rPr>
                <w:rFonts w:ascii="EYInterstate Light" w:hAnsi="EYInterstate Light"/>
              </w:rPr>
              <w:t xml:space="preserve">Yes </w:t>
            </w:r>
          </w:p>
        </w:tc>
        <w:tc>
          <w:tcPr>
            <w:tcW w:w="1261" w:type="dxa"/>
            <w:shd w:val="clear" w:color="auto" w:fill="auto"/>
          </w:tcPr>
          <w:p w14:paraId="0BA33299" w14:textId="77777777" w:rsidR="006A555B" w:rsidRPr="006119F9" w:rsidRDefault="006A555B" w:rsidP="00024522">
            <w:pPr>
              <w:jc w:val="center"/>
              <w:rPr>
                <w:rFonts w:ascii="EYInterstate Light" w:hAnsi="EYInterstate Light"/>
              </w:rPr>
            </w:pPr>
            <w:r w:rsidRPr="006119F9">
              <w:rPr>
                <w:rFonts w:ascii="EYInterstate Light" w:hAnsi="EYInterstate Light"/>
              </w:rPr>
              <w:t xml:space="preserve">Yes </w:t>
            </w:r>
          </w:p>
        </w:tc>
        <w:tc>
          <w:tcPr>
            <w:tcW w:w="1262" w:type="dxa"/>
            <w:shd w:val="clear" w:color="auto" w:fill="auto"/>
          </w:tcPr>
          <w:p w14:paraId="0ED8DC12" w14:textId="77777777" w:rsidR="006A555B" w:rsidRPr="006119F9" w:rsidRDefault="006A555B" w:rsidP="00024522">
            <w:pPr>
              <w:jc w:val="center"/>
              <w:rPr>
                <w:rFonts w:ascii="EYInterstate Light" w:hAnsi="EYInterstate Light"/>
              </w:rPr>
            </w:pPr>
            <w:r w:rsidRPr="006119F9">
              <w:rPr>
                <w:rFonts w:ascii="EYInterstate Light" w:hAnsi="EYInterstate Light"/>
              </w:rPr>
              <w:t>No</w:t>
            </w:r>
          </w:p>
        </w:tc>
        <w:tc>
          <w:tcPr>
            <w:tcW w:w="1330" w:type="dxa"/>
            <w:shd w:val="clear" w:color="auto" w:fill="auto"/>
          </w:tcPr>
          <w:p w14:paraId="307F52C4" w14:textId="77777777" w:rsidR="006A555B" w:rsidRPr="006119F9" w:rsidRDefault="006A555B" w:rsidP="00024522">
            <w:pPr>
              <w:jc w:val="center"/>
              <w:rPr>
                <w:rFonts w:ascii="EYInterstate Light" w:hAnsi="EYInterstate Light"/>
              </w:rPr>
            </w:pPr>
            <w:r w:rsidRPr="006119F9">
              <w:rPr>
                <w:rFonts w:ascii="EYInterstate Light" w:hAnsi="EYInterstate Light"/>
              </w:rPr>
              <w:t xml:space="preserve">Low </w:t>
            </w:r>
          </w:p>
        </w:tc>
        <w:tc>
          <w:tcPr>
            <w:tcW w:w="1351" w:type="dxa"/>
            <w:shd w:val="clear" w:color="auto" w:fill="auto"/>
          </w:tcPr>
          <w:p w14:paraId="1F96F3D6" w14:textId="77777777" w:rsidR="006A555B" w:rsidRPr="006119F9" w:rsidRDefault="006A555B" w:rsidP="00024522">
            <w:pPr>
              <w:jc w:val="center"/>
              <w:rPr>
                <w:rFonts w:ascii="EYInterstate Light" w:hAnsi="EYInterstate Light"/>
              </w:rPr>
            </w:pPr>
            <w:r w:rsidRPr="006119F9">
              <w:rPr>
                <w:rFonts w:ascii="EYInterstate Light" w:hAnsi="EYInterstate Light"/>
              </w:rPr>
              <w:t>Low</w:t>
            </w:r>
          </w:p>
        </w:tc>
      </w:tr>
      <w:tr w:rsidR="006A555B" w:rsidRPr="006119F9" w14:paraId="2840B4D9" w14:textId="77777777" w:rsidTr="007E0526">
        <w:trPr>
          <w:trHeight w:val="313"/>
        </w:trPr>
        <w:tc>
          <w:tcPr>
            <w:tcW w:w="1363" w:type="dxa"/>
            <w:shd w:val="clear" w:color="auto" w:fill="auto"/>
          </w:tcPr>
          <w:p w14:paraId="2B0417B5" w14:textId="77777777" w:rsidR="006A555B" w:rsidRPr="006119F9" w:rsidRDefault="006A555B" w:rsidP="00024522">
            <w:pPr>
              <w:rPr>
                <w:rFonts w:ascii="EYInterstate Light" w:hAnsi="EYInterstate Light"/>
              </w:rPr>
            </w:pPr>
            <w:r w:rsidRPr="006119F9">
              <w:rPr>
                <w:rFonts w:ascii="EYInterstate Light" w:hAnsi="EYInterstate Light"/>
              </w:rPr>
              <w:t xml:space="preserve">Australian Institution </w:t>
            </w:r>
          </w:p>
        </w:tc>
        <w:tc>
          <w:tcPr>
            <w:tcW w:w="1198" w:type="dxa"/>
          </w:tcPr>
          <w:p w14:paraId="570E49CD" w14:textId="77777777" w:rsidR="006A555B" w:rsidRPr="006119F9" w:rsidRDefault="006A555B" w:rsidP="00024522">
            <w:pPr>
              <w:jc w:val="center"/>
              <w:rPr>
                <w:rFonts w:ascii="EYInterstate Light" w:hAnsi="EYInterstate Light"/>
              </w:rPr>
            </w:pPr>
            <w:r w:rsidRPr="006119F9">
              <w:rPr>
                <w:rFonts w:ascii="EYInterstate Light" w:hAnsi="EYInterstate Light"/>
              </w:rPr>
              <w:t>no</w:t>
            </w:r>
          </w:p>
        </w:tc>
        <w:tc>
          <w:tcPr>
            <w:tcW w:w="1264" w:type="dxa"/>
            <w:shd w:val="clear" w:color="auto" w:fill="auto"/>
          </w:tcPr>
          <w:p w14:paraId="5A322F83" w14:textId="77777777" w:rsidR="006A555B" w:rsidRPr="006119F9" w:rsidRDefault="006A555B" w:rsidP="00024522">
            <w:pPr>
              <w:jc w:val="center"/>
              <w:rPr>
                <w:rFonts w:ascii="EYInterstate Light" w:hAnsi="EYInterstate Light"/>
              </w:rPr>
            </w:pPr>
            <w:r w:rsidRPr="006119F9">
              <w:rPr>
                <w:rFonts w:ascii="EYInterstate Light" w:hAnsi="EYInterstate Light"/>
              </w:rPr>
              <w:t>Yes</w:t>
            </w:r>
          </w:p>
        </w:tc>
        <w:tc>
          <w:tcPr>
            <w:tcW w:w="1261" w:type="dxa"/>
            <w:shd w:val="clear" w:color="auto" w:fill="auto"/>
          </w:tcPr>
          <w:p w14:paraId="52559FF6" w14:textId="77777777" w:rsidR="006A555B" w:rsidRPr="006119F9" w:rsidRDefault="006A555B" w:rsidP="00024522">
            <w:pPr>
              <w:jc w:val="center"/>
              <w:rPr>
                <w:rFonts w:ascii="EYInterstate Light" w:hAnsi="EYInterstate Light"/>
              </w:rPr>
            </w:pPr>
            <w:r w:rsidRPr="006119F9">
              <w:rPr>
                <w:rFonts w:ascii="EYInterstate Light" w:hAnsi="EYInterstate Light"/>
              </w:rPr>
              <w:t xml:space="preserve">Yes </w:t>
            </w:r>
          </w:p>
        </w:tc>
        <w:tc>
          <w:tcPr>
            <w:tcW w:w="1262" w:type="dxa"/>
            <w:shd w:val="clear" w:color="auto" w:fill="auto"/>
          </w:tcPr>
          <w:p w14:paraId="39E6855F" w14:textId="77777777" w:rsidR="006A555B" w:rsidRPr="006119F9" w:rsidRDefault="006A555B" w:rsidP="00024522">
            <w:pPr>
              <w:jc w:val="center"/>
              <w:rPr>
                <w:rFonts w:ascii="EYInterstate Light" w:hAnsi="EYInterstate Light"/>
              </w:rPr>
            </w:pPr>
            <w:r w:rsidRPr="006119F9">
              <w:rPr>
                <w:rFonts w:ascii="EYInterstate Light" w:hAnsi="EYInterstate Light"/>
              </w:rPr>
              <w:t xml:space="preserve">Yes </w:t>
            </w:r>
          </w:p>
        </w:tc>
        <w:tc>
          <w:tcPr>
            <w:tcW w:w="1330" w:type="dxa"/>
            <w:shd w:val="clear" w:color="auto" w:fill="auto"/>
          </w:tcPr>
          <w:p w14:paraId="5B9761A8" w14:textId="77777777" w:rsidR="006A555B" w:rsidRPr="006119F9" w:rsidRDefault="006A555B" w:rsidP="00024522">
            <w:pPr>
              <w:jc w:val="center"/>
              <w:rPr>
                <w:rFonts w:ascii="EYInterstate Light" w:hAnsi="EYInterstate Light"/>
              </w:rPr>
            </w:pPr>
            <w:r w:rsidRPr="006119F9">
              <w:rPr>
                <w:rFonts w:ascii="EYInterstate Light" w:hAnsi="EYInterstate Light"/>
              </w:rPr>
              <w:t xml:space="preserve">Medium </w:t>
            </w:r>
          </w:p>
        </w:tc>
        <w:tc>
          <w:tcPr>
            <w:tcW w:w="1351" w:type="dxa"/>
            <w:shd w:val="clear" w:color="auto" w:fill="auto"/>
          </w:tcPr>
          <w:p w14:paraId="598A4332" w14:textId="77777777" w:rsidR="006A555B" w:rsidRPr="006119F9" w:rsidRDefault="006A555B" w:rsidP="00024522">
            <w:pPr>
              <w:jc w:val="center"/>
              <w:rPr>
                <w:rFonts w:ascii="EYInterstate Light" w:hAnsi="EYInterstate Light"/>
              </w:rPr>
            </w:pPr>
            <w:r w:rsidRPr="006119F9">
              <w:rPr>
                <w:rFonts w:ascii="EYInterstate Light" w:hAnsi="EYInterstate Light"/>
              </w:rPr>
              <w:t>Medium</w:t>
            </w:r>
          </w:p>
        </w:tc>
      </w:tr>
    </w:tbl>
    <w:p w14:paraId="71D9562E" w14:textId="259EC2BE" w:rsidR="000D3E60" w:rsidRDefault="000D3E60">
      <w:pPr>
        <w:autoSpaceDE/>
        <w:autoSpaceDN/>
        <w:adjustRightInd/>
      </w:pPr>
    </w:p>
    <w:p w14:paraId="6204F521" w14:textId="56A1C093" w:rsidR="006A555B" w:rsidRPr="006119F9" w:rsidRDefault="006A555B" w:rsidP="00AB7674">
      <w:pPr>
        <w:pStyle w:val="EYBulletnoparaspace"/>
        <w:spacing w:before="240"/>
        <w:ind w:left="425" w:hanging="357"/>
      </w:pPr>
      <w:r w:rsidRPr="005D0219">
        <w:rPr>
          <w:b/>
        </w:rPr>
        <w:t xml:space="preserve">IP </w:t>
      </w:r>
      <w:r w:rsidR="00CA0052">
        <w:rPr>
          <w:b/>
        </w:rPr>
        <w:t>a</w:t>
      </w:r>
      <w:r w:rsidRPr="005D0219">
        <w:rPr>
          <w:b/>
        </w:rPr>
        <w:t>ddress</w:t>
      </w:r>
      <w:r w:rsidRPr="006119F9">
        <w:t xml:space="preserve"> </w:t>
      </w:r>
      <w:r w:rsidR="0071365C">
        <w:t>—</w:t>
      </w:r>
      <w:r w:rsidRPr="006119F9">
        <w:t xml:space="preserve"> Identifying users through their IP address captures all users and is easy to use as users can access journals without additional authentication. However, this option has a high potential for unauthorised access, with individuals outside Australia potentially able to </w:t>
      </w:r>
      <w:r>
        <w:t>falsify</w:t>
      </w:r>
      <w:r w:rsidRPr="006119F9">
        <w:t xml:space="preserve"> their IP address with a Virtual Private Network (VPN).</w:t>
      </w:r>
    </w:p>
    <w:p w14:paraId="733CDE6F" w14:textId="311545D7" w:rsidR="006A555B" w:rsidRPr="006119F9" w:rsidRDefault="006A555B" w:rsidP="0084200B">
      <w:pPr>
        <w:pStyle w:val="EYBulletnoparaspace"/>
        <w:ind w:left="426"/>
      </w:pPr>
      <w:r w:rsidRPr="005D0219">
        <w:rPr>
          <w:b/>
        </w:rPr>
        <w:t xml:space="preserve">Digital </w:t>
      </w:r>
      <w:r w:rsidR="003146A2">
        <w:rPr>
          <w:b/>
        </w:rPr>
        <w:t>i</w:t>
      </w:r>
      <w:r w:rsidRPr="005D0219">
        <w:rPr>
          <w:b/>
        </w:rPr>
        <w:t>dentity</w:t>
      </w:r>
      <w:r w:rsidRPr="006119F9">
        <w:t xml:space="preserve"> </w:t>
      </w:r>
      <w:r w:rsidR="0071365C">
        <w:t>—</w:t>
      </w:r>
      <w:r w:rsidRPr="006119F9">
        <w:t xml:space="preserve"> </w:t>
      </w:r>
      <w:r w:rsidR="0071365C">
        <w:t>U</w:t>
      </w:r>
      <w:r w:rsidRPr="006119F9">
        <w:t xml:space="preserve">sing Australia's digital identity system is a more robust system to identify Australian residents. However, as this does not provide a live location and requires higher levels of address and identity verification, it has low ease of use and may allow </w:t>
      </w:r>
      <w:r>
        <w:t xml:space="preserve">Australian </w:t>
      </w:r>
      <w:r w:rsidRPr="006119F9">
        <w:t>citizens outside Australia to continue accessing journals.</w:t>
      </w:r>
    </w:p>
    <w:p w14:paraId="012E344D" w14:textId="063434F4" w:rsidR="006A555B" w:rsidRDefault="006A555B" w:rsidP="0084200B">
      <w:pPr>
        <w:pStyle w:val="EYBulletnoparaspace"/>
        <w:ind w:left="426"/>
      </w:pPr>
      <w:r w:rsidRPr="006119F9">
        <w:rPr>
          <w:b/>
        </w:rPr>
        <w:t xml:space="preserve">Proof of </w:t>
      </w:r>
      <w:r>
        <w:rPr>
          <w:b/>
        </w:rPr>
        <w:t>citizenship/</w:t>
      </w:r>
      <w:r w:rsidRPr="006119F9">
        <w:rPr>
          <w:b/>
        </w:rPr>
        <w:t>residence</w:t>
      </w:r>
      <w:r w:rsidRPr="006119F9">
        <w:t xml:space="preserve"> </w:t>
      </w:r>
      <w:r w:rsidR="0071365C">
        <w:t>—</w:t>
      </w:r>
      <w:r w:rsidRPr="006119F9">
        <w:t xml:space="preserve"> </w:t>
      </w:r>
      <w:r w:rsidR="0071365C">
        <w:t>L</w:t>
      </w:r>
      <w:r w:rsidRPr="006119F9">
        <w:t>ike</w:t>
      </w:r>
      <w:r w:rsidR="00CA0052">
        <w:t xml:space="preserve"> a</w:t>
      </w:r>
      <w:r w:rsidRPr="006119F9">
        <w:t xml:space="preserve"> digital identity system, proof of Australian </w:t>
      </w:r>
      <w:r>
        <w:t xml:space="preserve">citizenship or </w:t>
      </w:r>
      <w:r w:rsidRPr="006119F9">
        <w:t xml:space="preserve">residence places a higher level of security on access. </w:t>
      </w:r>
      <w:r w:rsidR="00CA0052">
        <w:t>As</w:t>
      </w:r>
      <w:r w:rsidRPr="006119F9">
        <w:t xml:space="preserve"> this is not a live location tracking system,</w:t>
      </w:r>
      <w:r>
        <w:t xml:space="preserve"> individuals who are currently staying within Australia who are not citizens or do not have </w:t>
      </w:r>
      <w:r w:rsidR="00CF6FA9">
        <w:t>permanent</w:t>
      </w:r>
      <w:r>
        <w:t xml:space="preserve"> residence will not be able to access the scheme. Alternatively, citizens who have left Australia will be able to continue </w:t>
      </w:r>
      <w:r w:rsidR="000D606F">
        <w:t>to</w:t>
      </w:r>
      <w:r>
        <w:t xml:space="preserve"> access journals</w:t>
      </w:r>
      <w:r w:rsidR="00455369">
        <w:t>,</w:t>
      </w:r>
      <w:r>
        <w:t xml:space="preserve"> but they are not prescribed users as </w:t>
      </w:r>
      <w:r w:rsidR="00CA0052">
        <w:t xml:space="preserve">may be </w:t>
      </w:r>
      <w:r>
        <w:t>defined by the scheme.</w:t>
      </w:r>
    </w:p>
    <w:p w14:paraId="649917B5" w14:textId="164B5085" w:rsidR="006A555B" w:rsidRPr="006119F9" w:rsidRDefault="006A555B" w:rsidP="0084200B">
      <w:pPr>
        <w:pStyle w:val="EYBulletnoparaspace"/>
        <w:ind w:left="426"/>
      </w:pPr>
      <w:r w:rsidRPr="006119F9">
        <w:rPr>
          <w:b/>
        </w:rPr>
        <w:t>Australian institution</w:t>
      </w:r>
      <w:r w:rsidRPr="006119F9">
        <w:t xml:space="preserve"> </w:t>
      </w:r>
      <w:r w:rsidR="0071365C">
        <w:t>—</w:t>
      </w:r>
      <w:r w:rsidRPr="006119F9">
        <w:t xml:space="preserve"> </w:t>
      </w:r>
      <w:r w:rsidR="0071365C">
        <w:t>T</w:t>
      </w:r>
      <w:r w:rsidRPr="006119F9">
        <w:t>h</w:t>
      </w:r>
      <w:r w:rsidR="00461884">
        <w:t>e</w:t>
      </w:r>
      <w:r w:rsidRPr="006119F9">
        <w:t xml:space="preserve"> most common current authentication system</w:t>
      </w:r>
      <w:r>
        <w:t xml:space="preserve"> for journal access</w:t>
      </w:r>
      <w:r w:rsidRPr="006119F9">
        <w:t xml:space="preserve"> </w:t>
      </w:r>
      <w:r>
        <w:t xml:space="preserve">is </w:t>
      </w:r>
      <w:r w:rsidRPr="006119F9">
        <w:t xml:space="preserve">through a subscribing institution. Prescribed users could log in from a current Australian institution, but again, as this does not provide a live location tracker, users may be able to continue to access the system outside Australia. </w:t>
      </w:r>
    </w:p>
    <w:p w14:paraId="602F5B43" w14:textId="239A30DC" w:rsidR="006A555B" w:rsidRPr="0084200B" w:rsidRDefault="006A555B" w:rsidP="0084200B">
      <w:pPr>
        <w:pStyle w:val="EYBodytextwithoutparaspace"/>
      </w:pPr>
      <w:r w:rsidRPr="0084200B">
        <w:t xml:space="preserve">As noted above, the central implementation body must balance ease of use with access. Each system presented above has key </w:t>
      </w:r>
      <w:r w:rsidR="00CA0052">
        <w:t>advantages</w:t>
      </w:r>
      <w:r w:rsidR="00CA0052" w:rsidRPr="0084200B">
        <w:t xml:space="preserve"> but</w:t>
      </w:r>
      <w:r w:rsidR="00CA0052">
        <w:t xml:space="preserve"> has limitations</w:t>
      </w:r>
      <w:r w:rsidRPr="0084200B">
        <w:t xml:space="preserve"> including the ability to provide a live location system and maintain ease of use.</w:t>
      </w:r>
    </w:p>
    <w:p w14:paraId="13CCFCD9" w14:textId="77777777" w:rsidR="006A555B" w:rsidRDefault="006A555B" w:rsidP="0084200B">
      <w:pPr>
        <w:pStyle w:val="EYBodytextwithoutparaspace"/>
      </w:pPr>
      <w:r w:rsidRPr="0084200B">
        <w:t>One alternative is multifactor authentication, which combines an IP address with an authentication through an Australian institution. For example, the National Library of Australia could be the central institution with an additional location-based secondary authentication. Prescribed users would still access journals through the publisher’s website</w:t>
      </w:r>
      <w:r>
        <w:t>.</w:t>
      </w:r>
    </w:p>
    <w:p w14:paraId="0BC654F7" w14:textId="0DDB10A9" w:rsidR="001962F0" w:rsidRDefault="000D3E60" w:rsidP="000D3E60">
      <w:pPr>
        <w:pStyle w:val="EYBodytextwithparaspace"/>
        <w:spacing w:after="240"/>
      </w:pPr>
      <w:r>
        <w:fldChar w:fldCharType="begin"/>
      </w:r>
      <w:r>
        <w:instrText xml:space="preserve"> REF _Ref115694629 \h </w:instrText>
      </w:r>
      <w:r>
        <w:fldChar w:fldCharType="separate"/>
      </w:r>
      <w:r w:rsidR="008112E6">
        <w:t xml:space="preserve">Figure </w:t>
      </w:r>
      <w:r w:rsidR="008112E6">
        <w:rPr>
          <w:noProof/>
        </w:rPr>
        <w:t>22</w:t>
      </w:r>
      <w:r>
        <w:fldChar w:fldCharType="end"/>
      </w:r>
      <w:r w:rsidR="006A555B">
        <w:t xml:space="preserve"> </w:t>
      </w:r>
      <w:r w:rsidR="006A555B" w:rsidRPr="006119F9">
        <w:t>provides a</w:t>
      </w:r>
      <w:r w:rsidR="006A555B">
        <w:t>n</w:t>
      </w:r>
      <w:r w:rsidR="006A555B" w:rsidRPr="006119F9">
        <w:t xml:space="preserve"> illustration of the multifactor system.</w:t>
      </w:r>
    </w:p>
    <w:p w14:paraId="28EEA5EB" w14:textId="0882D2BE" w:rsidR="0084200B" w:rsidRDefault="0084200B" w:rsidP="000D3E60">
      <w:pPr>
        <w:pStyle w:val="Caption"/>
        <w:keepNext/>
        <w:spacing w:after="240"/>
      </w:pPr>
      <w:bookmarkStart w:id="56" w:name="_Ref115694629"/>
      <w:r>
        <w:lastRenderedPageBreak/>
        <w:t xml:space="preserve">Figure </w:t>
      </w:r>
      <w:r w:rsidR="0029059A">
        <w:fldChar w:fldCharType="begin"/>
      </w:r>
      <w:r w:rsidR="0029059A">
        <w:instrText xml:space="preserve"> SEQ Figure \* ARABIC </w:instrText>
      </w:r>
      <w:r w:rsidR="0029059A">
        <w:fldChar w:fldCharType="separate"/>
      </w:r>
      <w:r w:rsidR="008112E6">
        <w:rPr>
          <w:noProof/>
        </w:rPr>
        <w:t>22</w:t>
      </w:r>
      <w:r w:rsidR="0029059A">
        <w:fldChar w:fldCharType="end"/>
      </w:r>
      <w:bookmarkEnd w:id="56"/>
      <w:r>
        <w:t>: Authentication system</w:t>
      </w:r>
    </w:p>
    <w:p w14:paraId="34A6D895" w14:textId="26569A6D" w:rsidR="0056693D" w:rsidRDefault="0056693D" w:rsidP="00FB5625">
      <w:pPr>
        <w:pStyle w:val="EYBodytextwithparaspace"/>
      </w:pPr>
      <w:r>
        <w:rPr>
          <w:noProof/>
        </w:rPr>
        <w:drawing>
          <wp:inline distT="0" distB="0" distL="0" distR="0" wp14:anchorId="534D3D6B" wp14:editId="0230A61F">
            <wp:extent cx="5782811" cy="2493010"/>
            <wp:effectExtent l="0" t="0" r="8890" b="0"/>
            <wp:docPr id="1892" name="Picture 1892" descr="The figure illustrates a multifactor authentication system whereby a prescribed user searches and identifies articles, logs on to access, and is then authenticated through an IP address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Picture 1892" descr="The figure illustrates a multifactor authentication system whereby a prescribed user searches and identifies articles, logs on to access, and is then authenticated through an IP address check.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87991" cy="2495243"/>
                    </a:xfrm>
                    <a:prstGeom prst="rect">
                      <a:avLst/>
                    </a:prstGeom>
                    <a:noFill/>
                  </pic:spPr>
                </pic:pic>
              </a:graphicData>
            </a:graphic>
          </wp:inline>
        </w:drawing>
      </w:r>
    </w:p>
    <w:bookmarkEnd w:id="53"/>
    <w:p w14:paraId="34176407" w14:textId="77777777" w:rsidR="0022715D" w:rsidRDefault="0022715D" w:rsidP="0022715D">
      <w:pPr>
        <w:pStyle w:val="EYBodytextwithoutparaspace"/>
      </w:pPr>
    </w:p>
    <w:p w14:paraId="082E9662" w14:textId="5F793945" w:rsidR="00B21059" w:rsidRDefault="00F51657" w:rsidP="00B21059">
      <w:pPr>
        <w:pStyle w:val="EYHeading2"/>
      </w:pPr>
      <w:bookmarkStart w:id="57" w:name="_Toc115717093"/>
      <w:r>
        <w:t>Timing and delivery</w:t>
      </w:r>
      <w:bookmarkEnd w:id="57"/>
    </w:p>
    <w:p w14:paraId="41C03458" w14:textId="5CC7B60F" w:rsidR="00E86060" w:rsidRPr="006119F9" w:rsidRDefault="00E86060" w:rsidP="00564EB1">
      <w:pPr>
        <w:pStyle w:val="EYBodytextwithoutparaspace"/>
      </w:pPr>
      <w:r w:rsidRPr="006119F9">
        <w:t xml:space="preserve">Delivering Australia’s open access scheme will likely occur over multiple years with a </w:t>
      </w:r>
      <w:r w:rsidR="0093376E">
        <w:t>gradual</w:t>
      </w:r>
      <w:r w:rsidRPr="006119F9">
        <w:t xml:space="preserve"> transition to full access. The level of resourcing, governance and government support will drive this timeline</w:t>
      </w:r>
      <w:r w:rsidR="00233BAE">
        <w:t>. T</w:t>
      </w:r>
      <w:r w:rsidRPr="006119F9">
        <w:t xml:space="preserve">he central </w:t>
      </w:r>
      <w:r w:rsidR="00004333">
        <w:t>implementation</w:t>
      </w:r>
      <w:r w:rsidRPr="006119F9">
        <w:t xml:space="preserve"> body </w:t>
      </w:r>
      <w:r w:rsidR="00AB7B1C">
        <w:t xml:space="preserve">will need </w:t>
      </w:r>
      <w:r w:rsidRPr="006119F9">
        <w:t xml:space="preserve">to support universities and research institutions transition to the </w:t>
      </w:r>
      <w:r w:rsidR="00564EB1">
        <w:t xml:space="preserve">national </w:t>
      </w:r>
      <w:r w:rsidRPr="006119F9">
        <w:t xml:space="preserve">open access scheme, </w:t>
      </w:r>
      <w:r w:rsidR="00A10007">
        <w:t xml:space="preserve">negotiate and </w:t>
      </w:r>
      <w:r w:rsidRPr="006119F9">
        <w:t xml:space="preserve">execute agreements with publishers, and build supporting IT infrastructure. </w:t>
      </w:r>
    </w:p>
    <w:p w14:paraId="05A4F78D" w14:textId="79B276A3" w:rsidR="00E86060" w:rsidRPr="006119F9" w:rsidRDefault="0022715D" w:rsidP="00564EB1">
      <w:pPr>
        <w:pStyle w:val="EYBodytextwithoutparaspace"/>
      </w:pPr>
      <w:r>
        <w:t>D</w:t>
      </w:r>
      <w:r w:rsidR="00E86060" w:rsidRPr="006119F9">
        <w:t xml:space="preserve">elivery of the open access scheme </w:t>
      </w:r>
      <w:r>
        <w:t>could</w:t>
      </w:r>
      <w:r w:rsidR="00E86060" w:rsidRPr="006119F9">
        <w:t xml:space="preserve"> occur over </w:t>
      </w:r>
      <w:r w:rsidR="00AE5187">
        <w:t xml:space="preserve">three </w:t>
      </w:r>
      <w:r w:rsidR="00E86060" w:rsidRPr="006119F9">
        <w:t>phases:</w:t>
      </w:r>
    </w:p>
    <w:p w14:paraId="57919EEA" w14:textId="5A3751D3" w:rsidR="0022715D" w:rsidRPr="006C25CB" w:rsidRDefault="00395EEE" w:rsidP="0022715D">
      <w:pPr>
        <w:pStyle w:val="EYBodytextwithparaspace"/>
        <w:numPr>
          <w:ilvl w:val="0"/>
          <w:numId w:val="38"/>
        </w:numPr>
        <w:spacing w:line="240" w:lineRule="auto"/>
        <w:rPr>
          <w:rStyle w:val="Strong"/>
          <w:b w:val="0"/>
          <w:bCs w:val="0"/>
          <w:color w:val="0E101A"/>
        </w:rPr>
      </w:pPr>
      <w:r w:rsidRPr="006C25CB">
        <w:rPr>
          <w:rStyle w:val="Strong"/>
          <w:color w:val="0E101A"/>
        </w:rPr>
        <w:t>Implementation planning, funding approvals and setup</w:t>
      </w:r>
      <w:r w:rsidR="0085144A" w:rsidRPr="006C25CB">
        <w:rPr>
          <w:rStyle w:val="Strong"/>
          <w:color w:val="0E101A"/>
        </w:rPr>
        <w:t xml:space="preserve"> (18 months)</w:t>
      </w:r>
      <w:r w:rsidR="00674D73" w:rsidRPr="006C25CB">
        <w:rPr>
          <w:rStyle w:val="Strong"/>
          <w:b w:val="0"/>
          <w:bCs w:val="0"/>
          <w:color w:val="0E101A"/>
        </w:rPr>
        <w:t xml:space="preserve"> —</w:t>
      </w:r>
      <w:r w:rsidR="0022715D" w:rsidRPr="006C25CB">
        <w:rPr>
          <w:rStyle w:val="Strong"/>
          <w:b w:val="0"/>
          <w:bCs w:val="0"/>
          <w:color w:val="0E101A"/>
        </w:rPr>
        <w:t xml:space="preserve"> This phase builds on the foundation of this paper and progresses to detailed design of the open access scheme. This includes structuring read-and-publish agreements, developing a negotiation strategy and transition planning. This phase also involves securing funding approvals, implementing a preferred governance structure, and acquiring IT solutions.</w:t>
      </w:r>
    </w:p>
    <w:p w14:paraId="2E8D5301" w14:textId="090CDBB5" w:rsidR="00E86060" w:rsidRPr="006C25CB" w:rsidRDefault="008765CC" w:rsidP="00205186">
      <w:pPr>
        <w:pStyle w:val="EYBodytextwithparaspace"/>
        <w:numPr>
          <w:ilvl w:val="0"/>
          <w:numId w:val="38"/>
        </w:numPr>
        <w:spacing w:line="240" w:lineRule="auto"/>
        <w:rPr>
          <w:rStyle w:val="Strong"/>
          <w:b w:val="0"/>
          <w:bCs w:val="0"/>
          <w:color w:val="0E101A"/>
        </w:rPr>
      </w:pPr>
      <w:r w:rsidRPr="006C25CB">
        <w:rPr>
          <w:rStyle w:val="Strong"/>
          <w:color w:val="0E101A"/>
        </w:rPr>
        <w:t>Build</w:t>
      </w:r>
      <w:r w:rsidR="00C05251" w:rsidRPr="006C25CB">
        <w:rPr>
          <w:rStyle w:val="Strong"/>
          <w:color w:val="0E101A"/>
        </w:rPr>
        <w:t xml:space="preserve"> out journal coverage </w:t>
      </w:r>
      <w:r w:rsidR="00911D7B" w:rsidRPr="006C25CB">
        <w:rPr>
          <w:rStyle w:val="Strong"/>
          <w:color w:val="0E101A"/>
        </w:rPr>
        <w:t>(18 months)</w:t>
      </w:r>
      <w:r w:rsidR="00674D73" w:rsidRPr="006C25CB">
        <w:rPr>
          <w:rStyle w:val="Strong"/>
          <w:b w:val="0"/>
          <w:bCs w:val="0"/>
          <w:color w:val="0E101A"/>
        </w:rPr>
        <w:t xml:space="preserve"> —</w:t>
      </w:r>
      <w:r w:rsidR="00E86060" w:rsidRPr="006C25CB">
        <w:rPr>
          <w:rStyle w:val="Strong"/>
          <w:b w:val="0"/>
          <w:bCs w:val="0"/>
          <w:color w:val="0E101A"/>
        </w:rPr>
        <w:t xml:space="preserve"> This</w:t>
      </w:r>
      <w:r w:rsidR="006C25CB">
        <w:rPr>
          <w:rStyle w:val="Strong"/>
          <w:b w:val="0"/>
          <w:bCs w:val="0"/>
          <w:color w:val="0E101A"/>
        </w:rPr>
        <w:t xml:space="preserve"> </w:t>
      </w:r>
      <w:r w:rsidR="006C25CB" w:rsidRPr="006C25CB">
        <w:rPr>
          <w:rStyle w:val="Strong"/>
          <w:b w:val="0"/>
          <w:bCs w:val="0"/>
          <w:color w:val="0E101A"/>
        </w:rPr>
        <w:t>phase involves the scheme going live, enabling Australian stakeholders to access and publish journal articles under a centralised system. This phase will also expand journal coverage through continuous onboarding of publishers and transitioning Australian stakeholders from existing arrangements</w:t>
      </w:r>
      <w:r w:rsidR="00E86060" w:rsidRPr="006C25CB">
        <w:rPr>
          <w:rStyle w:val="Strong"/>
          <w:b w:val="0"/>
          <w:bCs w:val="0"/>
          <w:color w:val="0E101A"/>
        </w:rPr>
        <w:t>.</w:t>
      </w:r>
    </w:p>
    <w:p w14:paraId="7EB61BA9" w14:textId="11BAB53C" w:rsidR="00E86060" w:rsidRPr="006119F9" w:rsidRDefault="00E86060" w:rsidP="00205186">
      <w:pPr>
        <w:pStyle w:val="EYBodytextwithparaspace"/>
        <w:numPr>
          <w:ilvl w:val="0"/>
          <w:numId w:val="38"/>
        </w:numPr>
        <w:spacing w:line="240" w:lineRule="auto"/>
      </w:pPr>
      <w:r>
        <w:rPr>
          <w:rStyle w:val="Strong"/>
          <w:color w:val="0E101A"/>
        </w:rPr>
        <w:t>F</w:t>
      </w:r>
      <w:r w:rsidR="005053BC">
        <w:rPr>
          <w:rStyle w:val="Strong"/>
          <w:color w:val="0E101A"/>
        </w:rPr>
        <w:t>ull scheme</w:t>
      </w:r>
      <w:r w:rsidR="002501C8">
        <w:rPr>
          <w:rStyle w:val="Strong"/>
          <w:color w:val="0E101A"/>
        </w:rPr>
        <w:t xml:space="preserve"> (continuing)</w:t>
      </w:r>
      <w:r w:rsidR="00674D73">
        <w:t xml:space="preserve"> —</w:t>
      </w:r>
      <w:r>
        <w:t xml:space="preserve"> </w:t>
      </w:r>
      <w:r w:rsidR="00674D73">
        <w:t>A</w:t>
      </w:r>
      <w:r w:rsidR="006C25CB" w:rsidRPr="006C25CB">
        <w:t>t this stage, all Australian stakeholders will have transition</w:t>
      </w:r>
      <w:r w:rsidR="006C25CB">
        <w:t>ed</w:t>
      </w:r>
      <w:r w:rsidR="006C25CB" w:rsidRPr="006C25CB">
        <w:t xml:space="preserve"> from existing arrangements and would continue access and publish journal articles through the central implementation body</w:t>
      </w:r>
      <w:r w:rsidR="00205186">
        <w:t>.</w:t>
      </w:r>
    </w:p>
    <w:p w14:paraId="2B50291E" w14:textId="7B6BEE3B" w:rsidR="00E86060" w:rsidRDefault="00B06004" w:rsidP="00A577AC">
      <w:pPr>
        <w:pStyle w:val="EYBodytextwithparaspace"/>
      </w:pPr>
      <w:r>
        <w:fldChar w:fldCharType="begin"/>
      </w:r>
      <w:r>
        <w:instrText xml:space="preserve"> REF _Ref115698272 \h </w:instrText>
      </w:r>
      <w:r>
        <w:fldChar w:fldCharType="separate"/>
      </w:r>
      <w:r w:rsidR="008112E6">
        <w:t xml:space="preserve">Figure </w:t>
      </w:r>
      <w:r w:rsidR="008112E6">
        <w:rPr>
          <w:noProof/>
        </w:rPr>
        <w:t>23</w:t>
      </w:r>
      <w:r>
        <w:fldChar w:fldCharType="end"/>
      </w:r>
      <w:r w:rsidR="00E86060" w:rsidRPr="00B829AD">
        <w:t xml:space="preserve"> provide</w:t>
      </w:r>
      <w:r w:rsidR="00E86060">
        <w:t>s a potential delivery timeline.</w:t>
      </w:r>
    </w:p>
    <w:p w14:paraId="3A648CF2" w14:textId="43487744" w:rsidR="00B06004" w:rsidRDefault="00B06004" w:rsidP="00B06004">
      <w:pPr>
        <w:pStyle w:val="Caption"/>
        <w:keepNext/>
      </w:pPr>
      <w:bookmarkStart w:id="58" w:name="_Ref115698272"/>
      <w:r>
        <w:lastRenderedPageBreak/>
        <w:t xml:space="preserve">Figure </w:t>
      </w:r>
      <w:r>
        <w:fldChar w:fldCharType="begin"/>
      </w:r>
      <w:r>
        <w:instrText xml:space="preserve"> SEQ Figure \* ARABIC </w:instrText>
      </w:r>
      <w:r>
        <w:fldChar w:fldCharType="separate"/>
      </w:r>
      <w:r w:rsidR="008112E6">
        <w:rPr>
          <w:noProof/>
        </w:rPr>
        <w:t>23</w:t>
      </w:r>
      <w:r>
        <w:fldChar w:fldCharType="end"/>
      </w:r>
      <w:bookmarkEnd w:id="58"/>
      <w:r>
        <w:t xml:space="preserve">: </w:t>
      </w:r>
      <w:r w:rsidRPr="00A20D8C">
        <w:t>Proposed timeline</w:t>
      </w:r>
    </w:p>
    <w:p w14:paraId="755C8602" w14:textId="048DED2C" w:rsidR="00E86060" w:rsidRPr="00CA770D" w:rsidRDefault="00F96C4D" w:rsidP="00A577AC">
      <w:pPr>
        <w:pStyle w:val="EYBodytextwithparaspace"/>
      </w:pPr>
      <w:r>
        <w:rPr>
          <w:noProof/>
        </w:rPr>
        <w:drawing>
          <wp:inline distT="0" distB="0" distL="0" distR="0" wp14:anchorId="72A3B49E" wp14:editId="1509051F">
            <wp:extent cx="5733415" cy="2510790"/>
            <wp:effectExtent l="0" t="0" r="635" b="3810"/>
            <wp:docPr id="119" name="Picture 119" descr="The figure is an infographic outlining a potential timeline for an open access scheme. This timeline is as follows, September 2022 to 2023, business case. 2023 to June 2024, implementation planning, funding approvals and setup (approximately 15-18 months). June 2024 to June 2026, building out journal coverage into 'long tail' (approximately 12-18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The figure is an infographic outlining a potential timeline for an open access scheme. This timeline is as follows, September 2022 to 2023, business case. 2023 to June 2024, implementation planning, funding approvals and setup (approximately 15-18 months). June 2024 to June 2026, building out journal coverage into 'long tail' (approximately 12-18 months)."/>
                    <pic:cNvPicPr/>
                  </pic:nvPicPr>
                  <pic:blipFill>
                    <a:blip r:embed="rId43"/>
                    <a:stretch>
                      <a:fillRect/>
                    </a:stretch>
                  </pic:blipFill>
                  <pic:spPr>
                    <a:xfrm>
                      <a:off x="0" y="0"/>
                      <a:ext cx="5733415" cy="2510790"/>
                    </a:xfrm>
                    <a:prstGeom prst="rect">
                      <a:avLst/>
                    </a:prstGeom>
                  </pic:spPr>
                </pic:pic>
              </a:graphicData>
            </a:graphic>
          </wp:inline>
        </w:drawing>
      </w:r>
    </w:p>
    <w:p w14:paraId="798DEE1D" w14:textId="77777777" w:rsidR="00E86060" w:rsidRPr="000D3E60" w:rsidRDefault="00E86060" w:rsidP="00CA770D">
      <w:pPr>
        <w:pStyle w:val="EYHeading3"/>
        <w:rPr>
          <w:iCs/>
          <w:sz w:val="24"/>
        </w:rPr>
      </w:pPr>
      <w:r w:rsidRPr="006313CD">
        <w:t>Onboarding publishers</w:t>
      </w:r>
    </w:p>
    <w:p w14:paraId="54F4C43F" w14:textId="46BBF9EB" w:rsidR="00E86060" w:rsidRPr="006313CD" w:rsidRDefault="00E86060" w:rsidP="001538F8">
      <w:pPr>
        <w:pStyle w:val="EYBodytextwithoutparaspace"/>
      </w:pPr>
      <w:r w:rsidRPr="006313CD">
        <w:t xml:space="preserve">As Chapter 2 outlines, the publishing landscape is complex and </w:t>
      </w:r>
      <w:r w:rsidR="00A27054">
        <w:t>relatively</w:t>
      </w:r>
      <w:r w:rsidRPr="006313CD">
        <w:t xml:space="preserve"> concentrated. At full </w:t>
      </w:r>
      <w:r w:rsidR="00394CA6">
        <w:t>s</w:t>
      </w:r>
      <w:r w:rsidRPr="006313CD">
        <w:t xml:space="preserve">cheme, Australian stakeholders will have </w:t>
      </w:r>
      <w:r w:rsidR="00F64BCD">
        <w:t xml:space="preserve">read </w:t>
      </w:r>
      <w:r w:rsidRPr="006313CD">
        <w:t xml:space="preserve">access to </w:t>
      </w:r>
      <w:r w:rsidR="00AC4355">
        <w:t xml:space="preserve">all </w:t>
      </w:r>
      <w:r w:rsidRPr="006313CD">
        <w:t xml:space="preserve">peer-reviewed academic journal articles, and all Australian-led research will be published in open access journals. Transitioning to the full </w:t>
      </w:r>
      <w:r w:rsidR="004E74D8">
        <w:t>s</w:t>
      </w:r>
      <w:r w:rsidRPr="006313CD">
        <w:t xml:space="preserve">cheme will involve executing agreements with </w:t>
      </w:r>
      <w:r w:rsidR="00A27054">
        <w:t xml:space="preserve">a </w:t>
      </w:r>
      <w:r w:rsidRPr="006313CD">
        <w:t xml:space="preserve">wide range of publishers, </w:t>
      </w:r>
      <w:r w:rsidR="00E41698">
        <w:t xml:space="preserve">which </w:t>
      </w:r>
      <w:r w:rsidRPr="006313CD">
        <w:t>will require varying negotiation lead times due to differences in journal collections.</w:t>
      </w:r>
    </w:p>
    <w:p w14:paraId="4D198C83" w14:textId="013C76C2" w:rsidR="00E86060" w:rsidRPr="006313CD" w:rsidRDefault="00E86060" w:rsidP="001538F8">
      <w:pPr>
        <w:pStyle w:val="EYBodytextwithoutparaspace"/>
      </w:pPr>
      <w:r w:rsidRPr="006313CD">
        <w:t xml:space="preserve">Executing agreements with </w:t>
      </w:r>
      <w:r w:rsidR="00A27054">
        <w:t>all</w:t>
      </w:r>
      <w:r w:rsidRPr="006313CD">
        <w:t xml:space="preserve"> publisher</w:t>
      </w:r>
      <w:r w:rsidR="00A27054">
        <w:t>s</w:t>
      </w:r>
      <w:r w:rsidRPr="006313CD">
        <w:t xml:space="preserve"> before the </w:t>
      </w:r>
      <w:r w:rsidR="00E41698">
        <w:t>s</w:t>
      </w:r>
      <w:r w:rsidRPr="006313CD">
        <w:t xml:space="preserve">cheme goes live </w:t>
      </w:r>
      <w:r w:rsidR="00A97E71">
        <w:t>would</w:t>
      </w:r>
      <w:r w:rsidRPr="006313CD">
        <w:t xml:space="preserve"> substantially push</w:t>
      </w:r>
      <w:r w:rsidR="004E2E60">
        <w:t xml:space="preserve"> </w:t>
      </w:r>
      <w:r w:rsidRPr="006313CD">
        <w:t xml:space="preserve">out timeframes and </w:t>
      </w:r>
      <w:r w:rsidR="00A27054">
        <w:t>be</w:t>
      </w:r>
      <w:r w:rsidRPr="006313CD">
        <w:t xml:space="preserve"> practically infeasible without substantial resourcing of the central implementation body. Alternatively, as the publishing market is heavily concentrated, executing agreements with large publishers enables the broadest coverage at the go-live stage of the </w:t>
      </w:r>
      <w:r w:rsidR="002F0F04">
        <w:t>s</w:t>
      </w:r>
      <w:r w:rsidRPr="006313CD">
        <w:t>cheme.</w:t>
      </w:r>
    </w:p>
    <w:p w14:paraId="68305F72" w14:textId="271FC353" w:rsidR="00E86060" w:rsidRPr="006313CD" w:rsidRDefault="00E86060" w:rsidP="001538F8">
      <w:pPr>
        <w:pStyle w:val="EYBodytextwithoutparaspace"/>
      </w:pPr>
      <w:proofErr w:type="gramStart"/>
      <w:r w:rsidRPr="006313CD">
        <w:t>Similar to</w:t>
      </w:r>
      <w:proofErr w:type="gramEnd"/>
      <w:r w:rsidRPr="006313CD">
        <w:t xml:space="preserve"> the tiered system presented </w:t>
      </w:r>
      <w:r w:rsidR="00E11E0D">
        <w:t>above</w:t>
      </w:r>
      <w:r w:rsidRPr="006313CD">
        <w:t>, critical publishers</w:t>
      </w:r>
      <w:r w:rsidR="009421A5">
        <w:t xml:space="preserve"> can be identified</w:t>
      </w:r>
      <w:r w:rsidRPr="006313CD">
        <w:t xml:space="preserve"> by the size of their journal collections and </w:t>
      </w:r>
      <w:r w:rsidR="00A27054">
        <w:t xml:space="preserve">the </w:t>
      </w:r>
      <w:r w:rsidR="00A97E71">
        <w:t>number of published articles</w:t>
      </w:r>
      <w:r w:rsidRPr="006313CD">
        <w:t xml:space="preserve">. </w:t>
      </w:r>
      <w:r w:rsidR="00681DB2">
        <w:t xml:space="preserve">These tiers relate to </w:t>
      </w:r>
      <w:r w:rsidR="00C81847">
        <w:t>the size and significan</w:t>
      </w:r>
      <w:r w:rsidR="00A27054">
        <w:t>ce</w:t>
      </w:r>
      <w:r w:rsidR="00C81847">
        <w:t xml:space="preserve"> of publishers, with Tier 1 publishers </w:t>
      </w:r>
      <w:r w:rsidR="00A27054">
        <w:t xml:space="preserve">(including Elsevier and Wiley) </w:t>
      </w:r>
      <w:r w:rsidR="00C81847">
        <w:t xml:space="preserve">being </w:t>
      </w:r>
      <w:r w:rsidR="00391112">
        <w:t>the largest</w:t>
      </w:r>
      <w:r w:rsidR="00347251">
        <w:t>.</w:t>
      </w:r>
      <w:r w:rsidRPr="006313CD">
        <w:t xml:space="preserve"> </w:t>
      </w:r>
      <w:r w:rsidR="009421A5">
        <w:fldChar w:fldCharType="begin"/>
      </w:r>
      <w:r w:rsidR="009421A5">
        <w:instrText xml:space="preserve"> REF _Ref115694841 \h </w:instrText>
      </w:r>
      <w:r w:rsidR="009421A5">
        <w:fldChar w:fldCharType="separate"/>
      </w:r>
      <w:r w:rsidR="008112E6">
        <w:t xml:space="preserve">Figure </w:t>
      </w:r>
      <w:r w:rsidR="008112E6">
        <w:rPr>
          <w:noProof/>
        </w:rPr>
        <w:t>24</w:t>
      </w:r>
      <w:r w:rsidR="009421A5">
        <w:fldChar w:fldCharType="end"/>
      </w:r>
      <w:r w:rsidR="009421A5">
        <w:t xml:space="preserve"> </w:t>
      </w:r>
      <w:r w:rsidR="00A27054">
        <w:t>depicts a stylised tiering of</w:t>
      </w:r>
      <w:r w:rsidRPr="006313CD">
        <w:t xml:space="preserve"> publishers.</w:t>
      </w:r>
    </w:p>
    <w:p w14:paraId="70C226A9" w14:textId="2E3C22A6" w:rsidR="009421A5" w:rsidRDefault="009421A5" w:rsidP="009421A5">
      <w:pPr>
        <w:pStyle w:val="Caption"/>
        <w:keepNext/>
      </w:pPr>
      <w:bookmarkStart w:id="59" w:name="_Ref115694841"/>
      <w:r>
        <w:t xml:space="preserve">Figure </w:t>
      </w:r>
      <w:r>
        <w:fldChar w:fldCharType="begin"/>
      </w:r>
      <w:r>
        <w:instrText xml:space="preserve"> SEQ Figure \* ARABIC </w:instrText>
      </w:r>
      <w:r>
        <w:fldChar w:fldCharType="separate"/>
      </w:r>
      <w:r w:rsidR="008112E6">
        <w:rPr>
          <w:noProof/>
        </w:rPr>
        <w:t>24</w:t>
      </w:r>
      <w:r>
        <w:fldChar w:fldCharType="end"/>
      </w:r>
      <w:bookmarkEnd w:id="59"/>
      <w:r>
        <w:t xml:space="preserve">: </w:t>
      </w:r>
      <w:r w:rsidRPr="0008228E">
        <w:t>Tiering publishers</w:t>
      </w:r>
    </w:p>
    <w:p w14:paraId="4CD5AA8B" w14:textId="448C45B6" w:rsidR="00E86060" w:rsidRPr="006119F9" w:rsidRDefault="00212758" w:rsidP="00A577AC">
      <w:pPr>
        <w:pStyle w:val="EYBodytextwithparaspace"/>
      </w:pPr>
      <w:r>
        <w:rPr>
          <w:noProof/>
        </w:rPr>
        <w:drawing>
          <wp:inline distT="0" distB="0" distL="0" distR="0" wp14:anchorId="545B2BEF" wp14:editId="0EF26C9B">
            <wp:extent cx="5733415" cy="2940685"/>
            <wp:effectExtent l="0" t="0" r="635" b="0"/>
            <wp:docPr id="120" name="Picture 120" descr="The figure shows a line graph that demonstrates the relationship between the number of journals a publisher has against the number of publishers who have journals of that size. The graph is broken up into three tiers. The first tier represents the smallest group which are the largest publishers such as Elsevier and Wiley, the second tier represents midsized publishers and the third tier represents the largest cohort or 'long tail' of smaller publishers who publish small volumes of materia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he figure shows a line graph that demonstrates the relationship between the number of journals a publisher has against the number of publishers who have journals of that size. The graph is broken up into three tiers. The first tier represents the smallest group which are the largest publishers such as Elsevier and Wiley, the second tier represents midsized publishers and the third tier represents the largest cohort or 'long tail' of smaller publishers who publish small volumes of materials. &#10;"/>
                    <pic:cNvPicPr/>
                  </pic:nvPicPr>
                  <pic:blipFill>
                    <a:blip r:embed="rId44"/>
                    <a:stretch>
                      <a:fillRect/>
                    </a:stretch>
                  </pic:blipFill>
                  <pic:spPr>
                    <a:xfrm>
                      <a:off x="0" y="0"/>
                      <a:ext cx="5733415" cy="2940685"/>
                    </a:xfrm>
                    <a:prstGeom prst="rect">
                      <a:avLst/>
                    </a:prstGeom>
                  </pic:spPr>
                </pic:pic>
              </a:graphicData>
            </a:graphic>
          </wp:inline>
        </w:drawing>
      </w:r>
    </w:p>
    <w:p w14:paraId="3BFC6672" w14:textId="620ACE7C" w:rsidR="00E86060" w:rsidRPr="006119F9" w:rsidRDefault="00E86060" w:rsidP="001538F8">
      <w:pPr>
        <w:pStyle w:val="EYBodytextwithoutparaspace"/>
      </w:pPr>
      <w:r w:rsidRPr="006119F9">
        <w:lastRenderedPageBreak/>
        <w:t xml:space="preserve">Onboarding large publishers first is </w:t>
      </w:r>
      <w:r w:rsidR="00E47114">
        <w:t>a common open access strategy</w:t>
      </w:r>
      <w:r w:rsidRPr="006119F9">
        <w:t>, with the UK, Sweden and Switzerland approaching</w:t>
      </w:r>
      <w:r w:rsidR="001D7ADE">
        <w:t xml:space="preserve"> </w:t>
      </w:r>
      <w:r w:rsidR="00745E84">
        <w:t xml:space="preserve">publishers with the highest number of publications. </w:t>
      </w:r>
      <w:r w:rsidR="00CE4631">
        <w:t>Negotiating with larger publishers first will enable the central implementation body to have the largest volume of coverage initially. Further</w:t>
      </w:r>
      <w:r w:rsidRPr="006119F9">
        <w:t>, large publisher</w:t>
      </w:r>
      <w:r w:rsidR="00CE4631">
        <w:t>s</w:t>
      </w:r>
      <w:r w:rsidRPr="006119F9">
        <w:t xml:space="preserve"> are crucial to the success of the scheme and will provide momentum as the central implementation body </w:t>
      </w:r>
      <w:r w:rsidR="00E47114">
        <w:t>expands coverage</w:t>
      </w:r>
      <w:r w:rsidRPr="006119F9">
        <w:t xml:space="preserve"> to smaller publishers.</w:t>
      </w:r>
    </w:p>
    <w:p w14:paraId="5CF2F5FC" w14:textId="00E58BEA" w:rsidR="00E86060" w:rsidRPr="00753CBA" w:rsidRDefault="00E86060" w:rsidP="00A577AC">
      <w:pPr>
        <w:pStyle w:val="EYBodytextwithparaspace"/>
        <w:rPr>
          <w:rFonts w:ascii="EYInterstate" w:hAnsi="EYInterstate"/>
          <w:iCs/>
          <w:sz w:val="24"/>
          <w:szCs w:val="24"/>
        </w:rPr>
      </w:pPr>
      <w:r w:rsidRPr="00753CBA">
        <w:rPr>
          <w:rFonts w:ascii="EYInterstate" w:hAnsi="EYInterstate"/>
          <w:iCs/>
          <w:sz w:val="24"/>
          <w:szCs w:val="24"/>
        </w:rPr>
        <w:t>Moving from individual to boilerplate agreements</w:t>
      </w:r>
    </w:p>
    <w:p w14:paraId="6B3F848F" w14:textId="370458FF" w:rsidR="00F65E31" w:rsidRDefault="00812504" w:rsidP="001538F8">
      <w:pPr>
        <w:pStyle w:val="EYBodytextwithoutparaspace"/>
      </w:pPr>
      <w:r>
        <w:t>The</w:t>
      </w:r>
      <w:r w:rsidR="00E86060">
        <w:t xml:space="preserve"> </w:t>
      </w:r>
      <w:r w:rsidR="00B74468">
        <w:t>transition from individualised agreements to standard contracts</w:t>
      </w:r>
      <w:r w:rsidR="00F65E31">
        <w:t xml:space="preserve"> with publishers</w:t>
      </w:r>
      <w:r>
        <w:t xml:space="preserve"> will be a crucial focus of delivery</w:t>
      </w:r>
      <w:r w:rsidR="00B74468">
        <w:t xml:space="preserve">. Initially, larger publishers will likely need individualised agreements and longer lead times </w:t>
      </w:r>
      <w:r w:rsidR="00E86060">
        <w:t xml:space="preserve">due to </w:t>
      </w:r>
      <w:r w:rsidR="00F65E31">
        <w:t>their</w:t>
      </w:r>
      <w:r w:rsidR="00E86060">
        <w:t xml:space="preserve"> substantial collections and management of payments.</w:t>
      </w:r>
      <w:r w:rsidR="00F65E31">
        <w:t xml:space="preserve"> </w:t>
      </w:r>
      <w:r w:rsidR="00D808E4">
        <w:t>It is intended that individual agreements for larger publishers will conform to overarching principles of the scheme</w:t>
      </w:r>
      <w:r w:rsidR="009421A5">
        <w:t>. H</w:t>
      </w:r>
      <w:r w:rsidR="00D808E4">
        <w:t xml:space="preserve">owever, </w:t>
      </w:r>
      <w:r w:rsidR="009421A5">
        <w:t xml:space="preserve">these </w:t>
      </w:r>
      <w:r w:rsidR="00D808E4">
        <w:t xml:space="preserve">may vary </w:t>
      </w:r>
      <w:r w:rsidR="00E5255A">
        <w:t>based on journal numbers and other variables.</w:t>
      </w:r>
    </w:p>
    <w:p w14:paraId="29DFF2C6" w14:textId="38B01CC4" w:rsidR="00A21BF5" w:rsidRPr="00A21BF5" w:rsidRDefault="001538F8" w:rsidP="002B6DAB">
      <w:pPr>
        <w:pStyle w:val="EYBodytextwithoutparaspace"/>
      </w:pPr>
      <w:r>
        <w:t>A</w:t>
      </w:r>
      <w:r w:rsidR="00E86060">
        <w:t xml:space="preserve">s the central implementation body </w:t>
      </w:r>
      <w:r w:rsidR="00166066">
        <w:t xml:space="preserve">expands coverage </w:t>
      </w:r>
      <w:r w:rsidR="00E86060">
        <w:t>to smaller publishers, standard</w:t>
      </w:r>
      <w:r w:rsidR="00A21BF5">
        <w:t>ised</w:t>
      </w:r>
      <w:r w:rsidR="00E86060">
        <w:t xml:space="preserve"> agreements </w:t>
      </w:r>
      <w:r w:rsidR="00166066">
        <w:t>can</w:t>
      </w:r>
      <w:r>
        <w:t xml:space="preserve"> support onboarding a larger volume of </w:t>
      </w:r>
      <w:r w:rsidRPr="00A21BF5">
        <w:t xml:space="preserve">publishers. </w:t>
      </w:r>
      <w:r w:rsidR="00A21BF5" w:rsidRPr="00A21BF5">
        <w:t>This process could also be facilitated by content aggregators which can package multiple journals within a single commercial subscription.</w:t>
      </w:r>
    </w:p>
    <w:p w14:paraId="056F9235" w14:textId="3B95C6CA" w:rsidR="00E86060" w:rsidRPr="00753CBA" w:rsidRDefault="00E86060" w:rsidP="002B6DAB">
      <w:pPr>
        <w:pStyle w:val="EYBodytextwithoutparaspace"/>
        <w:rPr>
          <w:rFonts w:ascii="EYInterstate" w:hAnsi="EYInterstate"/>
          <w:sz w:val="24"/>
          <w:szCs w:val="24"/>
        </w:rPr>
      </w:pPr>
      <w:r w:rsidRPr="00753CBA">
        <w:rPr>
          <w:rFonts w:ascii="EYInterstate" w:hAnsi="EYInterstate"/>
          <w:sz w:val="24"/>
          <w:szCs w:val="24"/>
        </w:rPr>
        <w:t xml:space="preserve">Transitioning universities and research institutions to the </w:t>
      </w:r>
      <w:r w:rsidR="00307D6D" w:rsidRPr="00753CBA">
        <w:rPr>
          <w:rFonts w:ascii="EYInterstate" w:hAnsi="EYInterstate"/>
          <w:sz w:val="24"/>
          <w:szCs w:val="24"/>
        </w:rPr>
        <w:t>s</w:t>
      </w:r>
      <w:r w:rsidRPr="00753CBA">
        <w:rPr>
          <w:rFonts w:ascii="EYInterstate" w:hAnsi="EYInterstate"/>
          <w:sz w:val="24"/>
          <w:szCs w:val="24"/>
        </w:rPr>
        <w:t>cheme</w:t>
      </w:r>
    </w:p>
    <w:p w14:paraId="24489CF9" w14:textId="0B534D26" w:rsidR="00E86060" w:rsidRDefault="00E86060" w:rsidP="00EB656D">
      <w:pPr>
        <w:pStyle w:val="EYBodytextwithoutparaspace"/>
      </w:pPr>
      <w:r>
        <w:t xml:space="preserve">Transitioning </w:t>
      </w:r>
      <w:r w:rsidR="00BD5C5B">
        <w:t>u</w:t>
      </w:r>
      <w:r>
        <w:t xml:space="preserve">niversities and research institutions will be critical to the success of the </w:t>
      </w:r>
      <w:r w:rsidR="00027711">
        <w:t>s</w:t>
      </w:r>
      <w:r>
        <w:t>cheme due to the substantial unwinding of existing arrangements</w:t>
      </w:r>
      <w:r w:rsidR="001767CF">
        <w:t xml:space="preserve"> and agreements with publishers</w:t>
      </w:r>
      <w:r>
        <w:t xml:space="preserve">. At full </w:t>
      </w:r>
      <w:r w:rsidR="001767CF">
        <w:t>s</w:t>
      </w:r>
      <w:r>
        <w:t xml:space="preserve">cheme, all </w:t>
      </w:r>
      <w:r w:rsidR="00464024">
        <w:t>previous</w:t>
      </w:r>
      <w:r w:rsidR="00EB656D">
        <w:t xml:space="preserve">ly held agreements will transition to the central implementation body. Currently, the university sector holds </w:t>
      </w:r>
      <w:r w:rsidR="007E577B">
        <w:t>most</w:t>
      </w:r>
      <w:r w:rsidR="00EB656D">
        <w:t xml:space="preserve"> agreements and will be the major stakeholder group transitioning to the national open access scheme.</w:t>
      </w:r>
    </w:p>
    <w:p w14:paraId="7A366DC7" w14:textId="4FED563D" w:rsidR="00B746AD" w:rsidRDefault="00E86060" w:rsidP="00EB656D">
      <w:pPr>
        <w:pStyle w:val="EYBodytextwithoutparaspace"/>
      </w:pPr>
      <w:r>
        <w:t xml:space="preserve">Accessing and publishing academic journal articles </w:t>
      </w:r>
      <w:r w:rsidR="00B746AD">
        <w:t xml:space="preserve">and ensuring continuity of access is crucial to the university and academic research sector. To </w:t>
      </w:r>
      <w:r w:rsidR="007E577B">
        <w:t xml:space="preserve">facilitate </w:t>
      </w:r>
      <w:r w:rsidR="00B746AD">
        <w:t>a smooth transition, universities and research institutions will</w:t>
      </w:r>
      <w:r w:rsidR="00644C7C">
        <w:t xml:space="preserve"> need to</w:t>
      </w:r>
      <w:r w:rsidR="00B746AD">
        <w:t xml:space="preserve"> gradually unwind existing arrangements after the go-live stage of the scheme. This will ensure that universities and research institutions maintain continuity of access</w:t>
      </w:r>
      <w:r w:rsidR="00DC13B3">
        <w:t xml:space="preserve"> as the scheme ramp</w:t>
      </w:r>
      <w:r w:rsidR="00644C7C">
        <w:t>s</w:t>
      </w:r>
      <w:r w:rsidR="00DC13B3">
        <w:t xml:space="preserve"> up.</w:t>
      </w:r>
    </w:p>
    <w:p w14:paraId="486807CD" w14:textId="1FEF5933" w:rsidR="00DC13B3" w:rsidRDefault="007D1C19" w:rsidP="00EB656D">
      <w:pPr>
        <w:pStyle w:val="EYBodytextwithoutparaspace"/>
      </w:pPr>
      <w:r>
        <w:fldChar w:fldCharType="begin"/>
      </w:r>
      <w:r>
        <w:instrText xml:space="preserve"> REF _Ref115695474 \h </w:instrText>
      </w:r>
      <w:r>
        <w:fldChar w:fldCharType="separate"/>
      </w:r>
      <w:r w:rsidR="008112E6">
        <w:t xml:space="preserve">Figure </w:t>
      </w:r>
      <w:r w:rsidR="008112E6">
        <w:rPr>
          <w:noProof/>
        </w:rPr>
        <w:t>25</w:t>
      </w:r>
      <w:r>
        <w:fldChar w:fldCharType="end"/>
      </w:r>
      <w:r>
        <w:t xml:space="preserve"> </w:t>
      </w:r>
      <w:r w:rsidR="00DC13B3">
        <w:t>provides a transition pathway for universities.</w:t>
      </w:r>
      <w:r w:rsidR="00A7078F">
        <w:t xml:space="preserve"> As universities transition onto the scheme, </w:t>
      </w:r>
      <w:r w:rsidR="009E55AD">
        <w:t>they will gradually</w:t>
      </w:r>
      <w:r w:rsidR="00AE3B41">
        <w:t xml:space="preserve"> move</w:t>
      </w:r>
      <w:r w:rsidR="000E7365">
        <w:t xml:space="preserve"> away from </w:t>
      </w:r>
      <w:r w:rsidR="006F2E13">
        <w:t xml:space="preserve">direct </w:t>
      </w:r>
      <w:r w:rsidR="000E7365">
        <w:t xml:space="preserve">negotiations with publishers and </w:t>
      </w:r>
      <w:r w:rsidR="0026733B">
        <w:t>shift their access through the</w:t>
      </w:r>
      <w:r w:rsidR="000E7365">
        <w:t xml:space="preserve"> central implementation body.</w:t>
      </w:r>
    </w:p>
    <w:p w14:paraId="56182A00" w14:textId="7ACBB995" w:rsidR="00532987" w:rsidRDefault="00532987" w:rsidP="00532987">
      <w:pPr>
        <w:pStyle w:val="Caption"/>
        <w:keepNext/>
      </w:pPr>
      <w:bookmarkStart w:id="60" w:name="_Ref115695474"/>
      <w:r>
        <w:lastRenderedPageBreak/>
        <w:t xml:space="preserve">Figure </w:t>
      </w:r>
      <w:r>
        <w:fldChar w:fldCharType="begin"/>
      </w:r>
      <w:r>
        <w:instrText xml:space="preserve"> SEQ Figure \* ARABIC </w:instrText>
      </w:r>
      <w:r>
        <w:fldChar w:fldCharType="separate"/>
      </w:r>
      <w:r w:rsidR="008112E6">
        <w:rPr>
          <w:noProof/>
        </w:rPr>
        <w:t>25</w:t>
      </w:r>
      <w:r>
        <w:fldChar w:fldCharType="end"/>
      </w:r>
      <w:bookmarkEnd w:id="60"/>
      <w:r>
        <w:t xml:space="preserve">: </w:t>
      </w:r>
      <w:r w:rsidRPr="00BA0E8C">
        <w:t>Universities transition to the central implementation body</w:t>
      </w:r>
    </w:p>
    <w:p w14:paraId="1A697565" w14:textId="1260E10D" w:rsidR="00E565B4" w:rsidRDefault="007F03EE" w:rsidP="00E565B4">
      <w:pPr>
        <w:pStyle w:val="Caption"/>
        <w:keepNext/>
      </w:pPr>
      <w:r>
        <w:rPr>
          <w:noProof/>
        </w:rPr>
        <mc:AlternateContent>
          <mc:Choice Requires="wps">
            <w:drawing>
              <wp:anchor distT="0" distB="0" distL="114300" distR="114300" simplePos="0" relativeHeight="251658244" behindDoc="0" locked="0" layoutInCell="1" allowOverlap="1" wp14:anchorId="12D3C111" wp14:editId="73F06BDD">
                <wp:simplePos x="0" y="0"/>
                <wp:positionH relativeFrom="column">
                  <wp:posOffset>248082</wp:posOffset>
                </wp:positionH>
                <wp:positionV relativeFrom="paragraph">
                  <wp:posOffset>2270557</wp:posOffset>
                </wp:positionV>
                <wp:extent cx="3445459" cy="541324"/>
                <wp:effectExtent l="0" t="0" r="22225" b="11430"/>
                <wp:wrapNone/>
                <wp:docPr id="6" name="Rectangle 6"/>
                <wp:cNvGraphicFramePr/>
                <a:graphic xmlns:a="http://schemas.openxmlformats.org/drawingml/2006/main">
                  <a:graphicData uri="http://schemas.microsoft.com/office/word/2010/wordprocessingShape">
                    <wps:wsp>
                      <wps:cNvSpPr/>
                      <wps:spPr>
                        <a:xfrm>
                          <a:off x="0" y="0"/>
                          <a:ext cx="3445459" cy="5413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52F3A" w14:textId="77777777" w:rsidR="007F03EE" w:rsidRDefault="007F03EE" w:rsidP="007F0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D3C111" id="Rectangle 6" o:spid="_x0000_s1032" style="position:absolute;margin-left:19.55pt;margin-top:178.8pt;width:271.3pt;height:42.6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" fillcolor="white [3212]" strokecolor="white [3212]" strokeweight="2pt">
                <v:textbox>
                  <w:txbxContent>
                    <w:p w14:paraId="14C52F3A" w14:textId="77777777" w:rsidR="007F03EE" w:rsidRDefault="007F03EE" w:rsidP="007F03EE">
                      <w:pPr>
                        <w:jc w:val="center"/>
                      </w:pPr>
                    </w:p>
                  </w:txbxContent>
                </v:textbox>
              </v:rect>
            </w:pict>
          </mc:Fallback>
        </mc:AlternateContent>
      </w:r>
      <w:r w:rsidR="00C14218" w:rsidRPr="00236401">
        <w:rPr>
          <w:noProof/>
        </w:rPr>
        <w:drawing>
          <wp:inline distT="0" distB="0" distL="0" distR="0" wp14:anchorId="402923EA" wp14:editId="2F82E34C">
            <wp:extent cx="5733415" cy="2907665"/>
            <wp:effectExtent l="0" t="0" r="635" b="0"/>
            <wp:docPr id="699" name="Picture 699" descr="A bar chart that shows the proportion of direct agreements between universities and publishers decreasing and agreements between the central implementation body and publishers increasing over the course of the transition to the full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699" descr="A bar chart that shows the proportion of direct agreements between universities and publishers decreasing and agreements between the central implementation body and publishers increasing over the course of the transition to the full sche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3415" cy="2907665"/>
                    </a:xfrm>
                    <a:prstGeom prst="rect">
                      <a:avLst/>
                    </a:prstGeom>
                    <a:noFill/>
                    <a:ln>
                      <a:noFill/>
                    </a:ln>
                  </pic:spPr>
                </pic:pic>
              </a:graphicData>
            </a:graphic>
          </wp:inline>
        </w:drawing>
      </w:r>
    </w:p>
    <w:p w14:paraId="12706398" w14:textId="70315881" w:rsidR="007E577B" w:rsidRDefault="00E86060" w:rsidP="007C59E4">
      <w:pPr>
        <w:pStyle w:val="EYBodytextwithoutparaspace"/>
      </w:pPr>
      <w:r w:rsidRPr="00EB31D5">
        <w:t>For example, at the go</w:t>
      </w:r>
      <w:r w:rsidR="004E1AFE">
        <w:t xml:space="preserve"> </w:t>
      </w:r>
      <w:r w:rsidRPr="00EB31D5">
        <w:t xml:space="preserve">live </w:t>
      </w:r>
      <w:r w:rsidR="00644C7C">
        <w:t>point</w:t>
      </w:r>
      <w:r w:rsidRPr="00EB31D5">
        <w:t xml:space="preserve">, the central implementation body is expected to cover </w:t>
      </w:r>
      <w:r w:rsidR="00644C7C">
        <w:t xml:space="preserve">around </w:t>
      </w:r>
      <w:r w:rsidRPr="00EB31D5">
        <w:t xml:space="preserve">50% of all academic journals by </w:t>
      </w:r>
      <w:r w:rsidR="007C7EBB">
        <w:t xml:space="preserve">having </w:t>
      </w:r>
      <w:r w:rsidR="00644C7C">
        <w:t xml:space="preserve">struck arrangements </w:t>
      </w:r>
      <w:r w:rsidRPr="00EB31D5">
        <w:t xml:space="preserve">with the biggest publishers. Here, Australian stakeholders will still need to hold agreements with individual publishers </w:t>
      </w:r>
      <w:r w:rsidR="00644C7C">
        <w:t xml:space="preserve">which </w:t>
      </w:r>
      <w:r w:rsidRPr="00EB31D5">
        <w:t>the central implementation body does</w:t>
      </w:r>
      <w:r w:rsidR="009C5303">
        <w:t xml:space="preserve"> no</w:t>
      </w:r>
      <w:r w:rsidRPr="00EB31D5">
        <w:t>t cover.</w:t>
      </w:r>
    </w:p>
    <w:p w14:paraId="0E957D33" w14:textId="07E48C9C" w:rsidR="00E86060" w:rsidRPr="006119F9" w:rsidRDefault="00E86060" w:rsidP="007C59E4">
      <w:pPr>
        <w:pStyle w:val="EYBodytextwithoutparaspace"/>
      </w:pPr>
      <w:r w:rsidRPr="00EB31D5">
        <w:t xml:space="preserve">As the central implementation </w:t>
      </w:r>
      <w:r w:rsidR="007C59E4">
        <w:t xml:space="preserve">body </w:t>
      </w:r>
      <w:r w:rsidR="00644C7C">
        <w:t>t</w:t>
      </w:r>
      <w:r w:rsidRPr="00EB31D5">
        <w:t>ransition</w:t>
      </w:r>
      <w:r w:rsidR="00644C7C">
        <w:t>s</w:t>
      </w:r>
      <w:r w:rsidRPr="00EB31D5">
        <w:t xml:space="preserve"> to full </w:t>
      </w:r>
      <w:r w:rsidR="00A82D7C">
        <w:t>s</w:t>
      </w:r>
      <w:r w:rsidRPr="00EB31D5">
        <w:t xml:space="preserve">cheme by executing agreements with more publishers, Australian stakeholders </w:t>
      </w:r>
      <w:r w:rsidR="00644C7C">
        <w:t>would</w:t>
      </w:r>
      <w:r w:rsidRPr="00EB31D5">
        <w:t xml:space="preserve"> </w:t>
      </w:r>
      <w:r w:rsidR="00644C7C">
        <w:t>progressively</w:t>
      </w:r>
      <w:r w:rsidRPr="00EB31D5">
        <w:t xml:space="preserve"> </w:t>
      </w:r>
      <w:r w:rsidR="00644C7C">
        <w:t>roll off</w:t>
      </w:r>
      <w:r w:rsidRPr="00EB31D5">
        <w:t xml:space="preserve"> existing contracts and continue to access and publish under the </w:t>
      </w:r>
      <w:r w:rsidR="004D02A1">
        <w:t>national scheme</w:t>
      </w:r>
      <w:r w:rsidRPr="00EB31D5">
        <w:t>.</w:t>
      </w:r>
    </w:p>
    <w:p w14:paraId="062A96A9" w14:textId="31C94459" w:rsidR="00F51657" w:rsidRDefault="00F51657" w:rsidP="007C59E4">
      <w:pPr>
        <w:pStyle w:val="EYBodytextwithoutparaspace"/>
      </w:pPr>
    </w:p>
    <w:p w14:paraId="1D0F2FCC" w14:textId="35305E31" w:rsidR="000763AD" w:rsidRDefault="001442D2" w:rsidP="00C604CC">
      <w:pPr>
        <w:pStyle w:val="EYHeading1"/>
      </w:pPr>
      <w:bookmarkStart w:id="61" w:name="_Toc115717094"/>
      <w:r>
        <w:lastRenderedPageBreak/>
        <w:t xml:space="preserve">Costs and </w:t>
      </w:r>
      <w:r w:rsidR="0067335D">
        <w:t>r</w:t>
      </w:r>
      <w:r w:rsidR="00C604CC">
        <w:t>isks</w:t>
      </w:r>
      <w:bookmarkEnd w:id="61"/>
    </w:p>
    <w:p w14:paraId="760343E0" w14:textId="10F4BE36" w:rsidR="003B2417" w:rsidRPr="00EB31D5" w:rsidRDefault="002F67DF" w:rsidP="003B2417">
      <w:pPr>
        <w:pStyle w:val="EYLeader"/>
      </w:pPr>
      <w:r>
        <w:t>A national</w:t>
      </w:r>
      <w:r w:rsidR="003B2417">
        <w:t xml:space="preserve"> </w:t>
      </w:r>
      <w:r>
        <w:t xml:space="preserve">open access </w:t>
      </w:r>
      <w:r w:rsidR="0090062D">
        <w:t>s</w:t>
      </w:r>
      <w:r w:rsidR="003B2417">
        <w:t xml:space="preserve">cheme represents a </w:t>
      </w:r>
      <w:r w:rsidR="006E0870">
        <w:t>step change</w:t>
      </w:r>
      <w:r w:rsidR="003B2417">
        <w:t xml:space="preserve"> in Australia’s level of access to academic journals. Key to the success of the </w:t>
      </w:r>
      <w:r w:rsidR="0090062D">
        <w:t xml:space="preserve">scheme is </w:t>
      </w:r>
      <w:r w:rsidR="0034173A">
        <w:t>leveraging</w:t>
      </w:r>
      <w:r w:rsidR="003B2417">
        <w:t xml:space="preserve"> existing expenditure within the system and negotiating commercially </w:t>
      </w:r>
      <w:r w:rsidR="006E0870">
        <w:t>acceptable</w:t>
      </w:r>
      <w:r w:rsidR="003B2417">
        <w:t xml:space="preserve"> terms with publishers.</w:t>
      </w:r>
    </w:p>
    <w:p w14:paraId="66D44F2B" w14:textId="244EBFC8" w:rsidR="002154CC" w:rsidRPr="00BC0D76" w:rsidRDefault="004F69D6" w:rsidP="00BC0D76">
      <w:pPr>
        <w:pStyle w:val="EYBodytextwithoutparaspace"/>
      </w:pPr>
      <w:r w:rsidRPr="00BC0D76">
        <w:t xml:space="preserve">Australia’s </w:t>
      </w:r>
      <w:r w:rsidR="00E456FB" w:rsidRPr="00BC0D76">
        <w:t xml:space="preserve">open access scheme </w:t>
      </w:r>
      <w:r w:rsidRPr="00BC0D76">
        <w:t xml:space="preserve">creates </w:t>
      </w:r>
      <w:r w:rsidR="000D1BEF" w:rsidRPr="00BC0D76">
        <w:t>a platform for national access to academic journals.</w:t>
      </w:r>
      <w:r w:rsidR="002154CC" w:rsidRPr="00BC0D76">
        <w:t xml:space="preserve"> </w:t>
      </w:r>
      <w:r w:rsidR="008E617B" w:rsidRPr="00BC0D76">
        <w:t xml:space="preserve">Consistent with </w:t>
      </w:r>
      <w:r w:rsidR="00BF4495" w:rsidRPr="00BC0D76">
        <w:t>key</w:t>
      </w:r>
      <w:r w:rsidR="00E456FB" w:rsidRPr="00BC0D76">
        <w:t xml:space="preserve"> international approaches, Australia</w:t>
      </w:r>
      <w:r w:rsidR="00086630" w:rsidRPr="00BC0D76">
        <w:t>’s</w:t>
      </w:r>
      <w:r w:rsidR="00E456FB" w:rsidRPr="00BC0D76">
        <w:t xml:space="preserve"> </w:t>
      </w:r>
      <w:r w:rsidR="002957A4" w:rsidRPr="00BC0D76">
        <w:t>open access scheme see</w:t>
      </w:r>
      <w:r w:rsidR="009B533F" w:rsidRPr="00BC0D76">
        <w:t xml:space="preserve">ks to leverage existing expenditure within the </w:t>
      </w:r>
      <w:r w:rsidR="00BF4495" w:rsidRPr="00BC0D76">
        <w:t xml:space="preserve">university and research </w:t>
      </w:r>
      <w:r w:rsidR="009B533F" w:rsidRPr="00BC0D76">
        <w:t xml:space="preserve">system to allow a wider range of users to access academic journals </w:t>
      </w:r>
      <w:r w:rsidR="005D35CD" w:rsidRPr="00BC0D76">
        <w:t xml:space="preserve">and </w:t>
      </w:r>
      <w:r w:rsidR="009B533F" w:rsidRPr="00BC0D76">
        <w:t xml:space="preserve">drive higher </w:t>
      </w:r>
      <w:r w:rsidR="006C2811" w:rsidRPr="00BC0D76">
        <w:t>levels</w:t>
      </w:r>
      <w:r w:rsidR="009B533F" w:rsidRPr="00BC0D76">
        <w:t xml:space="preserve"> of Australian-led open access publishing</w:t>
      </w:r>
      <w:r w:rsidR="005D35CD" w:rsidRPr="00BC0D76">
        <w:t>.</w:t>
      </w:r>
    </w:p>
    <w:p w14:paraId="6240C739" w14:textId="57F6BBFA" w:rsidR="005573B2" w:rsidRPr="00BC0D76" w:rsidRDefault="002154CC" w:rsidP="00BC0D76">
      <w:pPr>
        <w:pStyle w:val="EYBodytextwithoutparaspace"/>
      </w:pPr>
      <w:r w:rsidRPr="00BC0D76">
        <w:t xml:space="preserve">This chapter sets out </w:t>
      </w:r>
      <w:r w:rsidR="005425A8" w:rsidRPr="00BC0D76">
        <w:t xml:space="preserve">a </w:t>
      </w:r>
      <w:r w:rsidR="009D478F" w:rsidRPr="00BC0D76">
        <w:t>high-level</w:t>
      </w:r>
      <w:r w:rsidR="005425A8" w:rsidRPr="00BC0D76">
        <w:t xml:space="preserve"> estimate of the</w:t>
      </w:r>
      <w:r w:rsidRPr="00BC0D76">
        <w:t xml:space="preserve"> potential costs of the scheme</w:t>
      </w:r>
      <w:r w:rsidR="005573B2" w:rsidRPr="00BC0D76">
        <w:t>. The costing methodology utilises a building block ap</w:t>
      </w:r>
      <w:r w:rsidR="00FE62F9" w:rsidRPr="00BC0D76">
        <w:t>proach based on current</w:t>
      </w:r>
      <w:r w:rsidR="00D42F0A" w:rsidRPr="00BC0D76">
        <w:t xml:space="preserve"> journal subscription</w:t>
      </w:r>
      <w:r w:rsidR="00FE62F9" w:rsidRPr="00BC0D76">
        <w:t xml:space="preserve"> expenditure</w:t>
      </w:r>
      <w:r w:rsidR="00D42F0A" w:rsidRPr="00BC0D76">
        <w:t>s</w:t>
      </w:r>
      <w:r w:rsidR="00FE62F9" w:rsidRPr="00BC0D76">
        <w:t xml:space="preserve"> published by CAUL, </w:t>
      </w:r>
      <w:r w:rsidR="001802B1" w:rsidRPr="00BC0D76">
        <w:t xml:space="preserve">surveys conducted by the </w:t>
      </w:r>
      <w:r w:rsidR="005F3C3A" w:rsidRPr="00BC0D76">
        <w:t xml:space="preserve">Department, and </w:t>
      </w:r>
      <w:r w:rsidR="00E46947" w:rsidRPr="00BC0D76">
        <w:t>industry-tested</w:t>
      </w:r>
      <w:r w:rsidR="005F3C3A" w:rsidRPr="00BC0D76">
        <w:t xml:space="preserve"> assumptions relating to IT system costs and resourcing </w:t>
      </w:r>
      <w:r w:rsidR="009A4FEF" w:rsidRPr="00BC0D76">
        <w:t xml:space="preserve">an </w:t>
      </w:r>
      <w:r w:rsidR="002A0C7D" w:rsidRPr="00BC0D76">
        <w:t>i</w:t>
      </w:r>
      <w:r w:rsidR="005F3C3A" w:rsidRPr="00BC0D76">
        <w:t xml:space="preserve">mplementation </w:t>
      </w:r>
      <w:r w:rsidR="002A0C7D" w:rsidRPr="00BC0D76">
        <w:t>b</w:t>
      </w:r>
      <w:r w:rsidR="005F3C3A" w:rsidRPr="00BC0D76">
        <w:t>ody</w:t>
      </w:r>
      <w:r w:rsidR="00A92A80" w:rsidRPr="00BC0D76">
        <w:t>.</w:t>
      </w:r>
    </w:p>
    <w:p w14:paraId="75F28551" w14:textId="0E7794B8" w:rsidR="00204B9C" w:rsidRPr="00BC0D76" w:rsidRDefault="00204B9C" w:rsidP="00BC0D76">
      <w:pPr>
        <w:pStyle w:val="EYBodytextwithoutparaspace"/>
      </w:pPr>
      <w:r w:rsidRPr="00BC0D76">
        <w:t xml:space="preserve">In </w:t>
      </w:r>
      <w:r w:rsidR="00940966" w:rsidRPr="00BC0D76">
        <w:t>considering</w:t>
      </w:r>
      <w:r w:rsidR="000359AF" w:rsidRPr="00BC0D76">
        <w:t xml:space="preserve"> the potential costs of the scheme, </w:t>
      </w:r>
      <w:r w:rsidR="00182D06" w:rsidRPr="00BC0D76">
        <w:t xml:space="preserve">significant opportunities </w:t>
      </w:r>
      <w:r w:rsidR="006B00B5" w:rsidRPr="00BC0D76">
        <w:t xml:space="preserve">for cost offsets should also </w:t>
      </w:r>
      <w:r w:rsidR="00940966" w:rsidRPr="00BC0D76">
        <w:t>be noted.</w:t>
      </w:r>
      <w:r w:rsidR="00182D06" w:rsidRPr="00BC0D76">
        <w:t xml:space="preserve"> </w:t>
      </w:r>
      <w:r w:rsidR="00940966" w:rsidRPr="00BC0D76">
        <w:t xml:space="preserve">These could </w:t>
      </w:r>
      <w:r w:rsidR="00CD2F5F" w:rsidRPr="00BC0D76">
        <w:t xml:space="preserve">primarily </w:t>
      </w:r>
      <w:r w:rsidR="00940966" w:rsidRPr="00BC0D76">
        <w:t xml:space="preserve">occur through </w:t>
      </w:r>
      <w:r w:rsidR="00806577" w:rsidRPr="00BC0D76">
        <w:t>re</w:t>
      </w:r>
      <w:r w:rsidR="00680613" w:rsidRPr="00BC0D76">
        <w:t xml:space="preserve">purposing </w:t>
      </w:r>
      <w:r w:rsidR="00CD2F5F" w:rsidRPr="00BC0D76">
        <w:t>expenses</w:t>
      </w:r>
      <w:r w:rsidR="007B735F" w:rsidRPr="00BC0D76">
        <w:t xml:space="preserve"> currently made by universities and </w:t>
      </w:r>
      <w:r w:rsidR="00494352" w:rsidRPr="00BC0D76">
        <w:t>government</w:t>
      </w:r>
      <w:r w:rsidR="008E3D7B" w:rsidRPr="00BC0D76">
        <w:t xml:space="preserve">s </w:t>
      </w:r>
      <w:r w:rsidR="0064343F" w:rsidRPr="00BC0D76">
        <w:t>to access and publish academic journal articles.</w:t>
      </w:r>
    </w:p>
    <w:p w14:paraId="116B4DB6" w14:textId="036B7F8C" w:rsidR="00DA57AC" w:rsidRPr="00BC0D76" w:rsidRDefault="004C373E" w:rsidP="00BC0D76">
      <w:pPr>
        <w:pStyle w:val="EYBodytextwithoutparaspace"/>
      </w:pPr>
      <w:r w:rsidRPr="00BC0D76">
        <w:t xml:space="preserve">There are </w:t>
      </w:r>
      <w:r w:rsidR="00B244FF" w:rsidRPr="00BC0D76">
        <w:t xml:space="preserve">some </w:t>
      </w:r>
      <w:r w:rsidR="009C2405" w:rsidRPr="00BC0D76">
        <w:t>key</w:t>
      </w:r>
      <w:r w:rsidRPr="00BC0D76">
        <w:t xml:space="preserve"> risks </w:t>
      </w:r>
      <w:r w:rsidR="009C2405" w:rsidRPr="00BC0D76">
        <w:t xml:space="preserve">to </w:t>
      </w:r>
      <w:r w:rsidR="006F43B5" w:rsidRPr="00BC0D76">
        <w:t>successfully deliver</w:t>
      </w:r>
      <w:r w:rsidR="009C2405" w:rsidRPr="00BC0D76">
        <w:t xml:space="preserve"> </w:t>
      </w:r>
      <w:r w:rsidRPr="00BC0D76">
        <w:t>Australia’s open access scheme</w:t>
      </w:r>
      <w:r w:rsidR="009C2405" w:rsidRPr="00BC0D76">
        <w:t xml:space="preserve">, including </w:t>
      </w:r>
      <w:r w:rsidRPr="00BC0D76">
        <w:t>executing acceptable read-and-publish agreements with publishers, implementing a secure but easy-to-use central authentication system, and transitioning academic literature to the central implementation body while ensuring continuity of access.</w:t>
      </w:r>
      <w:r w:rsidR="00483F4A" w:rsidRPr="00BC0D76">
        <w:t xml:space="preserve"> </w:t>
      </w:r>
      <w:r w:rsidRPr="00BC0D76">
        <w:t xml:space="preserve">While </w:t>
      </w:r>
      <w:r w:rsidR="00483F4A" w:rsidRPr="00BC0D76">
        <w:t xml:space="preserve">these will require careful </w:t>
      </w:r>
      <w:r w:rsidR="00413A66" w:rsidRPr="00BC0D76">
        <w:t>planning</w:t>
      </w:r>
      <w:r w:rsidR="00483F4A" w:rsidRPr="00BC0D76">
        <w:t xml:space="preserve"> and </w:t>
      </w:r>
      <w:r w:rsidR="00413A66" w:rsidRPr="00BC0D76">
        <w:t>execution</w:t>
      </w:r>
      <w:r w:rsidRPr="00BC0D76">
        <w:t xml:space="preserve">, stakeholders </w:t>
      </w:r>
      <w:r w:rsidR="009C186E" w:rsidRPr="00BC0D76">
        <w:t xml:space="preserve">confirmed that </w:t>
      </w:r>
      <w:r w:rsidR="00CD47ED" w:rsidRPr="00BC0D76">
        <w:t>the challenges for government in delivering a national open access scheme are manageable and unlikely to involve excessive costs and risks.</w:t>
      </w:r>
    </w:p>
    <w:p w14:paraId="7EB12B2C" w14:textId="4C414C6E" w:rsidR="003B2417" w:rsidRPr="006119F9" w:rsidRDefault="003B2417" w:rsidP="003B2417">
      <w:pPr>
        <w:pStyle w:val="EYHeading2"/>
      </w:pPr>
      <w:bookmarkStart w:id="62" w:name="_Toc110545794"/>
      <w:bookmarkStart w:id="63" w:name="_Toc115717095"/>
      <w:r w:rsidRPr="006119F9">
        <w:t xml:space="preserve">Costing a national open access </w:t>
      </w:r>
      <w:r w:rsidR="00517148">
        <w:t>s</w:t>
      </w:r>
      <w:r w:rsidRPr="006119F9">
        <w:t>cheme</w:t>
      </w:r>
      <w:bookmarkEnd w:id="62"/>
      <w:bookmarkEnd w:id="63"/>
    </w:p>
    <w:p w14:paraId="04F0E145" w14:textId="2F73C760" w:rsidR="00A67549" w:rsidRDefault="00A67549" w:rsidP="00A577AC">
      <w:pPr>
        <w:pStyle w:val="EYBodytextwithparaspace"/>
      </w:pPr>
      <w:r>
        <w:t xml:space="preserve">Australia’s preferred open access model has </w:t>
      </w:r>
      <w:r w:rsidR="00352A09">
        <w:t>three</w:t>
      </w:r>
      <w:r>
        <w:t xml:space="preserve"> main cost </w:t>
      </w:r>
      <w:r w:rsidR="008E62A3">
        <w:t>components</w:t>
      </w:r>
      <w:r>
        <w:t>:</w:t>
      </w:r>
    </w:p>
    <w:p w14:paraId="485A0C6D" w14:textId="4111FA3F" w:rsidR="00A67549" w:rsidRPr="004D02A1" w:rsidRDefault="00A05008" w:rsidP="00A577AC">
      <w:pPr>
        <w:pStyle w:val="EYBodytextwithparaspace"/>
        <w:numPr>
          <w:ilvl w:val="0"/>
          <w:numId w:val="26"/>
        </w:numPr>
      </w:pPr>
      <w:r w:rsidRPr="004D02A1">
        <w:t>Subscription payments for the Australian community to access academic journal articles which sit behind publisher paywalls</w:t>
      </w:r>
    </w:p>
    <w:p w14:paraId="7B4DCF04" w14:textId="2A23EFB4" w:rsidR="00A67549" w:rsidRPr="004D02A1" w:rsidRDefault="00A05008" w:rsidP="00A577AC">
      <w:pPr>
        <w:pStyle w:val="EYBodytextwithparaspace"/>
        <w:numPr>
          <w:ilvl w:val="0"/>
          <w:numId w:val="26"/>
        </w:numPr>
      </w:pPr>
      <w:r w:rsidRPr="004D02A1">
        <w:t>APC costs associated with publishing Australian-led journal articles in open access journals</w:t>
      </w:r>
    </w:p>
    <w:p w14:paraId="728EA139" w14:textId="0EA8A13C" w:rsidR="00A67549" w:rsidRPr="004D02A1" w:rsidRDefault="00E40CCD" w:rsidP="00A577AC">
      <w:pPr>
        <w:pStyle w:val="EYBodytextwithparaspace"/>
        <w:numPr>
          <w:ilvl w:val="0"/>
          <w:numId w:val="26"/>
        </w:numPr>
      </w:pPr>
      <w:r w:rsidRPr="004D02A1">
        <w:t>Reso</w:t>
      </w:r>
      <w:r w:rsidR="00B57FA4" w:rsidRPr="004D02A1">
        <w:t xml:space="preserve">urcing the </w:t>
      </w:r>
      <w:r w:rsidR="0049725A" w:rsidRPr="004D02A1">
        <w:t>c</w:t>
      </w:r>
      <w:r w:rsidR="00B57FA4" w:rsidRPr="004D02A1">
        <w:t xml:space="preserve">entral </w:t>
      </w:r>
      <w:r w:rsidR="0049725A" w:rsidRPr="004D02A1">
        <w:t>i</w:t>
      </w:r>
      <w:r w:rsidR="00B57FA4" w:rsidRPr="004D02A1">
        <w:t xml:space="preserve">mplementation </w:t>
      </w:r>
      <w:r w:rsidR="0049725A" w:rsidRPr="004D02A1">
        <w:t>b</w:t>
      </w:r>
      <w:r w:rsidR="00B57FA4" w:rsidRPr="004D02A1">
        <w:t>ody and supporting IT system costs.</w:t>
      </w:r>
    </w:p>
    <w:p w14:paraId="0BB4B4EE" w14:textId="7930F801" w:rsidR="005607F6" w:rsidRPr="00BC0D76" w:rsidRDefault="008E2D5C" w:rsidP="00BC0D76">
      <w:pPr>
        <w:pStyle w:val="EYBodytextwithoutparaspace"/>
      </w:pPr>
      <w:r w:rsidRPr="00BC0D76">
        <w:t>The</w:t>
      </w:r>
      <w:r w:rsidR="001A6E81" w:rsidRPr="00BC0D76">
        <w:t xml:space="preserve"> preferred model involves </w:t>
      </w:r>
      <w:r w:rsidRPr="00BC0D76">
        <w:t>a</w:t>
      </w:r>
      <w:r w:rsidR="001A6E81" w:rsidRPr="00BC0D76">
        <w:t xml:space="preserve"> </w:t>
      </w:r>
      <w:r w:rsidR="00434B05" w:rsidRPr="00BC0D76">
        <w:t>c</w:t>
      </w:r>
      <w:r w:rsidR="001A6E81" w:rsidRPr="00BC0D76">
        <w:t xml:space="preserve">entral </w:t>
      </w:r>
      <w:r w:rsidR="00434B05" w:rsidRPr="00BC0D76">
        <w:t>i</w:t>
      </w:r>
      <w:r w:rsidR="001A6E81" w:rsidRPr="00BC0D76">
        <w:t xml:space="preserve">mplementation </w:t>
      </w:r>
      <w:r w:rsidR="00434B05" w:rsidRPr="00BC0D76">
        <w:t>b</w:t>
      </w:r>
      <w:r w:rsidR="001A6E81" w:rsidRPr="00BC0D76">
        <w:t>ody</w:t>
      </w:r>
      <w:r w:rsidR="00F11830" w:rsidRPr="00BC0D76">
        <w:t xml:space="preserve"> </w:t>
      </w:r>
      <w:r w:rsidR="008C41AB" w:rsidRPr="00BC0D76">
        <w:t xml:space="preserve">which would negotiate read-and-publish agreements </w:t>
      </w:r>
      <w:r w:rsidR="00B778C3" w:rsidRPr="00BC0D76">
        <w:t xml:space="preserve">with publishers. This creates a new market dynamic </w:t>
      </w:r>
      <w:r w:rsidR="007759CB" w:rsidRPr="00BC0D76">
        <w:t xml:space="preserve">in which </w:t>
      </w:r>
      <w:r w:rsidR="00B778C3" w:rsidRPr="00BC0D76">
        <w:t xml:space="preserve">the </w:t>
      </w:r>
      <w:r w:rsidR="00301D39" w:rsidRPr="00BC0D76">
        <w:t>c</w:t>
      </w:r>
      <w:r w:rsidR="00B778C3" w:rsidRPr="00BC0D76">
        <w:t xml:space="preserve">entral </w:t>
      </w:r>
      <w:r w:rsidR="00301D39" w:rsidRPr="00BC0D76">
        <w:t>i</w:t>
      </w:r>
      <w:r w:rsidR="00B778C3" w:rsidRPr="00BC0D76">
        <w:t xml:space="preserve">mplementation </w:t>
      </w:r>
      <w:r w:rsidR="00301D39" w:rsidRPr="00BC0D76">
        <w:t>b</w:t>
      </w:r>
      <w:r w:rsidR="00B778C3" w:rsidRPr="00BC0D76">
        <w:t xml:space="preserve">ody </w:t>
      </w:r>
      <w:r w:rsidR="00CD7697" w:rsidRPr="00BC0D76">
        <w:t xml:space="preserve">would </w:t>
      </w:r>
      <w:r w:rsidR="00B778C3" w:rsidRPr="00BC0D76">
        <w:t xml:space="preserve">act as a single purchasing desk representing </w:t>
      </w:r>
      <w:r w:rsidR="0002303D" w:rsidRPr="00BC0D76">
        <w:t>all Australian stakeholders.</w:t>
      </w:r>
    </w:p>
    <w:p w14:paraId="20833727" w14:textId="360B7CDC" w:rsidR="00647B12" w:rsidRPr="00BC0D76" w:rsidRDefault="00C1304A" w:rsidP="00BC0D76">
      <w:pPr>
        <w:pStyle w:val="EYBodytextwithoutparaspace"/>
      </w:pPr>
      <w:r w:rsidRPr="00BC0D76">
        <w:t xml:space="preserve">Through </w:t>
      </w:r>
      <w:r w:rsidR="00FD3F4D" w:rsidRPr="00BC0D76">
        <w:t xml:space="preserve">case studies of other international agreements, </w:t>
      </w:r>
      <w:r w:rsidR="00E356AC" w:rsidRPr="00BC0D76">
        <w:t xml:space="preserve">publishers typically negotiate </w:t>
      </w:r>
      <w:r w:rsidR="009F308E" w:rsidRPr="00BC0D76">
        <w:t xml:space="preserve">transformative agreements </w:t>
      </w:r>
      <w:r w:rsidR="00800FAD" w:rsidRPr="00BC0D76">
        <w:t>that</w:t>
      </w:r>
      <w:r w:rsidR="001C410A" w:rsidRPr="00BC0D76">
        <w:t xml:space="preserve"> </w:t>
      </w:r>
      <w:r w:rsidR="00266C48" w:rsidRPr="00BC0D76">
        <w:t xml:space="preserve">equate to </w:t>
      </w:r>
      <w:r w:rsidR="00921840" w:rsidRPr="00BC0D76">
        <w:t xml:space="preserve">their existing </w:t>
      </w:r>
      <w:r w:rsidR="00A228B8" w:rsidRPr="00BC0D76">
        <w:t>revenues</w:t>
      </w:r>
      <w:r w:rsidR="00800FAD" w:rsidRPr="00BC0D76">
        <w:t xml:space="preserve"> </w:t>
      </w:r>
      <w:r w:rsidR="00CF228F" w:rsidRPr="00BC0D76">
        <w:t>from</w:t>
      </w:r>
      <w:r w:rsidR="00800FAD" w:rsidRPr="00BC0D76">
        <w:t xml:space="preserve"> </w:t>
      </w:r>
      <w:r w:rsidR="00CF228F" w:rsidRPr="00BC0D76">
        <w:t xml:space="preserve">subscribing </w:t>
      </w:r>
      <w:r w:rsidR="00800FAD" w:rsidRPr="00BC0D76">
        <w:t>universities</w:t>
      </w:r>
      <w:r w:rsidR="009F308E" w:rsidRPr="00BC0D76">
        <w:t>.</w:t>
      </w:r>
      <w:r w:rsidR="009F308E" w:rsidRPr="00BC0D76">
        <w:rPr>
          <w:rStyle w:val="FootnoteReference"/>
        </w:rPr>
        <w:footnoteReference w:id="32"/>
      </w:r>
      <w:r w:rsidR="00647B12" w:rsidRPr="00BC0D76">
        <w:t xml:space="preserve"> </w:t>
      </w:r>
      <w:r w:rsidR="00076BFC" w:rsidRPr="00BC0D76">
        <w:t xml:space="preserve">Read-and-publish agreements </w:t>
      </w:r>
      <w:r w:rsidR="00724A83" w:rsidRPr="00BC0D76">
        <w:t xml:space="preserve">under the proposed open access model </w:t>
      </w:r>
      <w:r w:rsidR="00076BFC" w:rsidRPr="00BC0D76">
        <w:t>are a type of transformative agreement</w:t>
      </w:r>
      <w:r w:rsidR="00EC68AB" w:rsidRPr="00BC0D76">
        <w:t xml:space="preserve">, and it is </w:t>
      </w:r>
      <w:r w:rsidR="009A717B" w:rsidRPr="00BC0D76">
        <w:t xml:space="preserve">thus </w:t>
      </w:r>
      <w:r w:rsidR="00877A4D" w:rsidRPr="00BC0D76">
        <w:t xml:space="preserve">reasonable to </w:t>
      </w:r>
      <w:r w:rsidR="009E33B7" w:rsidRPr="00BC0D76">
        <w:t>expect</w:t>
      </w:r>
      <w:r w:rsidR="009621E5" w:rsidRPr="00BC0D76">
        <w:t xml:space="preserve"> that </w:t>
      </w:r>
      <w:r w:rsidR="009E33B7" w:rsidRPr="00BC0D76">
        <w:t xml:space="preserve">a </w:t>
      </w:r>
      <w:r w:rsidR="0026017F" w:rsidRPr="00BC0D76">
        <w:t xml:space="preserve">central implementation body </w:t>
      </w:r>
      <w:r w:rsidR="009E33B7" w:rsidRPr="00BC0D76">
        <w:t>could</w:t>
      </w:r>
      <w:r w:rsidR="0026017F" w:rsidRPr="00BC0D76">
        <w:t xml:space="preserve"> negotiate these agreements on a cost-neutral basis with publisher</w:t>
      </w:r>
      <w:r w:rsidR="00434B05" w:rsidRPr="00BC0D76">
        <w:t>s</w:t>
      </w:r>
      <w:r w:rsidR="0026017F" w:rsidRPr="00BC0D76">
        <w:t>.</w:t>
      </w:r>
      <w:r w:rsidR="001A5AC7" w:rsidRPr="00BC0D76">
        <w:t xml:space="preserve"> </w:t>
      </w:r>
      <w:r w:rsidR="00307C4F" w:rsidRPr="00BC0D76">
        <w:t xml:space="preserve">The costs of </w:t>
      </w:r>
      <w:r w:rsidR="001A5AC7" w:rsidRPr="00BC0D76">
        <w:t xml:space="preserve">new transformative agreements </w:t>
      </w:r>
      <w:r w:rsidR="00D93310" w:rsidRPr="00BC0D76">
        <w:t>would be</w:t>
      </w:r>
      <w:r w:rsidR="001A5AC7" w:rsidRPr="00BC0D76">
        <w:t xml:space="preserve"> </w:t>
      </w:r>
      <w:r w:rsidR="007F523B" w:rsidRPr="00BC0D76">
        <w:t xml:space="preserve">largely </w:t>
      </w:r>
      <w:r w:rsidR="001A5AC7" w:rsidRPr="00BC0D76">
        <w:t xml:space="preserve">based on the sum of existing </w:t>
      </w:r>
      <w:r w:rsidR="007F523B" w:rsidRPr="00BC0D76">
        <w:t>access agreements.</w:t>
      </w:r>
    </w:p>
    <w:p w14:paraId="19299BBF" w14:textId="22E35A50" w:rsidR="00227B6E" w:rsidRPr="00647B12" w:rsidRDefault="00647B12" w:rsidP="00163E6A">
      <w:pPr>
        <w:pStyle w:val="EYHeading3"/>
      </w:pPr>
      <w:r w:rsidRPr="00647B12">
        <w:lastRenderedPageBreak/>
        <w:t>Understanding Australia’s current expenditure on accessing and publishing academic</w:t>
      </w:r>
      <w:r w:rsidR="005C62AC">
        <w:t xml:space="preserve"> journal articles</w:t>
      </w:r>
      <w:r w:rsidR="00D21ED3" w:rsidRPr="00647B12">
        <w:t xml:space="preserve"> </w:t>
      </w:r>
    </w:p>
    <w:p w14:paraId="6B09334F" w14:textId="6F808C47" w:rsidR="00794B0F" w:rsidRDefault="000A655A" w:rsidP="00E24890">
      <w:pPr>
        <w:pStyle w:val="EYBodytextwithoutparaspace"/>
      </w:pPr>
      <w:r>
        <w:t xml:space="preserve">As the largest user </w:t>
      </w:r>
      <w:r w:rsidR="00EA1093">
        <w:t>group</w:t>
      </w:r>
      <w:r w:rsidR="00681415">
        <w:t>, t</w:t>
      </w:r>
      <w:r w:rsidR="006B3A3F">
        <w:t xml:space="preserve">he </w:t>
      </w:r>
      <w:r w:rsidR="008D739E">
        <w:t xml:space="preserve">university sector </w:t>
      </w:r>
      <w:r w:rsidR="002A292C">
        <w:t xml:space="preserve">currently </w:t>
      </w:r>
      <w:r w:rsidR="009C25AA">
        <w:t>incurs the</w:t>
      </w:r>
      <w:r w:rsidR="002A292C">
        <w:t xml:space="preserve"> </w:t>
      </w:r>
      <w:r w:rsidR="006B3A3F">
        <w:t xml:space="preserve">highest </w:t>
      </w:r>
      <w:r>
        <w:t>expenses</w:t>
      </w:r>
      <w:r w:rsidR="006B3A3F">
        <w:t xml:space="preserve"> </w:t>
      </w:r>
      <w:r w:rsidR="009378CB">
        <w:t>for</w:t>
      </w:r>
      <w:r w:rsidR="006B3A3F">
        <w:t xml:space="preserve"> </w:t>
      </w:r>
      <w:r w:rsidR="00315ABD">
        <w:t xml:space="preserve">academic </w:t>
      </w:r>
      <w:r w:rsidR="006B3A3F">
        <w:t>journal articles.</w:t>
      </w:r>
      <w:r w:rsidR="009378CB">
        <w:t xml:space="preserve"> </w:t>
      </w:r>
      <w:r w:rsidR="00F72B9B">
        <w:t xml:space="preserve">CAUL publishes aggregate expenditure </w:t>
      </w:r>
      <w:r w:rsidR="00320EF6">
        <w:t xml:space="preserve">from all Australian and New Zealand </w:t>
      </w:r>
      <w:r w:rsidR="00C0501A">
        <w:t xml:space="preserve">libraries which includes costs of accessing online academic journals, </w:t>
      </w:r>
      <w:r w:rsidR="00656FE0">
        <w:t>faculty</w:t>
      </w:r>
      <w:r w:rsidR="00C0501A">
        <w:t xml:space="preserve"> and student populations, and </w:t>
      </w:r>
      <w:r w:rsidR="00794B0F">
        <w:t xml:space="preserve">system IT costs. </w:t>
      </w:r>
      <w:r w:rsidR="005D4440">
        <w:t xml:space="preserve">In 2020, aggregate expenditure from Australian </w:t>
      </w:r>
      <w:r w:rsidR="001F179E">
        <w:t>u</w:t>
      </w:r>
      <w:r w:rsidR="005D4440">
        <w:t xml:space="preserve">niversities was </w:t>
      </w:r>
      <w:r w:rsidR="006C00B6">
        <w:t xml:space="preserve">approximately </w:t>
      </w:r>
      <w:r w:rsidR="00BF63AE">
        <w:t>$2</w:t>
      </w:r>
      <w:r w:rsidR="00641A2A">
        <w:t>70</w:t>
      </w:r>
      <w:r w:rsidR="00BF63AE">
        <w:t xml:space="preserve"> million</w:t>
      </w:r>
      <w:r w:rsidR="0012281A">
        <w:t xml:space="preserve"> for journal subscriptions</w:t>
      </w:r>
      <w:r w:rsidR="00947A45">
        <w:t>.</w:t>
      </w:r>
      <w:r w:rsidR="007D7B54">
        <w:rPr>
          <w:rStyle w:val="FootnoteReference"/>
        </w:rPr>
        <w:footnoteReference w:id="33"/>
      </w:r>
    </w:p>
    <w:p w14:paraId="6B05C3E0" w14:textId="2CC459EA" w:rsidR="00804ABB" w:rsidRDefault="00804ABB" w:rsidP="00E24890">
      <w:pPr>
        <w:pStyle w:val="EYBodytextwithoutparaspace"/>
      </w:pPr>
      <w:r>
        <w:t xml:space="preserve">Research institutions, government departments and industry comprise the next </w:t>
      </w:r>
      <w:r w:rsidR="006303A4">
        <w:t>largest</w:t>
      </w:r>
      <w:r>
        <w:t xml:space="preserve"> expenditure group. </w:t>
      </w:r>
      <w:r w:rsidR="00674C5B">
        <w:t>T</w:t>
      </w:r>
      <w:r w:rsidR="006303A4">
        <w:t>here is l</w:t>
      </w:r>
      <w:r w:rsidR="008349F1">
        <w:t xml:space="preserve">imited </w:t>
      </w:r>
      <w:r w:rsidR="006303A4">
        <w:t xml:space="preserve">information </w:t>
      </w:r>
      <w:r w:rsidR="008349F1">
        <w:t xml:space="preserve">available </w:t>
      </w:r>
      <w:r w:rsidR="006303A4">
        <w:t>on journal access</w:t>
      </w:r>
      <w:r w:rsidR="008349F1">
        <w:t xml:space="preserve"> costs </w:t>
      </w:r>
      <w:r w:rsidR="00FF0885">
        <w:t xml:space="preserve">for </w:t>
      </w:r>
      <w:r>
        <w:t>these groups</w:t>
      </w:r>
      <w:r w:rsidR="00FF0885">
        <w:t xml:space="preserve">. The </w:t>
      </w:r>
      <w:r>
        <w:t xml:space="preserve">Department recently conducted a survey to </w:t>
      </w:r>
      <w:r w:rsidR="00606FA0">
        <w:t>understand</w:t>
      </w:r>
      <w:r>
        <w:t xml:space="preserve"> </w:t>
      </w:r>
      <w:r w:rsidR="00FF0885">
        <w:t xml:space="preserve">spending by these users </w:t>
      </w:r>
      <w:r>
        <w:t>on accessing journal articles. The survey</w:t>
      </w:r>
      <w:r w:rsidR="00B26F94">
        <w:t>, which</w:t>
      </w:r>
      <w:r>
        <w:t xml:space="preserve"> included 90 respondents</w:t>
      </w:r>
      <w:r w:rsidR="00B26F94">
        <w:t xml:space="preserve">, </w:t>
      </w:r>
      <w:r w:rsidR="0028688E">
        <w:t xml:space="preserve">indicated </w:t>
      </w:r>
      <w:r>
        <w:t xml:space="preserve">total </w:t>
      </w:r>
      <w:r w:rsidR="0028688E">
        <w:t xml:space="preserve">annual subscription expenditures </w:t>
      </w:r>
      <w:r w:rsidR="00B26F94">
        <w:t>of</w:t>
      </w:r>
      <w:r w:rsidR="0028688E">
        <w:t xml:space="preserve"> around </w:t>
      </w:r>
      <w:r>
        <w:t>$30 million.</w:t>
      </w:r>
    </w:p>
    <w:p w14:paraId="57384D27" w14:textId="2F4C3E04" w:rsidR="00804ABB" w:rsidRDefault="00804ABB" w:rsidP="00E24890">
      <w:pPr>
        <w:pStyle w:val="EYBodytextwithoutparaspace"/>
      </w:pPr>
      <w:r>
        <w:t xml:space="preserve">The survey also </w:t>
      </w:r>
      <w:r w:rsidR="00E24890">
        <w:t xml:space="preserve">examined </w:t>
      </w:r>
      <w:r>
        <w:t xml:space="preserve">current expenditure on APCs across Australian stakeholders </w:t>
      </w:r>
      <w:r w:rsidR="00241372">
        <w:t>as well as</w:t>
      </w:r>
      <w:r>
        <w:t xml:space="preserve"> spending on transformative agreements. The survey found that Australia spends an additional $14.5 million on accessing and publishing academic journal articles. However, many survey respondents noted they currently have poor visibility of current expenditure on APCs, with a variety of other funding sources paying for open access publishing.</w:t>
      </w:r>
    </w:p>
    <w:p w14:paraId="25F4B6D9" w14:textId="545E885B" w:rsidR="00804ABB" w:rsidRDefault="00804ABB" w:rsidP="00E24890">
      <w:pPr>
        <w:pStyle w:val="EYBodytextwithoutparaspace"/>
      </w:pPr>
      <w:r>
        <w:t xml:space="preserve">The wider Australian community’s </w:t>
      </w:r>
      <w:r w:rsidR="00A1426A">
        <w:t>spending</w:t>
      </w:r>
      <w:r>
        <w:t xml:space="preserve"> on accessing and publishing journal articles is </w:t>
      </w:r>
      <w:r w:rsidR="003A13C5">
        <w:t xml:space="preserve">largely </w:t>
      </w:r>
      <w:r>
        <w:t xml:space="preserve">unknown. </w:t>
      </w:r>
      <w:r w:rsidR="00A1426A">
        <w:t xml:space="preserve">However, this expenditure is </w:t>
      </w:r>
      <w:r w:rsidR="00A04EFA">
        <w:t>likely to be relatively minor</w:t>
      </w:r>
      <w:r>
        <w:t>, with individuals who access and publish journals more likely to fall within the other stakeholder groups.</w:t>
      </w:r>
    </w:p>
    <w:p w14:paraId="0CDB17EE" w14:textId="2FFEC58D" w:rsidR="00335F27" w:rsidRDefault="00804ABB" w:rsidP="00E24890">
      <w:pPr>
        <w:pStyle w:val="EYBodytextwithoutparaspace"/>
      </w:pPr>
      <w:r>
        <w:t xml:space="preserve">Based on current </w:t>
      </w:r>
      <w:r w:rsidR="00C64A2C">
        <w:t xml:space="preserve">access </w:t>
      </w:r>
      <w:r>
        <w:t>expenditure</w:t>
      </w:r>
      <w:r w:rsidR="00C64A2C">
        <w:t>s</w:t>
      </w:r>
      <w:r>
        <w:t xml:space="preserve">, the baseline cost for subscription agreements </w:t>
      </w:r>
      <w:r w:rsidR="00C64A2C">
        <w:t>is</w:t>
      </w:r>
      <w:r>
        <w:t xml:space="preserve"> around $320 million annually. However, as noted above, these costs do not incorporate extending access to the entire Australian community, or the resourcing costs for the central implementation body. </w:t>
      </w:r>
      <w:r w:rsidR="003D5D81">
        <w:t>As such</w:t>
      </w:r>
      <w:r>
        <w:t>, the $320 million likely underestimates the total costs of the scheme.</w:t>
      </w:r>
    </w:p>
    <w:p w14:paraId="66C26A85" w14:textId="73E80A26" w:rsidR="00E50B04" w:rsidRDefault="00F61B43" w:rsidP="00163E6A">
      <w:pPr>
        <w:pStyle w:val="EYHeading3"/>
      </w:pPr>
      <w:r>
        <w:t>A</w:t>
      </w:r>
      <w:r w:rsidR="00541B7C">
        <w:t xml:space="preserve"> building block methodology to estimate the cost of the scheme</w:t>
      </w:r>
    </w:p>
    <w:p w14:paraId="0B787B71" w14:textId="3CF9BC81" w:rsidR="006865F3" w:rsidRPr="002C08FE" w:rsidRDefault="006C6D34" w:rsidP="00806DF3">
      <w:pPr>
        <w:pStyle w:val="EYBodytextwithoutparaspace"/>
      </w:pPr>
      <w:r w:rsidRPr="006C6D34">
        <w:t>The building block</w:t>
      </w:r>
      <w:r w:rsidR="00860FC0">
        <w:t xml:space="preserve"> cost</w:t>
      </w:r>
      <w:r w:rsidRPr="006C6D34">
        <w:t xml:space="preserve"> methodology focuses on key cost elements </w:t>
      </w:r>
      <w:r w:rsidR="001835E0">
        <w:t>of</w:t>
      </w:r>
      <w:r w:rsidRPr="006C6D34">
        <w:t xml:space="preserve"> </w:t>
      </w:r>
      <w:r w:rsidR="001835E0">
        <w:t>a national</w:t>
      </w:r>
      <w:r w:rsidRPr="006C6D34">
        <w:t xml:space="preserve"> open access scheme. A</w:t>
      </w:r>
      <w:r w:rsidR="00C22097">
        <w:t xml:space="preserve">n outline of the methodology </w:t>
      </w:r>
      <w:r w:rsidRPr="006C6D34">
        <w:t xml:space="preserve">is provided in </w:t>
      </w:r>
      <w:r w:rsidR="007D1C19">
        <w:fldChar w:fldCharType="begin"/>
      </w:r>
      <w:r w:rsidR="007D1C19">
        <w:instrText xml:space="preserve"> REF _Ref115695618 \h </w:instrText>
      </w:r>
      <w:r w:rsidR="007D1C19">
        <w:fldChar w:fldCharType="separate"/>
      </w:r>
      <w:r w:rsidR="008112E6">
        <w:t xml:space="preserve">Figure </w:t>
      </w:r>
      <w:r w:rsidR="008112E6">
        <w:rPr>
          <w:noProof/>
        </w:rPr>
        <w:t>26</w:t>
      </w:r>
      <w:r w:rsidR="007D1C19">
        <w:fldChar w:fldCharType="end"/>
      </w:r>
      <w:r w:rsidR="002C08FE">
        <w:t>.</w:t>
      </w:r>
    </w:p>
    <w:p w14:paraId="00F909FB" w14:textId="796886C4" w:rsidR="007D1C19" w:rsidRDefault="007D1C19" w:rsidP="007D1C19">
      <w:pPr>
        <w:pStyle w:val="Caption"/>
        <w:keepNext/>
      </w:pPr>
      <w:bookmarkStart w:id="64" w:name="_Ref115695618"/>
      <w:r>
        <w:lastRenderedPageBreak/>
        <w:t xml:space="preserve">Figure </w:t>
      </w:r>
      <w:r>
        <w:fldChar w:fldCharType="begin"/>
      </w:r>
      <w:r>
        <w:instrText xml:space="preserve"> SEQ Figure \* ARABIC </w:instrText>
      </w:r>
      <w:r>
        <w:fldChar w:fldCharType="separate"/>
      </w:r>
      <w:r w:rsidR="008112E6">
        <w:rPr>
          <w:noProof/>
        </w:rPr>
        <w:t>26</w:t>
      </w:r>
      <w:r>
        <w:fldChar w:fldCharType="end"/>
      </w:r>
      <w:bookmarkEnd w:id="64"/>
      <w:r>
        <w:t xml:space="preserve">: </w:t>
      </w:r>
      <w:r w:rsidRPr="00452E72">
        <w:t>Costing methodology</w:t>
      </w:r>
    </w:p>
    <w:p w14:paraId="33FBF28B" w14:textId="509E3757" w:rsidR="0043332F" w:rsidRDefault="00041429" w:rsidP="00A577AC">
      <w:pPr>
        <w:pStyle w:val="EYBodytextwithparaspace"/>
      </w:pPr>
      <w:r>
        <w:rPr>
          <w:noProof/>
        </w:rPr>
        <w:drawing>
          <wp:inline distT="0" distB="0" distL="0" distR="0" wp14:anchorId="60BDDEBE" wp14:editId="1B9B35A6">
            <wp:extent cx="5733415" cy="3902710"/>
            <wp:effectExtent l="0" t="0" r="635" b="2540"/>
            <wp:docPr id="14" name="Picture 14" descr="The figure outlines the elements of a costing methodology that would have to be considered for an open access model. This includes read and publish agreements, staff and IT for a central implementation body, ongoing costs for these elements and the cost savings that can be achieved with a central implementation b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figure outlines the elements of a costing methodology that would have to be considered for an open access model. This includes read and publish agreements, staff and IT for a central implementation body, ongoing costs for these elements and the cost savings that can be achieved with a central implementation body. "/>
                    <pic:cNvPicPr/>
                  </pic:nvPicPr>
                  <pic:blipFill>
                    <a:blip r:embed="rId46"/>
                    <a:stretch>
                      <a:fillRect/>
                    </a:stretch>
                  </pic:blipFill>
                  <pic:spPr>
                    <a:xfrm>
                      <a:off x="0" y="0"/>
                      <a:ext cx="5733415" cy="3902710"/>
                    </a:xfrm>
                    <a:prstGeom prst="rect">
                      <a:avLst/>
                    </a:prstGeom>
                  </pic:spPr>
                </pic:pic>
              </a:graphicData>
            </a:graphic>
          </wp:inline>
        </w:drawing>
      </w:r>
    </w:p>
    <w:p w14:paraId="74EAEC8A" w14:textId="4321B035" w:rsidR="00D8163E" w:rsidRDefault="00D8163E" w:rsidP="00A514CE">
      <w:pPr>
        <w:pStyle w:val="EYBodytextwithoutparaspace"/>
        <w:spacing w:before="360"/>
      </w:pPr>
      <w:r>
        <w:t>As noted above, while CAUL publishes the aggregate expenditure for Australian and New Zeala</w:t>
      </w:r>
      <w:r w:rsidR="00897C73">
        <w:t>nd libraries</w:t>
      </w:r>
      <w:r>
        <w:t xml:space="preserve">, current expenditure levels across industry, government, research institutions, and the Australian community </w:t>
      </w:r>
      <w:r w:rsidR="00025B54">
        <w:t>are</w:t>
      </w:r>
      <w:r>
        <w:t xml:space="preserve"> relatively unknown. To estimate each element, </w:t>
      </w:r>
      <w:r w:rsidR="003A2C3F">
        <w:t>the model extends</w:t>
      </w:r>
      <w:r>
        <w:t xml:space="preserve"> current expenditure aggregates to forecast the costs of the read-and-publish agreements and the costs of the central implementation bod</w:t>
      </w:r>
      <w:r w:rsidR="00456983">
        <w:t>y and supporting IT infrastructure.</w:t>
      </w:r>
    </w:p>
    <w:p w14:paraId="73816CA8" w14:textId="77777777" w:rsidR="00D8163E" w:rsidRDefault="00D8163E" w:rsidP="00105513">
      <w:pPr>
        <w:pStyle w:val="EYBodytextwithoutparaspace"/>
      </w:pPr>
      <w:r>
        <w:t>Key cost drivers for the scheme include:</w:t>
      </w:r>
    </w:p>
    <w:p w14:paraId="4732530E" w14:textId="2C695AB0" w:rsidR="00D8163E" w:rsidRPr="00BC0D76" w:rsidRDefault="00D8163E" w:rsidP="00753CBA">
      <w:pPr>
        <w:pStyle w:val="EYBulletnoparaspace"/>
        <w:ind w:left="426"/>
      </w:pPr>
      <w:r w:rsidRPr="00BC0D76">
        <w:t xml:space="preserve">Increasing the depth and level of journal access to individuals and organisations residing in Australia (growth in </w:t>
      </w:r>
      <w:r w:rsidR="000F220B" w:rsidRPr="00BC0D76">
        <w:t xml:space="preserve">the </w:t>
      </w:r>
      <w:r w:rsidRPr="00BC0D76">
        <w:t>user base)</w:t>
      </w:r>
      <w:r w:rsidR="000F220B" w:rsidRPr="00BC0D76">
        <w:t>.</w:t>
      </w:r>
    </w:p>
    <w:p w14:paraId="70A91AD2" w14:textId="2B83FA12" w:rsidR="00D8163E" w:rsidRPr="00BC0D76" w:rsidRDefault="00D8163E" w:rsidP="00753CBA">
      <w:pPr>
        <w:pStyle w:val="EYBulletnoparaspace"/>
        <w:ind w:left="426"/>
      </w:pPr>
      <w:r w:rsidRPr="00BC0D76">
        <w:t>Tiered pricing structures currently within the system</w:t>
      </w:r>
      <w:r w:rsidR="00E64BCD" w:rsidRPr="00BC0D76">
        <w:t xml:space="preserve"> (p</w:t>
      </w:r>
      <w:r w:rsidRPr="00BC0D76">
        <w:t>ublishers use different pricing structures based on different user profiles</w:t>
      </w:r>
      <w:r w:rsidR="00E64BCD" w:rsidRPr="00BC0D76">
        <w:t>)</w:t>
      </w:r>
      <w:r w:rsidR="000F220B" w:rsidRPr="00BC0D76">
        <w:t>.</w:t>
      </w:r>
    </w:p>
    <w:p w14:paraId="2276E938" w14:textId="3F218FA9" w:rsidR="00D8163E" w:rsidRPr="00BC0D76" w:rsidRDefault="00D8163E" w:rsidP="00753CBA">
      <w:pPr>
        <w:pStyle w:val="EYBulletnoparaspace"/>
        <w:ind w:left="426"/>
      </w:pPr>
      <w:r w:rsidRPr="00BC0D76">
        <w:t>The ramp-up and delivery timeframe will increase the costs of resourcing the central implementation body</w:t>
      </w:r>
      <w:r w:rsidR="00B76A00" w:rsidRPr="00BC0D76">
        <w:t>.</w:t>
      </w:r>
    </w:p>
    <w:p w14:paraId="47AC6767" w14:textId="08A22E6E" w:rsidR="00D8163E" w:rsidRDefault="00D8163E" w:rsidP="002E422D">
      <w:pPr>
        <w:pStyle w:val="EYBodytextwithparaspace"/>
        <w:spacing w:after="280"/>
      </w:pPr>
      <w:r>
        <w:t xml:space="preserve">Key elements that </w:t>
      </w:r>
      <w:r w:rsidR="007100F6">
        <w:t>are likely to</w:t>
      </w:r>
      <w:r>
        <w:t xml:space="preserve"> lower the costs of the scheme include:</w:t>
      </w:r>
    </w:p>
    <w:p w14:paraId="3C07C065" w14:textId="2E95BD5C" w:rsidR="00D8163E" w:rsidRPr="00BC0D76" w:rsidRDefault="00D8163E" w:rsidP="00753CBA">
      <w:pPr>
        <w:pStyle w:val="EYBulletnoparaspace"/>
        <w:ind w:left="426"/>
      </w:pPr>
      <w:r w:rsidRPr="00BC0D76">
        <w:t xml:space="preserve">Volume discounts, with the central implementation </w:t>
      </w:r>
      <w:r w:rsidR="008B0F98" w:rsidRPr="00BC0D76">
        <w:t xml:space="preserve">body </w:t>
      </w:r>
      <w:r w:rsidRPr="00BC0D76">
        <w:t>purchasing the entire publisher</w:t>
      </w:r>
      <w:r w:rsidRPr="00BC0D76">
        <w:rPr>
          <w:rFonts w:cs="EYInterstate Light"/>
        </w:rPr>
        <w:t>’</w:t>
      </w:r>
      <w:r w:rsidRPr="00BC0D76">
        <w:t xml:space="preserve">s collection for all Australians. This </w:t>
      </w:r>
      <w:r w:rsidR="007100F6" w:rsidRPr="00BC0D76">
        <w:t xml:space="preserve">could </w:t>
      </w:r>
      <w:r w:rsidR="00FA17B7" w:rsidRPr="00BC0D76">
        <w:t>realise</w:t>
      </w:r>
      <w:r w:rsidRPr="00BC0D76">
        <w:t xml:space="preserve"> large price discounts.</w:t>
      </w:r>
    </w:p>
    <w:p w14:paraId="106CC4B3" w14:textId="2B292BAC" w:rsidR="00D8163E" w:rsidRPr="00BC0D76" w:rsidRDefault="00D8163E" w:rsidP="00753CBA">
      <w:pPr>
        <w:pStyle w:val="EYBulletnoparaspace"/>
        <w:ind w:left="426"/>
      </w:pPr>
      <w:r w:rsidRPr="00BC0D76">
        <w:t xml:space="preserve">Centralising the backend functions of university libraries and research institutions </w:t>
      </w:r>
      <w:r w:rsidR="0080667F" w:rsidRPr="00BC0D76">
        <w:t>could deliver</w:t>
      </w:r>
      <w:r w:rsidRPr="00BC0D76">
        <w:t xml:space="preserve"> cost savings across the system. There </w:t>
      </w:r>
      <w:r w:rsidR="00FE537B" w:rsidRPr="00BC0D76">
        <w:t xml:space="preserve">is also likely to </w:t>
      </w:r>
      <w:r w:rsidRPr="00BC0D76">
        <w:t>be efficiency gains from centralising contract management and procurement functions.</w:t>
      </w:r>
    </w:p>
    <w:p w14:paraId="37C2D0FB" w14:textId="5FBCCADC" w:rsidR="00D8163E" w:rsidRPr="00BC0D76" w:rsidRDefault="00D8163E" w:rsidP="00753CBA">
      <w:pPr>
        <w:pStyle w:val="EYBulletnoparaspace"/>
        <w:ind w:left="426"/>
      </w:pPr>
      <w:r w:rsidRPr="00BC0D76">
        <w:t xml:space="preserve">In-kind contributions from </w:t>
      </w:r>
      <w:r w:rsidR="0065019B" w:rsidRPr="00BC0D76">
        <w:t>non-remunerated</w:t>
      </w:r>
      <w:r w:rsidRPr="00BC0D76">
        <w:t xml:space="preserve"> </w:t>
      </w:r>
      <w:r w:rsidRPr="00BC0D76">
        <w:rPr>
          <w:rFonts w:cs="EYInterstate Light"/>
        </w:rPr>
        <w:t>‘</w:t>
      </w:r>
      <w:r w:rsidRPr="00BC0D76">
        <w:t>peer-review</w:t>
      </w:r>
      <w:r w:rsidRPr="00BC0D76">
        <w:rPr>
          <w:rFonts w:cs="EYInterstate Light"/>
        </w:rPr>
        <w:t>’</w:t>
      </w:r>
      <w:r w:rsidRPr="00BC0D76">
        <w:t xml:space="preserve"> services </w:t>
      </w:r>
      <w:r w:rsidR="0065019B" w:rsidRPr="00BC0D76">
        <w:t>c</w:t>
      </w:r>
      <w:r w:rsidRPr="00BC0D76">
        <w:t xml:space="preserve">ould increase the central implementation body's position </w:t>
      </w:r>
      <w:r w:rsidR="009B39F2" w:rsidRPr="00BC0D76">
        <w:t>in</w:t>
      </w:r>
      <w:r w:rsidRPr="00BC0D76">
        <w:t xml:space="preserve"> negotiations </w:t>
      </w:r>
      <w:r w:rsidR="009B39F2" w:rsidRPr="00BC0D76">
        <w:t>with publishers</w:t>
      </w:r>
      <w:r w:rsidR="006A152D" w:rsidRPr="00BC0D76">
        <w:t>, with the potential to</w:t>
      </w:r>
      <w:r w:rsidRPr="00BC0D76">
        <w:t xml:space="preserve"> extract greater value from the read-and-publish agreements.</w:t>
      </w:r>
    </w:p>
    <w:p w14:paraId="18144815" w14:textId="04797180" w:rsidR="001575AA" w:rsidRPr="00BC0D76" w:rsidRDefault="00D8163E" w:rsidP="001575AA">
      <w:pPr>
        <w:pStyle w:val="EYBodytextwithoutparaspace"/>
      </w:pPr>
      <w:r w:rsidRPr="00BC0D76">
        <w:lastRenderedPageBreak/>
        <w:t xml:space="preserve">In line with these </w:t>
      </w:r>
      <w:r w:rsidR="008230C3" w:rsidRPr="00BC0D76">
        <w:t>cost drivers</w:t>
      </w:r>
      <w:r w:rsidRPr="00BC0D76">
        <w:t xml:space="preserve"> and </w:t>
      </w:r>
      <w:r w:rsidR="0098761C" w:rsidRPr="00BC0D76">
        <w:t>potential</w:t>
      </w:r>
      <w:r w:rsidRPr="00BC0D76">
        <w:t xml:space="preserve"> </w:t>
      </w:r>
      <w:r w:rsidR="001A489B" w:rsidRPr="00BC0D76">
        <w:t>avenues for cost efficiencies</w:t>
      </w:r>
      <w:r w:rsidRPr="00BC0D76">
        <w:t xml:space="preserve"> through national agreements, the estimated costs of </w:t>
      </w:r>
      <w:r w:rsidR="0093645F" w:rsidRPr="00BC0D76">
        <w:t>the preferred national open access</w:t>
      </w:r>
      <w:r w:rsidRPr="00BC0D76">
        <w:t xml:space="preserve"> </w:t>
      </w:r>
      <w:r w:rsidR="001575AA" w:rsidRPr="00BC0D76">
        <w:t>model</w:t>
      </w:r>
      <w:r w:rsidRPr="00BC0D76">
        <w:t xml:space="preserve"> </w:t>
      </w:r>
      <w:r w:rsidR="00A664A6" w:rsidRPr="00BC0D76">
        <w:t>are</w:t>
      </w:r>
      <w:r w:rsidRPr="00BC0D76">
        <w:t xml:space="preserve"> in the order of $420 million per year</w:t>
      </w:r>
      <w:r w:rsidR="00D25478">
        <w:t xml:space="preserve"> (see </w:t>
      </w:r>
      <w:r w:rsidR="00D25478">
        <w:fldChar w:fldCharType="begin"/>
      </w:r>
      <w:r w:rsidR="00D25478">
        <w:instrText xml:space="preserve"> REF _Ref112750374 \h </w:instrText>
      </w:r>
      <w:r w:rsidR="00D25478">
        <w:fldChar w:fldCharType="separate"/>
      </w:r>
      <w:r w:rsidR="008112E6">
        <w:t xml:space="preserve">Table </w:t>
      </w:r>
      <w:r w:rsidR="008112E6">
        <w:rPr>
          <w:noProof/>
        </w:rPr>
        <w:t>8</w:t>
      </w:r>
      <w:r w:rsidR="00D25478">
        <w:fldChar w:fldCharType="end"/>
      </w:r>
      <w:r w:rsidR="00D25478">
        <w:t>)</w:t>
      </w:r>
      <w:r w:rsidRPr="00BC0D76">
        <w:t>.</w:t>
      </w:r>
    </w:p>
    <w:p w14:paraId="5CAF8548" w14:textId="25A11A12" w:rsidR="00D8163E" w:rsidRPr="00BC0D76" w:rsidRDefault="00D8163E" w:rsidP="001575AA">
      <w:pPr>
        <w:pStyle w:val="EYBodytextwithoutparaspace"/>
      </w:pPr>
      <w:r w:rsidRPr="00BC0D76">
        <w:t xml:space="preserve">This estimate should be </w:t>
      </w:r>
      <w:r w:rsidR="001A4415" w:rsidRPr="00BC0D76">
        <w:t>considered</w:t>
      </w:r>
      <w:r w:rsidRPr="00BC0D76">
        <w:t xml:space="preserve"> </w:t>
      </w:r>
      <w:r w:rsidR="001A4415" w:rsidRPr="00BC0D76">
        <w:t>indicative</w:t>
      </w:r>
      <w:r w:rsidRPr="00BC0D76">
        <w:t xml:space="preserve">, with </w:t>
      </w:r>
      <w:r w:rsidR="001A4415" w:rsidRPr="00BC0D76">
        <w:t>a potential</w:t>
      </w:r>
      <w:r w:rsidRPr="00BC0D76">
        <w:t xml:space="preserve"> </w:t>
      </w:r>
      <w:r w:rsidR="001A4415" w:rsidRPr="00BC0D76">
        <w:t>cost</w:t>
      </w:r>
      <w:r w:rsidRPr="00BC0D76">
        <w:t xml:space="preserve"> envelope </w:t>
      </w:r>
      <w:r w:rsidR="001A4415" w:rsidRPr="00BC0D76">
        <w:t>of</w:t>
      </w:r>
      <w:r w:rsidRPr="00BC0D76">
        <w:t xml:space="preserve"> between $320 </w:t>
      </w:r>
      <w:r w:rsidR="000176E5" w:rsidRPr="00F851DC">
        <w:t>to</w:t>
      </w:r>
      <w:r w:rsidRPr="00BC0D76">
        <w:t xml:space="preserve"> $550 million per year. </w:t>
      </w:r>
      <w:r w:rsidR="00C96ABA" w:rsidRPr="00BC0D76">
        <w:t>This aligns with the delivery timeframe for full scheme after 18 months from implementation.</w:t>
      </w:r>
      <w:r w:rsidR="0068723B">
        <w:t xml:space="preserve"> </w:t>
      </w:r>
      <w:r w:rsidRPr="0068723B">
        <w:t xml:space="preserve">This aligns with </w:t>
      </w:r>
      <w:r w:rsidR="000B7613" w:rsidRPr="0068723B">
        <w:t>a</w:t>
      </w:r>
      <w:r w:rsidRPr="0068723B">
        <w:t xml:space="preserve"> timeframe for </w:t>
      </w:r>
      <w:r w:rsidR="004D3D5D" w:rsidRPr="0068723B">
        <w:t xml:space="preserve">a </w:t>
      </w:r>
      <w:r w:rsidR="00A738ED" w:rsidRPr="0068723B">
        <w:t>fully developed and operational</w:t>
      </w:r>
      <w:r w:rsidRPr="0068723B">
        <w:t xml:space="preserve"> scheme after 18 months from </w:t>
      </w:r>
      <w:r w:rsidR="00A738ED" w:rsidRPr="0068723B">
        <w:t>in</w:t>
      </w:r>
      <w:r w:rsidR="00DE34D1" w:rsidRPr="0068723B">
        <w:t xml:space="preserve">itial </w:t>
      </w:r>
      <w:r w:rsidRPr="0068723B">
        <w:t>implementation.</w:t>
      </w:r>
    </w:p>
    <w:p w14:paraId="4DD4672D" w14:textId="08D5C770" w:rsidR="00CE2BBB" w:rsidRDefault="00CE2BBB" w:rsidP="00CE2BBB">
      <w:pPr>
        <w:pStyle w:val="Caption"/>
        <w:keepNext/>
      </w:pPr>
      <w:bookmarkStart w:id="65" w:name="_Ref112750374"/>
      <w:bookmarkStart w:id="66" w:name="_Ref112750369"/>
      <w:r>
        <w:t xml:space="preserve">Table </w:t>
      </w:r>
      <w:r>
        <w:fldChar w:fldCharType="begin"/>
      </w:r>
      <w:r>
        <w:instrText xml:space="preserve"> SEQ Table \* ARABIC </w:instrText>
      </w:r>
      <w:r>
        <w:fldChar w:fldCharType="separate"/>
      </w:r>
      <w:r w:rsidR="008112E6">
        <w:rPr>
          <w:noProof/>
        </w:rPr>
        <w:t>8</w:t>
      </w:r>
      <w:r>
        <w:fldChar w:fldCharType="end"/>
      </w:r>
      <w:bookmarkEnd w:id="65"/>
      <w:r>
        <w:t xml:space="preserve">: </w:t>
      </w:r>
      <w:r w:rsidR="00A664A6">
        <w:t>P</w:t>
      </w:r>
      <w:r w:rsidR="00AE35DA">
        <w:t xml:space="preserve">otential </w:t>
      </w:r>
      <w:r w:rsidR="00940C3D">
        <w:t>o</w:t>
      </w:r>
      <w:r>
        <w:t>pen access scheme costs</w:t>
      </w:r>
      <w:bookmarkEnd w:id="66"/>
    </w:p>
    <w:tbl>
      <w:tblPr>
        <w:tblStyle w:val="TableGrid"/>
        <w:tblW w:w="0" w:type="auto"/>
        <w:tblBorders>
          <w:top w:val="none" w:sz="0" w:space="0" w:color="auto"/>
          <w:left w:val="none" w:sz="0" w:space="0" w:color="auto"/>
          <w:right w:val="none" w:sz="0" w:space="0" w:color="auto"/>
          <w:insideH w:val="single" w:sz="4" w:space="0" w:color="787890" w:themeColor="text1" w:themeTint="99"/>
          <w:insideV w:val="none" w:sz="0" w:space="0" w:color="auto"/>
        </w:tblBorders>
        <w:tblLook w:val="04A0" w:firstRow="1" w:lastRow="0" w:firstColumn="1" w:lastColumn="0" w:noHBand="0" w:noVBand="1"/>
      </w:tblPr>
      <w:tblGrid>
        <w:gridCol w:w="2553"/>
        <w:gridCol w:w="1695"/>
        <w:gridCol w:w="1540"/>
        <w:gridCol w:w="1710"/>
        <w:gridCol w:w="1521"/>
      </w:tblGrid>
      <w:tr w:rsidR="007D1819" w:rsidRPr="00E076A2" w14:paraId="513D86E8" w14:textId="59FA92F2" w:rsidTr="00753CBA">
        <w:trPr>
          <w:trHeight w:val="802"/>
        </w:trPr>
        <w:tc>
          <w:tcPr>
            <w:tcW w:w="2553" w:type="dxa"/>
            <w:tcBorders>
              <w:bottom w:val="single" w:sz="4" w:space="0" w:color="787890" w:themeColor="text1" w:themeTint="99"/>
            </w:tcBorders>
            <w:shd w:val="clear" w:color="auto" w:fill="787890" w:themeFill="text1" w:themeFillTint="99"/>
            <w:vAlign w:val="center"/>
          </w:tcPr>
          <w:p w14:paraId="114567D8" w14:textId="35C192D7" w:rsidR="003F4B4E" w:rsidRPr="00E076A2" w:rsidRDefault="003F4B4E" w:rsidP="00A577AC">
            <w:pPr>
              <w:pStyle w:val="EYBodytextwithparaspace"/>
              <w:rPr>
                <w:rFonts w:ascii="EYInterstate Light" w:hAnsi="EYInterstate Light"/>
                <w:b/>
                <w:color w:val="FFFFFF" w:themeColor="background1"/>
              </w:rPr>
            </w:pPr>
            <w:r w:rsidRPr="00E076A2">
              <w:rPr>
                <w:rFonts w:ascii="EYInterstate Light" w:hAnsi="EYInterstate Light"/>
                <w:b/>
                <w:color w:val="FFFFFF" w:themeColor="background1"/>
              </w:rPr>
              <w:t xml:space="preserve">Cost element </w:t>
            </w:r>
            <w:r w:rsidR="00264777" w:rsidRPr="00E076A2">
              <w:rPr>
                <w:rFonts w:ascii="EYInterstate Light" w:hAnsi="EYInterstate Light"/>
                <w:b/>
                <w:color w:val="FFFFFF" w:themeColor="background1"/>
              </w:rPr>
              <w:t>($ million)</w:t>
            </w:r>
          </w:p>
        </w:tc>
        <w:tc>
          <w:tcPr>
            <w:tcW w:w="1695" w:type="dxa"/>
            <w:tcBorders>
              <w:bottom w:val="single" w:sz="4" w:space="0" w:color="787890" w:themeColor="text1" w:themeTint="99"/>
            </w:tcBorders>
            <w:shd w:val="clear" w:color="auto" w:fill="787890" w:themeFill="text1" w:themeFillTint="99"/>
            <w:vAlign w:val="center"/>
          </w:tcPr>
          <w:p w14:paraId="2EAD8CAE" w14:textId="0EB20FF4" w:rsidR="003F4B4E" w:rsidRPr="00E076A2" w:rsidRDefault="003F4B4E" w:rsidP="00BC0D76">
            <w:pPr>
              <w:pStyle w:val="EYBodytextwithparaspace"/>
              <w:rPr>
                <w:rFonts w:ascii="EYInterstate Light" w:hAnsi="EYInterstate Light"/>
                <w:b/>
                <w:color w:val="FFFFFF" w:themeColor="background1"/>
              </w:rPr>
            </w:pPr>
            <w:r w:rsidRPr="00E076A2">
              <w:rPr>
                <w:rFonts w:ascii="EYInterstate Light" w:hAnsi="EYInterstate Light"/>
                <w:b/>
                <w:color w:val="FFFFFF" w:themeColor="background1"/>
              </w:rPr>
              <w:t>Implementation (Year 1)</w:t>
            </w:r>
          </w:p>
        </w:tc>
        <w:tc>
          <w:tcPr>
            <w:tcW w:w="1540" w:type="dxa"/>
            <w:tcBorders>
              <w:bottom w:val="single" w:sz="4" w:space="0" w:color="787890" w:themeColor="text1" w:themeTint="99"/>
            </w:tcBorders>
            <w:shd w:val="clear" w:color="auto" w:fill="787890" w:themeFill="text1" w:themeFillTint="99"/>
            <w:vAlign w:val="center"/>
          </w:tcPr>
          <w:p w14:paraId="52FAC66D" w14:textId="6F63773B" w:rsidR="003F4B4E" w:rsidRPr="00E076A2" w:rsidRDefault="003F4B4E" w:rsidP="00BC0D76">
            <w:pPr>
              <w:pStyle w:val="EYBodytextwithparaspace"/>
              <w:rPr>
                <w:rFonts w:ascii="EYInterstate Light" w:hAnsi="EYInterstate Light"/>
                <w:b/>
                <w:color w:val="FFFFFF" w:themeColor="background1"/>
              </w:rPr>
            </w:pPr>
            <w:r w:rsidRPr="00E076A2">
              <w:rPr>
                <w:rFonts w:ascii="EYInterstate Light" w:hAnsi="EYInterstate Light"/>
                <w:b/>
                <w:color w:val="FFFFFF" w:themeColor="background1"/>
              </w:rPr>
              <w:t xml:space="preserve">Go live </w:t>
            </w:r>
            <w:r w:rsidR="00995B5C" w:rsidRPr="00E076A2">
              <w:rPr>
                <w:rFonts w:ascii="EYInterstate Light" w:hAnsi="EYInterstate Light"/>
                <w:b/>
                <w:color w:val="FFFFFF" w:themeColor="background1"/>
              </w:rPr>
              <w:br/>
            </w:r>
            <w:r w:rsidRPr="00E076A2">
              <w:rPr>
                <w:rFonts w:ascii="EYInterstate Light" w:hAnsi="EYInterstate Light"/>
                <w:b/>
                <w:color w:val="FFFFFF" w:themeColor="background1"/>
              </w:rPr>
              <w:t>(Year 2)</w:t>
            </w:r>
          </w:p>
        </w:tc>
        <w:tc>
          <w:tcPr>
            <w:tcW w:w="1710" w:type="dxa"/>
            <w:tcBorders>
              <w:bottom w:val="single" w:sz="4" w:space="0" w:color="787890" w:themeColor="text1" w:themeTint="99"/>
            </w:tcBorders>
            <w:shd w:val="clear" w:color="auto" w:fill="787890" w:themeFill="text1" w:themeFillTint="99"/>
            <w:vAlign w:val="center"/>
          </w:tcPr>
          <w:p w14:paraId="799B2DEB" w14:textId="5D1D0052" w:rsidR="003F4B4E" w:rsidRPr="00E076A2" w:rsidRDefault="003F4B4E" w:rsidP="00BC0D76">
            <w:pPr>
              <w:pStyle w:val="EYBodytextwithparaspace"/>
              <w:rPr>
                <w:rFonts w:ascii="EYInterstate Light" w:hAnsi="EYInterstate Light"/>
                <w:b/>
                <w:color w:val="FFFFFF" w:themeColor="background1"/>
              </w:rPr>
            </w:pPr>
            <w:r w:rsidRPr="00E076A2">
              <w:rPr>
                <w:rFonts w:ascii="EYInterstate Light" w:hAnsi="EYInterstate Light"/>
                <w:b/>
                <w:color w:val="FFFFFF" w:themeColor="background1"/>
              </w:rPr>
              <w:t>Full scheme (</w:t>
            </w:r>
            <w:r w:rsidR="00BE263F" w:rsidRPr="00E076A2">
              <w:rPr>
                <w:rFonts w:ascii="EYInterstate Light" w:hAnsi="EYInterstate Light"/>
                <w:b/>
                <w:color w:val="FFFFFF" w:themeColor="background1"/>
              </w:rPr>
              <w:t>Y</w:t>
            </w:r>
            <w:r w:rsidRPr="00E076A2">
              <w:rPr>
                <w:rFonts w:ascii="EYInterstate Light" w:hAnsi="EYInterstate Light"/>
                <w:b/>
                <w:color w:val="FFFFFF" w:themeColor="background1"/>
              </w:rPr>
              <w:t>ear 3)</w:t>
            </w:r>
          </w:p>
        </w:tc>
        <w:tc>
          <w:tcPr>
            <w:tcW w:w="1521" w:type="dxa"/>
            <w:tcBorders>
              <w:bottom w:val="single" w:sz="4" w:space="0" w:color="787890" w:themeColor="text1" w:themeTint="99"/>
            </w:tcBorders>
            <w:shd w:val="clear" w:color="auto" w:fill="787890" w:themeFill="text1" w:themeFillTint="99"/>
            <w:vAlign w:val="center"/>
          </w:tcPr>
          <w:p w14:paraId="7CE43995" w14:textId="63391FED" w:rsidR="003F4B4E" w:rsidRPr="00E076A2" w:rsidRDefault="003F4B4E" w:rsidP="00BC0D76">
            <w:pPr>
              <w:pStyle w:val="EYBodytextwithparaspace"/>
              <w:rPr>
                <w:rFonts w:ascii="EYInterstate Light" w:hAnsi="EYInterstate Light"/>
                <w:b/>
                <w:color w:val="FFFFFF" w:themeColor="background1"/>
              </w:rPr>
            </w:pPr>
            <w:r w:rsidRPr="00E076A2">
              <w:rPr>
                <w:rFonts w:ascii="EYInterstate Light" w:hAnsi="EYInterstate Light"/>
                <w:b/>
                <w:color w:val="FFFFFF" w:themeColor="background1"/>
              </w:rPr>
              <w:t>Ongoing</w:t>
            </w:r>
          </w:p>
        </w:tc>
      </w:tr>
      <w:tr w:rsidR="003F4B4E" w14:paraId="5DA0DA65" w14:textId="77777777" w:rsidTr="00753CBA">
        <w:trPr>
          <w:trHeight w:val="608"/>
        </w:trPr>
        <w:tc>
          <w:tcPr>
            <w:tcW w:w="2553" w:type="dxa"/>
            <w:tcBorders>
              <w:top w:val="single" w:sz="4" w:space="0" w:color="787890" w:themeColor="text1" w:themeTint="99"/>
              <w:bottom w:val="single" w:sz="4" w:space="0" w:color="auto"/>
            </w:tcBorders>
            <w:vAlign w:val="center"/>
          </w:tcPr>
          <w:p w14:paraId="5880981A" w14:textId="58635BDD" w:rsidR="003F4B4E" w:rsidRPr="00DD79ED" w:rsidRDefault="003F4B4E" w:rsidP="00FC1BF0">
            <w:pPr>
              <w:autoSpaceDE/>
              <w:autoSpaceDN/>
              <w:adjustRightInd/>
              <w:rPr>
                <w:rFonts w:ascii="EYInterstate Light" w:hAnsi="EYInterstate Light" w:cs="Calibri"/>
                <w:color w:val="000000"/>
              </w:rPr>
            </w:pPr>
            <w:r w:rsidRPr="00DD79ED">
              <w:rPr>
                <w:rFonts w:ascii="EYInterstate Light" w:hAnsi="EYInterstate Light" w:cs="Calibri"/>
                <w:color w:val="000000"/>
              </w:rPr>
              <w:t>Read-and-publish agreements</w:t>
            </w:r>
          </w:p>
        </w:tc>
        <w:tc>
          <w:tcPr>
            <w:tcW w:w="1695" w:type="dxa"/>
            <w:tcBorders>
              <w:top w:val="single" w:sz="4" w:space="0" w:color="787890" w:themeColor="text1" w:themeTint="99"/>
              <w:bottom w:val="single" w:sz="4" w:space="0" w:color="auto"/>
            </w:tcBorders>
            <w:vAlign w:val="center"/>
          </w:tcPr>
          <w:p w14:paraId="58580824" w14:textId="2AB7CC43" w:rsidR="003F4B4E" w:rsidRPr="00FC7534" w:rsidRDefault="007D44AD" w:rsidP="00BC0D76">
            <w:pPr>
              <w:autoSpaceDE/>
              <w:autoSpaceDN/>
              <w:adjustRightInd/>
              <w:rPr>
                <w:rFonts w:ascii="EYInterstate Light" w:hAnsi="EYInterstate Light" w:cs="Calibri"/>
                <w:color w:val="000000"/>
              </w:rPr>
            </w:pPr>
            <w:r w:rsidRPr="00FC7534">
              <w:rPr>
                <w:rFonts w:ascii="EYInterstate Light" w:hAnsi="EYInterstate Light" w:cs="Calibri"/>
                <w:color w:val="000000"/>
              </w:rPr>
              <w:t>-</w:t>
            </w:r>
          </w:p>
        </w:tc>
        <w:tc>
          <w:tcPr>
            <w:tcW w:w="1540" w:type="dxa"/>
            <w:tcBorders>
              <w:top w:val="single" w:sz="4" w:space="0" w:color="787890" w:themeColor="text1" w:themeTint="99"/>
              <w:bottom w:val="single" w:sz="4" w:space="0" w:color="auto"/>
            </w:tcBorders>
            <w:vAlign w:val="center"/>
          </w:tcPr>
          <w:p w14:paraId="443D4018" w14:textId="55DA48E2" w:rsidR="003F4B4E" w:rsidRPr="002E3DC2" w:rsidRDefault="009152D9" w:rsidP="00BC0D76">
            <w:pPr>
              <w:autoSpaceDE/>
              <w:autoSpaceDN/>
              <w:adjustRightInd/>
              <w:rPr>
                <w:rFonts w:ascii="EYInterstate Light" w:hAnsi="EYInterstate Light" w:cs="Calibri"/>
                <w:color w:val="000000"/>
              </w:rPr>
            </w:pPr>
            <w:r>
              <w:rPr>
                <w:rFonts w:ascii="EYInterstate Light" w:hAnsi="EYInterstate Light" w:cs="Calibri"/>
                <w:color w:val="000000"/>
              </w:rPr>
              <w:t>$</w:t>
            </w:r>
            <w:r w:rsidR="00291688">
              <w:rPr>
                <w:rFonts w:ascii="EYInterstate Light" w:hAnsi="EYInterstate Light" w:cs="Calibri"/>
                <w:color w:val="000000"/>
              </w:rPr>
              <w:t>1</w:t>
            </w:r>
            <w:r>
              <w:rPr>
                <w:rFonts w:ascii="EYInterstate Light" w:hAnsi="EYInterstate Light" w:cs="Calibri"/>
                <w:color w:val="000000"/>
              </w:rPr>
              <w:t>85</w:t>
            </w:r>
          </w:p>
        </w:tc>
        <w:tc>
          <w:tcPr>
            <w:tcW w:w="1710" w:type="dxa"/>
            <w:tcBorders>
              <w:top w:val="single" w:sz="4" w:space="0" w:color="787890" w:themeColor="text1" w:themeTint="99"/>
              <w:bottom w:val="single" w:sz="4" w:space="0" w:color="auto"/>
            </w:tcBorders>
            <w:vAlign w:val="center"/>
          </w:tcPr>
          <w:p w14:paraId="7CD0AB96" w14:textId="729E7480" w:rsidR="003F4B4E" w:rsidRPr="00FC7534" w:rsidRDefault="00731DEF" w:rsidP="00BC0D76">
            <w:pPr>
              <w:autoSpaceDE/>
              <w:autoSpaceDN/>
              <w:adjustRightInd/>
              <w:rPr>
                <w:rFonts w:ascii="EYInterstate Light" w:hAnsi="EYInterstate Light" w:cs="Calibri"/>
                <w:color w:val="000000"/>
              </w:rPr>
            </w:pPr>
            <w:r w:rsidRPr="00FC7534">
              <w:rPr>
                <w:rFonts w:ascii="EYInterstate Light" w:hAnsi="EYInterstate Light" w:cs="Calibri"/>
                <w:color w:val="000000"/>
              </w:rPr>
              <w:t>$</w:t>
            </w:r>
            <w:r w:rsidR="005671D0" w:rsidRPr="00FC7534">
              <w:rPr>
                <w:rFonts w:ascii="EYInterstate Light" w:hAnsi="EYInterstate Light" w:cs="Calibri"/>
                <w:color w:val="000000"/>
              </w:rPr>
              <w:t>369.3</w:t>
            </w:r>
          </w:p>
        </w:tc>
        <w:tc>
          <w:tcPr>
            <w:tcW w:w="1521" w:type="dxa"/>
            <w:tcBorders>
              <w:top w:val="single" w:sz="4" w:space="0" w:color="787890" w:themeColor="text1" w:themeTint="99"/>
              <w:bottom w:val="single" w:sz="4" w:space="0" w:color="auto"/>
            </w:tcBorders>
            <w:vAlign w:val="center"/>
          </w:tcPr>
          <w:p w14:paraId="6C5395A5" w14:textId="0852404F" w:rsidR="003F4B4E" w:rsidRPr="00FC7534" w:rsidRDefault="00611096" w:rsidP="00BC0D76">
            <w:pPr>
              <w:autoSpaceDE/>
              <w:autoSpaceDN/>
              <w:adjustRightInd/>
              <w:rPr>
                <w:rFonts w:ascii="EYInterstate Light" w:hAnsi="EYInterstate Light" w:cs="Calibri"/>
                <w:color w:val="000000"/>
              </w:rPr>
            </w:pPr>
            <w:r w:rsidRPr="00FC7534">
              <w:rPr>
                <w:rFonts w:ascii="EYInterstate Light" w:hAnsi="EYInterstate Light" w:cs="Calibri"/>
                <w:color w:val="000000"/>
              </w:rPr>
              <w:t>$380.4</w:t>
            </w:r>
          </w:p>
        </w:tc>
      </w:tr>
      <w:tr w:rsidR="007D44AD" w14:paraId="6436FBBD" w14:textId="77777777" w:rsidTr="00753CBA">
        <w:trPr>
          <w:trHeight w:val="608"/>
        </w:trPr>
        <w:tc>
          <w:tcPr>
            <w:tcW w:w="2553" w:type="dxa"/>
            <w:tcBorders>
              <w:top w:val="single" w:sz="4" w:space="0" w:color="auto"/>
              <w:bottom w:val="single" w:sz="4" w:space="0" w:color="auto"/>
            </w:tcBorders>
            <w:vAlign w:val="center"/>
          </w:tcPr>
          <w:p w14:paraId="6E573A91" w14:textId="239D5CFA" w:rsidR="007D44AD" w:rsidRPr="00DD79ED" w:rsidRDefault="007D44AD" w:rsidP="00FC1BF0">
            <w:pPr>
              <w:autoSpaceDE/>
              <w:autoSpaceDN/>
              <w:adjustRightInd/>
              <w:rPr>
                <w:rFonts w:ascii="EYInterstate Light" w:hAnsi="EYInterstate Light" w:cs="Calibri"/>
                <w:color w:val="000000"/>
              </w:rPr>
            </w:pPr>
            <w:r w:rsidRPr="00DD79ED">
              <w:rPr>
                <w:rFonts w:ascii="EYInterstate Light" w:hAnsi="EYInterstate Light" w:cs="Calibri"/>
                <w:color w:val="000000"/>
              </w:rPr>
              <w:t xml:space="preserve">Central </w:t>
            </w:r>
            <w:r w:rsidR="00291C74">
              <w:rPr>
                <w:rFonts w:ascii="EYInterstate Light" w:hAnsi="EYInterstate Light" w:cs="Calibri"/>
                <w:color w:val="000000"/>
              </w:rPr>
              <w:t>i</w:t>
            </w:r>
            <w:r w:rsidRPr="00DD79ED">
              <w:rPr>
                <w:rFonts w:ascii="EYInterstate Light" w:hAnsi="EYInterstate Light" w:cs="Calibri"/>
                <w:color w:val="000000"/>
              </w:rPr>
              <w:t>mplementation body</w:t>
            </w:r>
          </w:p>
        </w:tc>
        <w:tc>
          <w:tcPr>
            <w:tcW w:w="1695" w:type="dxa"/>
            <w:tcBorders>
              <w:top w:val="single" w:sz="4" w:space="0" w:color="auto"/>
              <w:bottom w:val="single" w:sz="4" w:space="0" w:color="auto"/>
            </w:tcBorders>
            <w:vAlign w:val="center"/>
          </w:tcPr>
          <w:p w14:paraId="236EC8D6" w14:textId="3BC8C219" w:rsidR="007D44AD" w:rsidRPr="00FC7534" w:rsidRDefault="007D44AD" w:rsidP="00BC0D76">
            <w:pPr>
              <w:autoSpaceDE/>
              <w:autoSpaceDN/>
              <w:adjustRightInd/>
              <w:rPr>
                <w:rFonts w:ascii="EYInterstate Light" w:hAnsi="EYInterstate Light" w:cs="Calibri"/>
                <w:color w:val="000000"/>
              </w:rPr>
            </w:pPr>
            <w:r w:rsidRPr="00FC7534">
              <w:rPr>
                <w:rFonts w:ascii="EYInterstate Light" w:hAnsi="EYInterstate Light" w:cs="Calibri"/>
                <w:color w:val="000000"/>
              </w:rPr>
              <w:t>$11.9</w:t>
            </w:r>
          </w:p>
        </w:tc>
        <w:tc>
          <w:tcPr>
            <w:tcW w:w="1540" w:type="dxa"/>
            <w:tcBorders>
              <w:top w:val="single" w:sz="4" w:space="0" w:color="auto"/>
              <w:bottom w:val="single" w:sz="4" w:space="0" w:color="auto"/>
            </w:tcBorders>
            <w:vAlign w:val="center"/>
          </w:tcPr>
          <w:p w14:paraId="6C1B6C77" w14:textId="495818BC" w:rsidR="007D44AD" w:rsidRPr="00FC7534" w:rsidRDefault="007D44AD" w:rsidP="00BC0D76">
            <w:pPr>
              <w:autoSpaceDE/>
              <w:autoSpaceDN/>
              <w:adjustRightInd/>
              <w:rPr>
                <w:rFonts w:ascii="EYInterstate Light" w:hAnsi="EYInterstate Light" w:cs="Calibri"/>
                <w:color w:val="000000"/>
              </w:rPr>
            </w:pPr>
            <w:r w:rsidRPr="00FC7534">
              <w:rPr>
                <w:rFonts w:ascii="EYInterstate Light" w:hAnsi="EYInterstate Light" w:cs="Calibri"/>
                <w:color w:val="000000"/>
              </w:rPr>
              <w:t>$11.9</w:t>
            </w:r>
          </w:p>
        </w:tc>
        <w:tc>
          <w:tcPr>
            <w:tcW w:w="1710" w:type="dxa"/>
            <w:tcBorders>
              <w:top w:val="single" w:sz="4" w:space="0" w:color="auto"/>
              <w:bottom w:val="single" w:sz="4" w:space="0" w:color="auto"/>
            </w:tcBorders>
            <w:vAlign w:val="center"/>
          </w:tcPr>
          <w:p w14:paraId="731D104E" w14:textId="53B9AEA0" w:rsidR="007D44AD" w:rsidRPr="00FC7534" w:rsidRDefault="007D44AD" w:rsidP="00BC0D76">
            <w:pPr>
              <w:autoSpaceDE/>
              <w:autoSpaceDN/>
              <w:adjustRightInd/>
              <w:rPr>
                <w:rFonts w:ascii="EYInterstate Light" w:hAnsi="EYInterstate Light" w:cs="Calibri"/>
                <w:color w:val="000000"/>
              </w:rPr>
            </w:pPr>
            <w:r w:rsidRPr="00FC7534">
              <w:rPr>
                <w:rFonts w:ascii="EYInterstate Light" w:hAnsi="EYInterstate Light" w:cs="Calibri"/>
                <w:color w:val="000000"/>
              </w:rPr>
              <w:t>$11.9</w:t>
            </w:r>
          </w:p>
        </w:tc>
        <w:tc>
          <w:tcPr>
            <w:tcW w:w="1521" w:type="dxa"/>
            <w:tcBorders>
              <w:top w:val="single" w:sz="4" w:space="0" w:color="auto"/>
              <w:bottom w:val="single" w:sz="4" w:space="0" w:color="auto"/>
            </w:tcBorders>
            <w:vAlign w:val="center"/>
          </w:tcPr>
          <w:p w14:paraId="3D0782F0" w14:textId="156D1129" w:rsidR="007D44AD" w:rsidRPr="00FC7534" w:rsidRDefault="007D44AD" w:rsidP="00BC0D76">
            <w:pPr>
              <w:autoSpaceDE/>
              <w:autoSpaceDN/>
              <w:adjustRightInd/>
              <w:rPr>
                <w:rFonts w:ascii="EYInterstate Light" w:hAnsi="EYInterstate Light" w:cs="Calibri"/>
                <w:color w:val="000000"/>
              </w:rPr>
            </w:pPr>
            <w:r w:rsidRPr="00FC7534">
              <w:rPr>
                <w:rFonts w:ascii="EYInterstate Light" w:hAnsi="EYInterstate Light" w:cs="Calibri"/>
                <w:color w:val="000000"/>
              </w:rPr>
              <w:t>$11.9</w:t>
            </w:r>
          </w:p>
        </w:tc>
      </w:tr>
      <w:tr w:rsidR="007D44AD" w14:paraId="732547B1" w14:textId="77777777" w:rsidTr="00753CBA">
        <w:trPr>
          <w:trHeight w:val="608"/>
        </w:trPr>
        <w:tc>
          <w:tcPr>
            <w:tcW w:w="2553" w:type="dxa"/>
            <w:tcBorders>
              <w:top w:val="single" w:sz="4" w:space="0" w:color="auto"/>
              <w:bottom w:val="single" w:sz="4" w:space="0" w:color="auto"/>
            </w:tcBorders>
            <w:vAlign w:val="center"/>
          </w:tcPr>
          <w:p w14:paraId="45B1ED7E" w14:textId="29583D43" w:rsidR="007D44AD" w:rsidRPr="00DD79ED" w:rsidRDefault="007D44AD" w:rsidP="00FC1BF0">
            <w:pPr>
              <w:autoSpaceDE/>
              <w:autoSpaceDN/>
              <w:adjustRightInd/>
              <w:rPr>
                <w:rFonts w:ascii="EYInterstate Light" w:hAnsi="EYInterstate Light" w:cs="Calibri"/>
                <w:color w:val="000000"/>
              </w:rPr>
            </w:pPr>
            <w:r w:rsidRPr="00DD79ED">
              <w:rPr>
                <w:rFonts w:ascii="EYInterstate Light" w:hAnsi="EYInterstate Light" w:cs="Calibri"/>
                <w:color w:val="000000"/>
              </w:rPr>
              <w:t>IT system costs</w:t>
            </w:r>
          </w:p>
        </w:tc>
        <w:tc>
          <w:tcPr>
            <w:tcW w:w="1695" w:type="dxa"/>
            <w:tcBorders>
              <w:top w:val="single" w:sz="4" w:space="0" w:color="auto"/>
              <w:bottom w:val="single" w:sz="4" w:space="0" w:color="auto"/>
            </w:tcBorders>
            <w:vAlign w:val="center"/>
          </w:tcPr>
          <w:p w14:paraId="55F0E672" w14:textId="1BC11D02" w:rsidR="007D44AD" w:rsidRPr="00FC7534" w:rsidRDefault="007D44AD" w:rsidP="00BC0D76">
            <w:pPr>
              <w:autoSpaceDE/>
              <w:autoSpaceDN/>
              <w:adjustRightInd/>
              <w:rPr>
                <w:rFonts w:ascii="EYInterstate Light" w:hAnsi="EYInterstate Light" w:cs="Calibri"/>
                <w:color w:val="000000"/>
              </w:rPr>
            </w:pPr>
            <w:r w:rsidRPr="00FC7534">
              <w:rPr>
                <w:rFonts w:ascii="EYInterstate Light" w:hAnsi="EYInterstate Light" w:cs="Calibri"/>
                <w:color w:val="000000"/>
              </w:rPr>
              <w:t>$</w:t>
            </w:r>
            <w:r w:rsidR="002F08F1">
              <w:rPr>
                <w:rFonts w:ascii="EYInterstate Light" w:hAnsi="EYInterstate Light" w:cs="Calibri"/>
                <w:color w:val="000000"/>
              </w:rPr>
              <w:t>20</w:t>
            </w:r>
          </w:p>
        </w:tc>
        <w:tc>
          <w:tcPr>
            <w:tcW w:w="1540" w:type="dxa"/>
            <w:tcBorders>
              <w:top w:val="single" w:sz="4" w:space="0" w:color="auto"/>
              <w:bottom w:val="single" w:sz="4" w:space="0" w:color="auto"/>
            </w:tcBorders>
            <w:vAlign w:val="center"/>
          </w:tcPr>
          <w:p w14:paraId="15C57DEE" w14:textId="6B8F4F1A" w:rsidR="007D44AD" w:rsidRPr="00FC7534" w:rsidRDefault="007D44AD" w:rsidP="00BC0D76">
            <w:pPr>
              <w:autoSpaceDE/>
              <w:autoSpaceDN/>
              <w:adjustRightInd/>
              <w:rPr>
                <w:rFonts w:ascii="EYInterstate Light" w:hAnsi="EYInterstate Light" w:cs="Calibri"/>
                <w:color w:val="000000"/>
              </w:rPr>
            </w:pPr>
            <w:r w:rsidRPr="00FC7534">
              <w:rPr>
                <w:rFonts w:ascii="EYInterstate Light" w:hAnsi="EYInterstate Light" w:cs="Calibri"/>
                <w:color w:val="000000"/>
              </w:rPr>
              <w:t>$38.8</w:t>
            </w:r>
          </w:p>
        </w:tc>
        <w:tc>
          <w:tcPr>
            <w:tcW w:w="1710" w:type="dxa"/>
            <w:tcBorders>
              <w:top w:val="single" w:sz="4" w:space="0" w:color="auto"/>
              <w:bottom w:val="single" w:sz="4" w:space="0" w:color="auto"/>
            </w:tcBorders>
            <w:vAlign w:val="center"/>
          </w:tcPr>
          <w:p w14:paraId="547CD71F" w14:textId="73DA7C2C" w:rsidR="007D44AD" w:rsidRPr="00FC7534" w:rsidRDefault="007D44AD" w:rsidP="00BC0D76">
            <w:pPr>
              <w:autoSpaceDE/>
              <w:autoSpaceDN/>
              <w:adjustRightInd/>
              <w:rPr>
                <w:rFonts w:ascii="EYInterstate Light" w:hAnsi="EYInterstate Light" w:cs="Calibri"/>
                <w:color w:val="000000"/>
              </w:rPr>
            </w:pPr>
            <w:r w:rsidRPr="00FC7534">
              <w:rPr>
                <w:rFonts w:ascii="EYInterstate Light" w:hAnsi="EYInterstate Light" w:cs="Calibri"/>
                <w:color w:val="000000"/>
              </w:rPr>
              <w:t>$38.8</w:t>
            </w:r>
          </w:p>
        </w:tc>
        <w:tc>
          <w:tcPr>
            <w:tcW w:w="1521" w:type="dxa"/>
            <w:tcBorders>
              <w:top w:val="single" w:sz="4" w:space="0" w:color="auto"/>
              <w:bottom w:val="single" w:sz="4" w:space="0" w:color="auto"/>
            </w:tcBorders>
            <w:vAlign w:val="center"/>
          </w:tcPr>
          <w:p w14:paraId="54559AED" w14:textId="1FDA9B33" w:rsidR="007D44AD" w:rsidRPr="00FC7534" w:rsidRDefault="007D44AD" w:rsidP="00BC0D76">
            <w:pPr>
              <w:autoSpaceDE/>
              <w:autoSpaceDN/>
              <w:adjustRightInd/>
              <w:rPr>
                <w:rFonts w:ascii="EYInterstate Light" w:hAnsi="EYInterstate Light" w:cs="Calibri"/>
                <w:color w:val="000000"/>
              </w:rPr>
            </w:pPr>
            <w:r w:rsidRPr="00FC7534">
              <w:rPr>
                <w:rFonts w:ascii="EYInterstate Light" w:hAnsi="EYInterstate Light" w:cs="Calibri"/>
                <w:color w:val="000000"/>
              </w:rPr>
              <w:t>$38.8</w:t>
            </w:r>
          </w:p>
        </w:tc>
      </w:tr>
      <w:tr w:rsidR="007D44AD" w14:paraId="7F66FB67" w14:textId="77777777" w:rsidTr="00753CBA">
        <w:trPr>
          <w:trHeight w:val="608"/>
        </w:trPr>
        <w:tc>
          <w:tcPr>
            <w:tcW w:w="2553" w:type="dxa"/>
            <w:tcBorders>
              <w:top w:val="single" w:sz="4" w:space="0" w:color="auto"/>
            </w:tcBorders>
            <w:vAlign w:val="center"/>
          </w:tcPr>
          <w:p w14:paraId="41AC6333" w14:textId="59D5FE3D" w:rsidR="007D44AD" w:rsidRPr="00FC1BF0" w:rsidRDefault="007D44AD" w:rsidP="00FC1BF0">
            <w:pPr>
              <w:autoSpaceDE/>
              <w:autoSpaceDN/>
              <w:adjustRightInd/>
              <w:rPr>
                <w:rFonts w:ascii="EYInterstate Light" w:hAnsi="EYInterstate Light" w:cs="Calibri"/>
                <w:b/>
                <w:bCs/>
                <w:color w:val="000000"/>
              </w:rPr>
            </w:pPr>
            <w:r w:rsidRPr="00FC1BF0">
              <w:rPr>
                <w:rFonts w:ascii="EYInterstate Light" w:hAnsi="EYInterstate Light" w:cs="Calibri"/>
                <w:b/>
                <w:bCs/>
                <w:color w:val="000000"/>
              </w:rPr>
              <w:t>Total</w:t>
            </w:r>
          </w:p>
        </w:tc>
        <w:tc>
          <w:tcPr>
            <w:tcW w:w="1695" w:type="dxa"/>
            <w:tcBorders>
              <w:top w:val="single" w:sz="4" w:space="0" w:color="auto"/>
            </w:tcBorders>
            <w:vAlign w:val="center"/>
          </w:tcPr>
          <w:p w14:paraId="0D668568" w14:textId="5F9899BC" w:rsidR="007D44AD" w:rsidRPr="00FC1BF0" w:rsidRDefault="0045424C" w:rsidP="00BC0D76">
            <w:pPr>
              <w:autoSpaceDE/>
              <w:autoSpaceDN/>
              <w:adjustRightInd/>
              <w:rPr>
                <w:rFonts w:ascii="EYInterstate Light" w:hAnsi="EYInterstate Light" w:cs="Calibri"/>
                <w:b/>
                <w:bCs/>
                <w:color w:val="000000"/>
              </w:rPr>
            </w:pPr>
            <w:r w:rsidRPr="00FC1BF0">
              <w:rPr>
                <w:rFonts w:ascii="EYInterstate Light" w:hAnsi="EYInterstate Light" w:cs="Calibri"/>
                <w:b/>
                <w:bCs/>
                <w:color w:val="000000"/>
              </w:rPr>
              <w:t>$</w:t>
            </w:r>
            <w:r w:rsidR="002F08F1">
              <w:rPr>
                <w:rFonts w:ascii="EYInterstate Light" w:hAnsi="EYInterstate Light" w:cs="Calibri"/>
                <w:b/>
                <w:bCs/>
                <w:color w:val="000000"/>
              </w:rPr>
              <w:t>3</w:t>
            </w:r>
            <w:r w:rsidR="000A456A">
              <w:rPr>
                <w:rFonts w:ascii="EYInterstate Light" w:hAnsi="EYInterstate Light" w:cs="Calibri"/>
                <w:b/>
                <w:bCs/>
                <w:color w:val="000000"/>
              </w:rPr>
              <w:t>1</w:t>
            </w:r>
            <w:r w:rsidR="002F08F1">
              <w:rPr>
                <w:rFonts w:ascii="EYInterstate Light" w:hAnsi="EYInterstate Light" w:cs="Calibri"/>
                <w:b/>
                <w:bCs/>
                <w:color w:val="000000"/>
              </w:rPr>
              <w:t>.9</w:t>
            </w:r>
          </w:p>
        </w:tc>
        <w:tc>
          <w:tcPr>
            <w:tcW w:w="1540" w:type="dxa"/>
            <w:tcBorders>
              <w:top w:val="single" w:sz="4" w:space="0" w:color="auto"/>
            </w:tcBorders>
            <w:vAlign w:val="center"/>
          </w:tcPr>
          <w:p w14:paraId="31188D25" w14:textId="5D633B39" w:rsidR="007D44AD" w:rsidRPr="00FC1BF0" w:rsidRDefault="005F7B98" w:rsidP="00BC0D76">
            <w:pPr>
              <w:autoSpaceDE/>
              <w:autoSpaceDN/>
              <w:adjustRightInd/>
              <w:rPr>
                <w:rFonts w:ascii="EYInterstate Light" w:hAnsi="EYInterstate Light" w:cs="Calibri"/>
                <w:b/>
                <w:bCs/>
                <w:color w:val="000000"/>
              </w:rPr>
            </w:pPr>
            <w:r w:rsidRPr="00FC1BF0">
              <w:rPr>
                <w:rFonts w:ascii="EYInterstate Light" w:hAnsi="EYInterstate Light" w:cs="Calibri"/>
                <w:b/>
                <w:bCs/>
                <w:color w:val="000000"/>
              </w:rPr>
              <w:t>$216</w:t>
            </w:r>
          </w:p>
        </w:tc>
        <w:tc>
          <w:tcPr>
            <w:tcW w:w="1710" w:type="dxa"/>
            <w:tcBorders>
              <w:top w:val="single" w:sz="4" w:space="0" w:color="auto"/>
            </w:tcBorders>
            <w:vAlign w:val="center"/>
          </w:tcPr>
          <w:p w14:paraId="15EB9E49" w14:textId="3D61E38D" w:rsidR="007D44AD" w:rsidRPr="00FC1BF0" w:rsidRDefault="005F7B98" w:rsidP="00BC0D76">
            <w:pPr>
              <w:autoSpaceDE/>
              <w:autoSpaceDN/>
              <w:adjustRightInd/>
              <w:rPr>
                <w:rFonts w:ascii="EYInterstate Light" w:hAnsi="EYInterstate Light" w:cs="Calibri"/>
                <w:b/>
                <w:bCs/>
                <w:color w:val="000000"/>
              </w:rPr>
            </w:pPr>
            <w:r w:rsidRPr="00FC1BF0">
              <w:rPr>
                <w:rFonts w:ascii="EYInterstate Light" w:hAnsi="EYInterstate Light" w:cs="Calibri"/>
                <w:b/>
                <w:bCs/>
                <w:color w:val="000000"/>
              </w:rPr>
              <w:t>$420</w:t>
            </w:r>
          </w:p>
        </w:tc>
        <w:tc>
          <w:tcPr>
            <w:tcW w:w="1521" w:type="dxa"/>
            <w:tcBorders>
              <w:top w:val="single" w:sz="4" w:space="0" w:color="auto"/>
            </w:tcBorders>
            <w:vAlign w:val="center"/>
          </w:tcPr>
          <w:p w14:paraId="0B2401D5" w14:textId="02CA4EB1" w:rsidR="007D44AD" w:rsidRPr="00FC1BF0" w:rsidRDefault="00D110AB" w:rsidP="00BC0D76">
            <w:pPr>
              <w:autoSpaceDE/>
              <w:autoSpaceDN/>
              <w:adjustRightInd/>
              <w:rPr>
                <w:rFonts w:ascii="EYInterstate Light" w:hAnsi="EYInterstate Light" w:cs="Calibri"/>
                <w:b/>
                <w:bCs/>
                <w:color w:val="000000"/>
              </w:rPr>
            </w:pPr>
            <w:r w:rsidRPr="00FC1BF0">
              <w:rPr>
                <w:rFonts w:ascii="EYInterstate Light" w:hAnsi="EYInterstate Light" w:cs="Calibri"/>
                <w:b/>
                <w:bCs/>
                <w:color w:val="000000"/>
              </w:rPr>
              <w:t>$431.1</w:t>
            </w:r>
          </w:p>
        </w:tc>
      </w:tr>
    </w:tbl>
    <w:p w14:paraId="3FD93F31" w14:textId="3BCA11EA" w:rsidR="0029316F" w:rsidRDefault="0059424A" w:rsidP="00920EA3">
      <w:pPr>
        <w:pStyle w:val="Caption"/>
        <w:spacing w:before="120" w:after="240"/>
      </w:pPr>
      <w:r>
        <w:t>Source:</w:t>
      </w:r>
      <w:r w:rsidR="000D74EE">
        <w:t xml:space="preserve"> EY analysis</w:t>
      </w:r>
    </w:p>
    <w:p w14:paraId="0FCE100C" w14:textId="33204A04" w:rsidR="00CE2BBB" w:rsidRPr="00C7127C" w:rsidRDefault="00F72888" w:rsidP="00C7127C">
      <w:pPr>
        <w:pStyle w:val="EYBodytextwithoutparaspace"/>
      </w:pPr>
      <w:r w:rsidRPr="00C7127C">
        <w:t xml:space="preserve">There is likely to be a transition </w:t>
      </w:r>
      <w:r w:rsidR="00145051" w:rsidRPr="00C7127C">
        <w:t xml:space="preserve">period in which the national </w:t>
      </w:r>
      <w:r w:rsidR="007E237B" w:rsidRPr="00C7127C">
        <w:t xml:space="preserve">scheme is </w:t>
      </w:r>
      <w:r w:rsidR="00145051" w:rsidRPr="00C7127C">
        <w:t xml:space="preserve">built out to </w:t>
      </w:r>
      <w:r w:rsidR="00E972C4" w:rsidRPr="00C7127C">
        <w:t>achieve full coverage of academic journals</w:t>
      </w:r>
      <w:r w:rsidR="008A5F51" w:rsidRPr="00C7127C">
        <w:t xml:space="preserve"> (see Chapter 6).</w:t>
      </w:r>
      <w:r w:rsidR="007E237B" w:rsidRPr="00C7127C">
        <w:t xml:space="preserve"> The costs </w:t>
      </w:r>
      <w:r w:rsidR="000E5543" w:rsidRPr="00C7127C">
        <w:t>of the scheme are likely to</w:t>
      </w:r>
      <w:r w:rsidR="007E237B" w:rsidRPr="00C7127C">
        <w:t xml:space="preserve"> rise in </w:t>
      </w:r>
      <w:r w:rsidR="009D052A" w:rsidRPr="00C7127C">
        <w:t>line with this delivery timeframe</w:t>
      </w:r>
      <w:r w:rsidR="000B664F" w:rsidRPr="00C7127C">
        <w:t xml:space="preserve">. </w:t>
      </w:r>
      <w:r w:rsidR="00C96ABA" w:rsidRPr="00C7127C">
        <w:t xml:space="preserve">At the go-live stage (year 2), the central implementation body is expected to have 50% of total coverage and will enter a build out phase to achieve 100% coverage. </w:t>
      </w:r>
      <w:r w:rsidR="000B664F" w:rsidRPr="00C7127C">
        <w:t xml:space="preserve">At the go-live stage (year 2), the central implementation body is expected to have </w:t>
      </w:r>
      <w:r w:rsidR="000E5543" w:rsidRPr="00C7127C">
        <w:t xml:space="preserve">around </w:t>
      </w:r>
      <w:r w:rsidR="000B664F" w:rsidRPr="00C7127C">
        <w:t xml:space="preserve">50% of total </w:t>
      </w:r>
      <w:r w:rsidR="000E5543" w:rsidRPr="00C7127C">
        <w:t xml:space="preserve">journal </w:t>
      </w:r>
      <w:r w:rsidR="00226D91" w:rsidRPr="00C7127C">
        <w:t>coverage and</w:t>
      </w:r>
      <w:r w:rsidR="00F0747F" w:rsidRPr="00C7127C">
        <w:t xml:space="preserve"> will </w:t>
      </w:r>
      <w:r w:rsidR="006E7FB8" w:rsidRPr="00C7127C">
        <w:t>then progress to</w:t>
      </w:r>
      <w:r w:rsidR="00F0747F" w:rsidRPr="00C7127C">
        <w:t xml:space="preserve"> a build out phase to achieve </w:t>
      </w:r>
      <w:r w:rsidR="00B85C87" w:rsidRPr="00C7127C">
        <w:t>100% coverage.</w:t>
      </w:r>
    </w:p>
    <w:p w14:paraId="4FE36D86" w14:textId="12C66668" w:rsidR="00611D7B" w:rsidRPr="00C7127C" w:rsidRDefault="00FB3C2C" w:rsidP="00C7127C">
      <w:pPr>
        <w:pStyle w:val="EYBodytextwithoutparaspace"/>
      </w:pPr>
      <w:r w:rsidRPr="00C7127C">
        <w:t xml:space="preserve">The main cost driver during </w:t>
      </w:r>
      <w:r w:rsidR="00A6308F" w:rsidRPr="00C7127C">
        <w:t xml:space="preserve">the build out phase </w:t>
      </w:r>
      <w:r w:rsidR="00930562" w:rsidRPr="00C7127C">
        <w:t xml:space="preserve">involves </w:t>
      </w:r>
      <w:r w:rsidRPr="00C7127C">
        <w:t xml:space="preserve">the </w:t>
      </w:r>
      <w:r w:rsidR="00930562" w:rsidRPr="00C7127C">
        <w:t xml:space="preserve">expansion of </w:t>
      </w:r>
      <w:proofErr w:type="spellStart"/>
      <w:r w:rsidRPr="00C7127C">
        <w:t>read</w:t>
      </w:r>
      <w:proofErr w:type="spellEnd"/>
      <w:r w:rsidRPr="00C7127C">
        <w:t>-and-publish agreements</w:t>
      </w:r>
      <w:r w:rsidR="00621643" w:rsidRPr="00C7127C">
        <w:t xml:space="preserve"> as more publishers are brought onto the scheme. Resourcing and IT system costs are expected to </w:t>
      </w:r>
      <w:r w:rsidR="00930562" w:rsidRPr="00C7127C">
        <w:t>remain largely</w:t>
      </w:r>
      <w:r w:rsidR="00621643" w:rsidRPr="00C7127C">
        <w:t xml:space="preserve"> consistent </w:t>
      </w:r>
      <w:r w:rsidR="00272642" w:rsidRPr="00C7127C">
        <w:t xml:space="preserve">as coverage </w:t>
      </w:r>
      <w:r w:rsidR="00CB061F" w:rsidRPr="00C7127C">
        <w:t>is expan</w:t>
      </w:r>
      <w:r w:rsidR="00F9107E" w:rsidRPr="00C7127C">
        <w:t>ded</w:t>
      </w:r>
      <w:r w:rsidR="00272642" w:rsidRPr="00C7127C">
        <w:t xml:space="preserve">. After this point, resourcing costs may fall as the </w:t>
      </w:r>
      <w:r w:rsidR="00F9107E" w:rsidRPr="00C7127C">
        <w:t xml:space="preserve">open access </w:t>
      </w:r>
      <w:r w:rsidR="00272642" w:rsidRPr="00C7127C">
        <w:t xml:space="preserve">scheme </w:t>
      </w:r>
      <w:r w:rsidR="00BA547A" w:rsidRPr="00C7127C">
        <w:t>enters a fully operational stage</w:t>
      </w:r>
      <w:r w:rsidR="00A52977" w:rsidRPr="00C7127C">
        <w:t>. At this point</w:t>
      </w:r>
      <w:r w:rsidR="00D6582E" w:rsidRPr="00C7127C">
        <w:t xml:space="preserve">, subsequent negotiations with publishers </w:t>
      </w:r>
      <w:r w:rsidR="006A02C6" w:rsidRPr="00C7127C">
        <w:t>could become more straightforward</w:t>
      </w:r>
      <w:r w:rsidR="00FD34CE" w:rsidRPr="00C7127C">
        <w:t xml:space="preserve"> than executing </w:t>
      </w:r>
      <w:r w:rsidR="006A02C6" w:rsidRPr="00C7127C">
        <w:t xml:space="preserve">initial </w:t>
      </w:r>
      <w:r w:rsidR="00FD34CE" w:rsidRPr="00C7127C">
        <w:t>agreements.</w:t>
      </w:r>
    </w:p>
    <w:p w14:paraId="6EA542C8" w14:textId="08F1F45D" w:rsidR="00FB3C2C" w:rsidRPr="00C7127C" w:rsidRDefault="005F5E45" w:rsidP="00C7127C">
      <w:pPr>
        <w:pStyle w:val="EYBodytextwithoutparaspace"/>
      </w:pPr>
      <w:r>
        <w:fldChar w:fldCharType="begin"/>
      </w:r>
      <w:r>
        <w:instrText xml:space="preserve"> REF _Ref115695709 \h </w:instrText>
      </w:r>
      <w:r>
        <w:fldChar w:fldCharType="separate"/>
      </w:r>
      <w:r w:rsidR="008112E6">
        <w:t xml:space="preserve">Figure </w:t>
      </w:r>
      <w:r w:rsidR="008112E6">
        <w:rPr>
          <w:noProof/>
        </w:rPr>
        <w:t>27</w:t>
      </w:r>
      <w:r>
        <w:fldChar w:fldCharType="end"/>
      </w:r>
      <w:r>
        <w:t xml:space="preserve"> </w:t>
      </w:r>
      <w:r w:rsidR="00AF7CF3" w:rsidRPr="00C7127C">
        <w:t>shows the estimated</w:t>
      </w:r>
      <w:r w:rsidR="00F2784E" w:rsidRPr="00C7127C">
        <w:t xml:space="preserve"> cost pathway for the scheme for five years after implementation. </w:t>
      </w:r>
      <w:r w:rsidR="008C50F4" w:rsidRPr="00C7127C">
        <w:t>A</w:t>
      </w:r>
      <w:r w:rsidR="00E95524" w:rsidRPr="00C7127C">
        <w:t xml:space="preserve">n upper and lower bound </w:t>
      </w:r>
      <w:r w:rsidR="00611D7B" w:rsidRPr="00C7127C">
        <w:t>outline</w:t>
      </w:r>
      <w:r w:rsidR="0093251F" w:rsidRPr="00C7127C">
        <w:t>s</w:t>
      </w:r>
      <w:r w:rsidR="00611D7B" w:rsidRPr="00C7127C">
        <w:t xml:space="preserve"> the potential cost envelope </w:t>
      </w:r>
      <w:r w:rsidR="00622DEB" w:rsidRPr="00C7127C">
        <w:t>which reflects a range of</w:t>
      </w:r>
      <w:r w:rsidR="00611D7B" w:rsidRPr="00C7127C">
        <w:t xml:space="preserve"> highly variable costing elements.</w:t>
      </w:r>
    </w:p>
    <w:p w14:paraId="34DB1442" w14:textId="77777777" w:rsidR="0043332F" w:rsidRDefault="0043332F" w:rsidP="00A577AC">
      <w:pPr>
        <w:pStyle w:val="EYBodytextwithparaspace"/>
      </w:pPr>
    </w:p>
    <w:p w14:paraId="3DF80364" w14:textId="7FD0D1E4" w:rsidR="005F5E45" w:rsidRDefault="005F5E45" w:rsidP="005F5E45">
      <w:pPr>
        <w:pStyle w:val="Caption"/>
        <w:keepNext/>
      </w:pPr>
      <w:bookmarkStart w:id="67" w:name="_Ref115695709"/>
      <w:r>
        <w:lastRenderedPageBreak/>
        <w:t xml:space="preserve">Figure </w:t>
      </w:r>
      <w:r>
        <w:fldChar w:fldCharType="begin"/>
      </w:r>
      <w:r>
        <w:instrText xml:space="preserve"> SEQ Figure \* ARABIC </w:instrText>
      </w:r>
      <w:r>
        <w:fldChar w:fldCharType="separate"/>
      </w:r>
      <w:r w:rsidR="008112E6">
        <w:rPr>
          <w:noProof/>
        </w:rPr>
        <w:t>27</w:t>
      </w:r>
      <w:r>
        <w:fldChar w:fldCharType="end"/>
      </w:r>
      <w:bookmarkEnd w:id="67"/>
      <w:r>
        <w:t xml:space="preserve">: </w:t>
      </w:r>
      <w:r w:rsidRPr="00170896">
        <w:t>Estimated costs of the Australia's open access scheme</w:t>
      </w:r>
    </w:p>
    <w:p w14:paraId="1C4804FC" w14:textId="36998E57" w:rsidR="00A26C42" w:rsidRDefault="00BC5193" w:rsidP="00A577AC">
      <w:pPr>
        <w:pStyle w:val="EYBodytextwithparaspace"/>
      </w:pPr>
      <w:r>
        <w:rPr>
          <w:noProof/>
        </w:rPr>
        <w:drawing>
          <wp:inline distT="0" distB="0" distL="0" distR="0" wp14:anchorId="3BF6655D" wp14:editId="674DC7E3">
            <wp:extent cx="5733415" cy="2876550"/>
            <wp:effectExtent l="0" t="0" r="635" b="0"/>
            <wp:docPr id="82" name="Picture 82" descr=" A graph showing the estimated cost of Australia's open access scheme by year on the X axis and cost in millions of dollars on the Y axis. The graph charts out the lower bound, estimated and upper bound costs of implementing the scheme from its initial implementation to the full implementation of th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 A graph showing the estimated cost of Australia's open access scheme by year on the X axis and cost in millions of dollars on the Y axis. The graph charts out the lower bound, estimated and upper bound costs of implementing the scheme from its initial implementation to the full implementation of the scheme"/>
                    <pic:cNvPicPr/>
                  </pic:nvPicPr>
                  <pic:blipFill>
                    <a:blip r:embed="rId22"/>
                    <a:stretch>
                      <a:fillRect/>
                    </a:stretch>
                  </pic:blipFill>
                  <pic:spPr>
                    <a:xfrm>
                      <a:off x="0" y="0"/>
                      <a:ext cx="5733415" cy="2876550"/>
                    </a:xfrm>
                    <a:prstGeom prst="rect">
                      <a:avLst/>
                    </a:prstGeom>
                  </pic:spPr>
                </pic:pic>
              </a:graphicData>
            </a:graphic>
          </wp:inline>
        </w:drawing>
      </w:r>
    </w:p>
    <w:p w14:paraId="6B801240" w14:textId="267A8963" w:rsidR="00A26C42" w:rsidRDefault="00A26C42" w:rsidP="003D29B9">
      <w:pPr>
        <w:pStyle w:val="Caption"/>
        <w:spacing w:after="240"/>
      </w:pPr>
      <w:r>
        <w:t>Source: EY analysis</w:t>
      </w:r>
    </w:p>
    <w:p w14:paraId="5D40E8F4" w14:textId="7A36539D" w:rsidR="00611D7B" w:rsidRDefault="00163E6A" w:rsidP="00753CBA">
      <w:pPr>
        <w:pStyle w:val="EYBulletnoparaspace"/>
        <w:ind w:left="426"/>
      </w:pPr>
      <w:r w:rsidRPr="00BE263F">
        <w:rPr>
          <w:b/>
          <w:bCs/>
        </w:rPr>
        <w:t>Lower bound</w:t>
      </w:r>
      <w:r w:rsidRPr="005635EA">
        <w:rPr>
          <w:b/>
        </w:rPr>
        <w:t xml:space="preserve"> </w:t>
      </w:r>
      <w:r w:rsidR="00BE263F">
        <w:t>—</w:t>
      </w:r>
      <w:r>
        <w:t xml:space="preserve"> </w:t>
      </w:r>
      <w:r w:rsidR="00A1444E" w:rsidRPr="00C7127C">
        <w:t>Aligns with</w:t>
      </w:r>
      <w:r w:rsidRPr="00C7127C">
        <w:t xml:space="preserve"> currently known </w:t>
      </w:r>
      <w:r w:rsidR="00A1444E" w:rsidRPr="00C7127C">
        <w:t xml:space="preserve">annual </w:t>
      </w:r>
      <w:r w:rsidRPr="00C7127C">
        <w:t>expenditure</w:t>
      </w:r>
      <w:r w:rsidR="00A1444E" w:rsidRPr="00C7127C">
        <w:t>s</w:t>
      </w:r>
      <w:r w:rsidRPr="00C7127C">
        <w:t xml:space="preserve"> within the </w:t>
      </w:r>
      <w:r w:rsidR="00A1444E" w:rsidRPr="00C7127C">
        <w:t xml:space="preserve">university and research </w:t>
      </w:r>
      <w:r w:rsidRPr="00C7127C">
        <w:t>system</w:t>
      </w:r>
      <w:r w:rsidR="00D0073E" w:rsidRPr="00C7127C">
        <w:t xml:space="preserve"> of $320 million</w:t>
      </w:r>
      <w:r w:rsidRPr="00C7127C">
        <w:t xml:space="preserve">. This cost pathway </w:t>
      </w:r>
      <w:r w:rsidR="00D0073E" w:rsidRPr="00C7127C">
        <w:t xml:space="preserve">provides a lower bound of the </w:t>
      </w:r>
      <w:r w:rsidR="00DB285B" w:rsidRPr="00C7127C">
        <w:t>potential</w:t>
      </w:r>
      <w:r w:rsidR="00D0073E" w:rsidRPr="00C7127C">
        <w:t xml:space="preserve"> costs </w:t>
      </w:r>
      <w:r w:rsidR="00DB285B" w:rsidRPr="00C7127C">
        <w:t xml:space="preserve">of a national </w:t>
      </w:r>
      <w:r w:rsidR="00806EA7" w:rsidRPr="00C7127C">
        <w:t>open access scheme</w:t>
      </w:r>
      <w:r w:rsidR="00D0073E" w:rsidRPr="00C7127C">
        <w:t xml:space="preserve">, and </w:t>
      </w:r>
      <w:r w:rsidR="00E672C8" w:rsidRPr="00C7127C">
        <w:t>is based on</w:t>
      </w:r>
      <w:r w:rsidR="00D0073E" w:rsidRPr="00C7127C">
        <w:t xml:space="preserve"> the central implementation body </w:t>
      </w:r>
      <w:r w:rsidR="005635EA" w:rsidRPr="00C7127C">
        <w:t>being</w:t>
      </w:r>
      <w:r w:rsidR="00D0073E" w:rsidRPr="00C7127C">
        <w:t xml:space="preserve"> able to negotiate </w:t>
      </w:r>
      <w:r w:rsidR="007745BA" w:rsidRPr="00C7127C">
        <w:t xml:space="preserve">favourable terms with </w:t>
      </w:r>
      <w:r w:rsidR="00764611" w:rsidRPr="00C7127C">
        <w:t>publishers</w:t>
      </w:r>
    </w:p>
    <w:p w14:paraId="54E0FB7B" w14:textId="41557ED4" w:rsidR="00764611" w:rsidRDefault="00764611" w:rsidP="00753CBA">
      <w:pPr>
        <w:pStyle w:val="EYBulletnoparaspace"/>
        <w:ind w:left="426"/>
      </w:pPr>
      <w:r w:rsidRPr="005635EA">
        <w:rPr>
          <w:b/>
          <w:bCs/>
        </w:rPr>
        <w:t>Upper bound</w:t>
      </w:r>
      <w:r>
        <w:t xml:space="preserve"> </w:t>
      </w:r>
      <w:r w:rsidR="00BE263F">
        <w:t>—</w:t>
      </w:r>
      <w:r>
        <w:t xml:space="preserve"> </w:t>
      </w:r>
      <w:r w:rsidR="00FD314B" w:rsidRPr="00C7127C">
        <w:t>Shows a high</w:t>
      </w:r>
      <w:r w:rsidR="00FC7ACB" w:rsidRPr="00C7127C">
        <w:t>er</w:t>
      </w:r>
      <w:r w:rsidR="00FD314B" w:rsidRPr="00C7127C">
        <w:t xml:space="preserve"> cost </w:t>
      </w:r>
      <w:r w:rsidR="00E75EC3" w:rsidRPr="00C7127C">
        <w:t xml:space="preserve">trajectory </w:t>
      </w:r>
      <w:r w:rsidR="00FC7ACB" w:rsidRPr="00C7127C">
        <w:t xml:space="preserve">than </w:t>
      </w:r>
      <w:r w:rsidRPr="00C7127C">
        <w:t xml:space="preserve">current </w:t>
      </w:r>
      <w:r w:rsidR="00FC7ACB" w:rsidRPr="00C7127C">
        <w:t>expenditure</w:t>
      </w:r>
      <w:r w:rsidR="001D7988" w:rsidRPr="00C7127C">
        <w:t xml:space="preserve"> for journal </w:t>
      </w:r>
      <w:r w:rsidR="00FC7ACB" w:rsidRPr="00C7127C">
        <w:t>access and publishing</w:t>
      </w:r>
      <w:r w:rsidRPr="00C7127C">
        <w:t xml:space="preserve">. </w:t>
      </w:r>
      <w:r w:rsidR="00137656" w:rsidRPr="00C7127C">
        <w:t xml:space="preserve">This cost pathway </w:t>
      </w:r>
      <w:r w:rsidR="007A3291" w:rsidRPr="00C7127C">
        <w:t xml:space="preserve">reflects the </w:t>
      </w:r>
      <w:r w:rsidR="00D13963" w:rsidRPr="00C7127C">
        <w:t>potential</w:t>
      </w:r>
      <w:r w:rsidR="007A3291" w:rsidRPr="00C7127C">
        <w:t xml:space="preserve"> that </w:t>
      </w:r>
      <w:r w:rsidR="00DE213F" w:rsidRPr="00C7127C">
        <w:t xml:space="preserve">publishers </w:t>
      </w:r>
      <w:r w:rsidR="00FE2AE6" w:rsidRPr="00C7127C">
        <w:t>require</w:t>
      </w:r>
      <w:r w:rsidR="00DE213F" w:rsidRPr="00C7127C">
        <w:t xml:space="preserve"> higher </w:t>
      </w:r>
      <w:r w:rsidR="005D41AC" w:rsidRPr="00C7127C">
        <w:t xml:space="preserve">revenues to cover </w:t>
      </w:r>
      <w:r w:rsidR="00D13963" w:rsidRPr="00C7127C">
        <w:t xml:space="preserve">the expansion of journal </w:t>
      </w:r>
      <w:r w:rsidR="005D41AC" w:rsidRPr="00C7127C">
        <w:t xml:space="preserve">access for the </w:t>
      </w:r>
      <w:r w:rsidR="00D13963" w:rsidRPr="00C7127C">
        <w:t xml:space="preserve">whole </w:t>
      </w:r>
      <w:r w:rsidR="00DE213F" w:rsidRPr="00C7127C">
        <w:t xml:space="preserve">Australian </w:t>
      </w:r>
      <w:r w:rsidR="005B704B" w:rsidRPr="00C7127C">
        <w:t>community</w:t>
      </w:r>
      <w:r w:rsidR="001D7988" w:rsidRPr="00C7127C">
        <w:t xml:space="preserve">, rather than </w:t>
      </w:r>
      <w:r w:rsidR="00D21C04" w:rsidRPr="00C7127C">
        <w:t>their traditional academic and research user base</w:t>
      </w:r>
      <w:r w:rsidR="00D13963">
        <w:t>.</w:t>
      </w:r>
    </w:p>
    <w:p w14:paraId="6BC2B214" w14:textId="39721877" w:rsidR="00DE213F" w:rsidRDefault="00DE213F" w:rsidP="00BC0D76">
      <w:pPr>
        <w:pStyle w:val="EYBodytextwithoutparaspace"/>
      </w:pPr>
      <w:r>
        <w:t xml:space="preserve">It is important to note this cost estimates provide orders of magnitude for </w:t>
      </w:r>
      <w:r w:rsidR="00522F85">
        <w:t xml:space="preserve">what </w:t>
      </w:r>
      <w:r>
        <w:t>the scheme could cost. There are other global factors which could reduce these costs moving forward, such as, the global movements toward higher volumes of open access publish</w:t>
      </w:r>
      <w:r w:rsidR="00BC0D76">
        <w:t>ing</w:t>
      </w:r>
      <w:r>
        <w:t xml:space="preserve"> and publishers transitioning to a new business model.</w:t>
      </w:r>
    </w:p>
    <w:p w14:paraId="1E2C4022" w14:textId="5187BB30" w:rsidR="00611D7B" w:rsidRDefault="001807D8" w:rsidP="001807D8">
      <w:pPr>
        <w:pStyle w:val="EYHeading3"/>
      </w:pPr>
      <w:r>
        <w:t>Limitations to costing the scheme</w:t>
      </w:r>
    </w:p>
    <w:p w14:paraId="28AD3FC1" w14:textId="5DBEF489" w:rsidR="00BA0D69" w:rsidRDefault="008A5C69" w:rsidP="009B0D74">
      <w:pPr>
        <w:pStyle w:val="EYBodytextwithoutparaspace"/>
      </w:pPr>
      <w:r>
        <w:t xml:space="preserve">It is important to note that </w:t>
      </w:r>
      <w:r w:rsidR="00D56E05">
        <w:t xml:space="preserve">the </w:t>
      </w:r>
      <w:r>
        <w:t>cost estimates</w:t>
      </w:r>
      <w:r w:rsidR="00FC75F3">
        <w:t xml:space="preserve"> for </w:t>
      </w:r>
      <w:r w:rsidR="00D56E05">
        <w:t>the preferred</w:t>
      </w:r>
      <w:r w:rsidR="00FC75F3">
        <w:t xml:space="preserve"> national access </w:t>
      </w:r>
      <w:r w:rsidR="00D56E05">
        <w:t xml:space="preserve">model </w:t>
      </w:r>
      <w:r>
        <w:t>are high level and should be considered indicative</w:t>
      </w:r>
      <w:r w:rsidR="00BA0D69">
        <w:t>.</w:t>
      </w:r>
    </w:p>
    <w:p w14:paraId="726C3BDE" w14:textId="2A50AC9C" w:rsidR="00FC75F3" w:rsidRDefault="00FC75F3" w:rsidP="00BC0D76">
      <w:pPr>
        <w:pStyle w:val="EYBodytextwithoutparaspace"/>
      </w:pPr>
      <w:r>
        <w:t>Working through the costing</w:t>
      </w:r>
      <w:r w:rsidR="00A624C8">
        <w:t>s</w:t>
      </w:r>
      <w:r>
        <w:t xml:space="preserve"> has highlighted a range of areas where information is limited or does not exist. These predominantly comprise:</w:t>
      </w:r>
    </w:p>
    <w:p w14:paraId="3D41B81F" w14:textId="76D1F088" w:rsidR="00FC75F3" w:rsidRPr="00BC0D76" w:rsidRDefault="00966FB8" w:rsidP="00753CBA">
      <w:pPr>
        <w:pStyle w:val="EYBulletnoparaspace"/>
        <w:ind w:left="426"/>
      </w:pPr>
      <w:r w:rsidRPr="00BC0D76">
        <w:t>S</w:t>
      </w:r>
      <w:r w:rsidR="00FC75F3" w:rsidRPr="00BC0D76">
        <w:t>ome of the current costs associated with providing access to academic journals, which may be absorbed in other service costs met by universities and institutions</w:t>
      </w:r>
      <w:r w:rsidRPr="00BC0D76">
        <w:t>.</w:t>
      </w:r>
    </w:p>
    <w:p w14:paraId="1D415C7F" w14:textId="43B59F29" w:rsidR="00FC75F3" w:rsidRPr="00BC0D76" w:rsidRDefault="00966FB8" w:rsidP="00753CBA">
      <w:pPr>
        <w:pStyle w:val="EYBulletnoparaspace"/>
        <w:ind w:left="426"/>
      </w:pPr>
      <w:r w:rsidRPr="00BC0D76">
        <w:t>R</w:t>
      </w:r>
      <w:r w:rsidR="00FC75F3" w:rsidRPr="00BC0D76">
        <w:t>elatedly, some of the potential costs involved in transitioning to open access and ultimately expanding access to the broader community.</w:t>
      </w:r>
    </w:p>
    <w:p w14:paraId="11F581B3" w14:textId="77777777" w:rsidR="000868C3" w:rsidRPr="009B0D74" w:rsidRDefault="00FC75F3" w:rsidP="009B0D74">
      <w:pPr>
        <w:pStyle w:val="EYBodytextwithoutparaspace"/>
      </w:pPr>
      <w:r>
        <w:t>A major consequence of the information limitations is to increase uncertainty around the potential costs to implement a national open access scheme.</w:t>
      </w:r>
    </w:p>
    <w:p w14:paraId="1E5E1730" w14:textId="79EF5E21" w:rsidR="004C0CF0" w:rsidRPr="009B0D74" w:rsidRDefault="004C0CF0" w:rsidP="009B0D74">
      <w:pPr>
        <w:pStyle w:val="EYBodytextwithoutparaspace"/>
      </w:pPr>
      <w:r w:rsidRPr="009B0D74">
        <w:t xml:space="preserve">Further, there are other global factors which could </w:t>
      </w:r>
      <w:r w:rsidR="002D2AA1">
        <w:t>place</w:t>
      </w:r>
      <w:r w:rsidRPr="009B0D74">
        <w:t xml:space="preserve"> downward pressure on </w:t>
      </w:r>
      <w:r w:rsidR="005A225A">
        <w:t xml:space="preserve">the costs of the scheme </w:t>
      </w:r>
      <w:r w:rsidRPr="009B0D74">
        <w:t>moving forward, such as the global movement toward greater open access publishing which could accelerate the transition to new publishing business models.</w:t>
      </w:r>
    </w:p>
    <w:p w14:paraId="6F8648CE" w14:textId="2F9D79F2" w:rsidR="00FC75F3" w:rsidRDefault="00E92B7B" w:rsidP="00BC0D76">
      <w:pPr>
        <w:pStyle w:val="EYBodytextwithoutparaspace"/>
      </w:pPr>
      <w:r>
        <w:fldChar w:fldCharType="begin"/>
      </w:r>
      <w:r>
        <w:instrText xml:space="preserve"> REF _Ref112752163 \h </w:instrText>
      </w:r>
      <w:r w:rsidR="00BC0D76">
        <w:instrText xml:space="preserve"> \* MERGEFORMAT </w:instrText>
      </w:r>
      <w:r>
        <w:fldChar w:fldCharType="separate"/>
      </w:r>
      <w:r w:rsidR="008112E6">
        <w:t xml:space="preserve">Table </w:t>
      </w:r>
      <w:r w:rsidR="008112E6">
        <w:rPr>
          <w:noProof/>
        </w:rPr>
        <w:t>9</w:t>
      </w:r>
      <w:r>
        <w:fldChar w:fldCharType="end"/>
      </w:r>
      <w:r w:rsidR="00E24870">
        <w:t xml:space="preserve"> below </w:t>
      </w:r>
      <w:r w:rsidR="00FC75F3">
        <w:t xml:space="preserve">sets out the key information gaps and their implications for the </w:t>
      </w:r>
      <w:r w:rsidR="007E3403">
        <w:t>briefing paper</w:t>
      </w:r>
      <w:r w:rsidR="00FC75F3">
        <w:t>.</w:t>
      </w:r>
    </w:p>
    <w:p w14:paraId="7883F691" w14:textId="56156040" w:rsidR="00E24870" w:rsidRDefault="00E24870" w:rsidP="005F5E45">
      <w:pPr>
        <w:pStyle w:val="Caption"/>
        <w:keepNext/>
        <w:spacing w:after="240"/>
      </w:pPr>
      <w:bookmarkStart w:id="68" w:name="_Ref112752163"/>
      <w:r>
        <w:lastRenderedPageBreak/>
        <w:t xml:space="preserve">Table </w:t>
      </w:r>
      <w:r>
        <w:fldChar w:fldCharType="begin"/>
      </w:r>
      <w:r>
        <w:instrText xml:space="preserve"> SEQ Table \* ARABIC </w:instrText>
      </w:r>
      <w:r>
        <w:fldChar w:fldCharType="separate"/>
      </w:r>
      <w:r w:rsidR="008112E6">
        <w:rPr>
          <w:noProof/>
        </w:rPr>
        <w:t>9</w:t>
      </w:r>
      <w:r>
        <w:fldChar w:fldCharType="end"/>
      </w:r>
      <w:bookmarkEnd w:id="68"/>
      <w:r>
        <w:t>: Key information limitations</w:t>
      </w:r>
    </w:p>
    <w:tbl>
      <w:tblPr>
        <w:tblStyle w:val="TableGrid1"/>
        <w:tblW w:w="5000" w:type="pct"/>
        <w:tblBorders>
          <w:top w:val="none" w:sz="0" w:space="0" w:color="auto"/>
          <w:left w:val="none" w:sz="0" w:space="0" w:color="auto"/>
          <w:bottom w:val="none" w:sz="0" w:space="0" w:color="auto"/>
          <w:right w:val="none" w:sz="0" w:space="0" w:color="auto"/>
          <w:insideH w:val="single" w:sz="4" w:space="0" w:color="787890" w:themeColor="text1" w:themeTint="99"/>
          <w:insideV w:val="none" w:sz="0" w:space="0" w:color="auto"/>
        </w:tblBorders>
        <w:tblLayout w:type="fixed"/>
        <w:tblCellMar>
          <w:left w:w="57" w:type="dxa"/>
          <w:right w:w="57" w:type="dxa"/>
        </w:tblCellMar>
        <w:tblLook w:val="04A0" w:firstRow="1" w:lastRow="0" w:firstColumn="1" w:lastColumn="0" w:noHBand="0" w:noVBand="1"/>
      </w:tblPr>
      <w:tblGrid>
        <w:gridCol w:w="1584"/>
        <w:gridCol w:w="3092"/>
        <w:gridCol w:w="3093"/>
        <w:gridCol w:w="1260"/>
      </w:tblGrid>
      <w:tr w:rsidR="009C25FA" w:rsidRPr="009C25FA" w14:paraId="1948ADF4" w14:textId="77777777" w:rsidTr="00B66C9C">
        <w:trPr>
          <w:cantSplit/>
          <w:tblHeader/>
        </w:trPr>
        <w:tc>
          <w:tcPr>
            <w:tcW w:w="877" w:type="pct"/>
            <w:shd w:val="clear" w:color="auto" w:fill="787890" w:themeFill="text1" w:themeFillTint="99"/>
          </w:tcPr>
          <w:p w14:paraId="704FCCB7" w14:textId="77777777" w:rsidR="009C25FA" w:rsidRPr="000F2F63" w:rsidRDefault="009C25FA" w:rsidP="009C25FA">
            <w:pPr>
              <w:autoSpaceDE/>
              <w:autoSpaceDN/>
              <w:adjustRightInd/>
              <w:spacing w:before="60" w:after="60"/>
              <w:rPr>
                <w:rFonts w:eastAsia="Arial Unicode MS"/>
                <w:b/>
                <w:color w:val="FFFFFF"/>
              </w:rPr>
            </w:pPr>
            <w:r w:rsidRPr="000F2F63">
              <w:rPr>
                <w:rFonts w:eastAsia="Arial Unicode MS"/>
                <w:b/>
                <w:color w:val="FFFFFF"/>
              </w:rPr>
              <w:t>Area of information</w:t>
            </w:r>
          </w:p>
        </w:tc>
        <w:tc>
          <w:tcPr>
            <w:tcW w:w="1712" w:type="pct"/>
            <w:shd w:val="clear" w:color="auto" w:fill="787890" w:themeFill="text1" w:themeFillTint="99"/>
          </w:tcPr>
          <w:p w14:paraId="406D8CCE" w14:textId="77777777" w:rsidR="009C25FA" w:rsidRPr="000F2F63" w:rsidRDefault="009C25FA" w:rsidP="009C25FA">
            <w:pPr>
              <w:autoSpaceDE/>
              <w:autoSpaceDN/>
              <w:adjustRightInd/>
              <w:spacing w:before="60" w:after="60"/>
              <w:rPr>
                <w:rFonts w:eastAsia="Arial Unicode MS"/>
                <w:b/>
                <w:color w:val="FFFFFF"/>
              </w:rPr>
            </w:pPr>
            <w:r w:rsidRPr="000F2F63">
              <w:rPr>
                <w:rFonts w:eastAsia="Arial Unicode MS"/>
                <w:b/>
                <w:color w:val="FFFFFF"/>
              </w:rPr>
              <w:t xml:space="preserve">Key data limitations </w:t>
            </w:r>
          </w:p>
        </w:tc>
        <w:tc>
          <w:tcPr>
            <w:tcW w:w="1713" w:type="pct"/>
            <w:shd w:val="clear" w:color="auto" w:fill="787890" w:themeFill="text1" w:themeFillTint="99"/>
          </w:tcPr>
          <w:p w14:paraId="45BF8C48" w14:textId="77777777" w:rsidR="009C25FA" w:rsidRPr="000F2F63" w:rsidRDefault="009C25FA" w:rsidP="009C25FA">
            <w:pPr>
              <w:autoSpaceDE/>
              <w:autoSpaceDN/>
              <w:adjustRightInd/>
              <w:spacing w:before="60" w:after="60"/>
              <w:rPr>
                <w:b/>
                <w:color w:val="FFFFFF"/>
              </w:rPr>
            </w:pPr>
            <w:r w:rsidRPr="000F2F63">
              <w:rPr>
                <w:b/>
                <w:color w:val="FFFFFF"/>
              </w:rPr>
              <w:t>Implications</w:t>
            </w:r>
          </w:p>
        </w:tc>
        <w:tc>
          <w:tcPr>
            <w:tcW w:w="698" w:type="pct"/>
            <w:shd w:val="clear" w:color="auto" w:fill="787890" w:themeFill="text1" w:themeFillTint="99"/>
          </w:tcPr>
          <w:p w14:paraId="60759101" w14:textId="4A26825D" w:rsidR="009C25FA" w:rsidRPr="000F2F63" w:rsidRDefault="009C25FA" w:rsidP="009C25FA">
            <w:pPr>
              <w:autoSpaceDE/>
              <w:autoSpaceDN/>
              <w:adjustRightInd/>
              <w:spacing w:before="60" w:after="60"/>
              <w:rPr>
                <w:rFonts w:eastAsia="Arial Unicode MS"/>
                <w:b/>
                <w:color w:val="FFFFFF"/>
              </w:rPr>
            </w:pPr>
            <w:r w:rsidRPr="000F2F63">
              <w:rPr>
                <w:b/>
                <w:color w:val="FFFFFF"/>
              </w:rPr>
              <w:t>Impact</w:t>
            </w:r>
          </w:p>
        </w:tc>
      </w:tr>
      <w:tr w:rsidR="009C25FA" w:rsidRPr="009C25FA" w14:paraId="6450119B" w14:textId="77777777" w:rsidTr="00416B5F">
        <w:trPr>
          <w:cantSplit/>
        </w:trPr>
        <w:tc>
          <w:tcPr>
            <w:tcW w:w="5000" w:type="pct"/>
            <w:gridSpan w:val="4"/>
            <w:shd w:val="clear" w:color="auto" w:fill="D2D2DA" w:themeFill="text1" w:themeFillTint="33"/>
          </w:tcPr>
          <w:p w14:paraId="14463446" w14:textId="77777777" w:rsidR="009C25FA" w:rsidRPr="000F2F63" w:rsidRDefault="009C25FA" w:rsidP="009C25FA">
            <w:pPr>
              <w:autoSpaceDE/>
              <w:autoSpaceDN/>
              <w:adjustRightInd/>
              <w:spacing w:before="60" w:after="60"/>
              <w:rPr>
                <w:b/>
              </w:rPr>
            </w:pPr>
            <w:r w:rsidRPr="000F2F63">
              <w:rPr>
                <w:b/>
              </w:rPr>
              <w:t>Current costs</w:t>
            </w:r>
          </w:p>
        </w:tc>
      </w:tr>
      <w:tr w:rsidR="009C25FA" w:rsidRPr="009C25FA" w14:paraId="5BF14E03" w14:textId="77777777" w:rsidTr="00B66C9C">
        <w:trPr>
          <w:cantSplit/>
        </w:trPr>
        <w:tc>
          <w:tcPr>
            <w:tcW w:w="877" w:type="pct"/>
          </w:tcPr>
          <w:p w14:paraId="6EC05FA4" w14:textId="77777777" w:rsidR="009C25FA" w:rsidRPr="000F2F63" w:rsidRDefault="009C25FA" w:rsidP="009C25FA">
            <w:pPr>
              <w:autoSpaceDE/>
              <w:autoSpaceDN/>
              <w:adjustRightInd/>
              <w:spacing w:before="60" w:after="60"/>
            </w:pPr>
            <w:r w:rsidRPr="000F2F63">
              <w:t>University services and costs</w:t>
            </w:r>
          </w:p>
        </w:tc>
        <w:tc>
          <w:tcPr>
            <w:tcW w:w="1712" w:type="pct"/>
            <w:shd w:val="clear" w:color="auto" w:fill="auto"/>
            <w:noWrap/>
          </w:tcPr>
          <w:p w14:paraId="65220BD7" w14:textId="77777777" w:rsidR="009C25FA" w:rsidRPr="000F2F63" w:rsidRDefault="009C25FA" w:rsidP="009B7F5F">
            <w:pPr>
              <w:pStyle w:val="EYTablebullet1"/>
              <w:rPr>
                <w:sz w:val="20"/>
                <w:szCs w:val="20"/>
              </w:rPr>
            </w:pPr>
            <w:r w:rsidRPr="000F2F63">
              <w:rPr>
                <w:sz w:val="20"/>
                <w:szCs w:val="20"/>
              </w:rPr>
              <w:t xml:space="preserve">Australian libraries’ individual journal holdings </w:t>
            </w:r>
          </w:p>
          <w:p w14:paraId="662D1B48" w14:textId="77777777" w:rsidR="009C25FA" w:rsidRPr="000F2F63" w:rsidRDefault="009C25FA" w:rsidP="009B7F5F">
            <w:pPr>
              <w:pStyle w:val="EYTablebullet1"/>
              <w:rPr>
                <w:sz w:val="20"/>
                <w:szCs w:val="20"/>
              </w:rPr>
            </w:pPr>
            <w:r w:rsidRPr="000F2F63">
              <w:rPr>
                <w:sz w:val="20"/>
                <w:szCs w:val="20"/>
              </w:rPr>
              <w:t>Library expenditure on individual journals, or packages of journals</w:t>
            </w:r>
          </w:p>
          <w:p w14:paraId="6B7C93BD" w14:textId="77777777" w:rsidR="009C25FA" w:rsidRPr="000F2F63" w:rsidRDefault="009C25FA" w:rsidP="009B7F5F">
            <w:pPr>
              <w:pStyle w:val="EYTablebullet1"/>
              <w:rPr>
                <w:sz w:val="20"/>
                <w:szCs w:val="20"/>
              </w:rPr>
            </w:pPr>
            <w:r w:rsidRPr="000F2F63">
              <w:rPr>
                <w:sz w:val="20"/>
                <w:szCs w:val="20"/>
              </w:rPr>
              <w:t>Number of individuals who have access through the library’s subscription agreements</w:t>
            </w:r>
          </w:p>
          <w:p w14:paraId="253C99CC" w14:textId="77777777" w:rsidR="009C25FA" w:rsidRPr="000F2F63" w:rsidRDefault="009C25FA" w:rsidP="009B7F5F">
            <w:pPr>
              <w:pStyle w:val="EYTablebullet1"/>
              <w:rPr>
                <w:sz w:val="20"/>
                <w:szCs w:val="20"/>
              </w:rPr>
            </w:pPr>
            <w:r w:rsidRPr="000F2F63">
              <w:rPr>
                <w:sz w:val="20"/>
                <w:szCs w:val="20"/>
              </w:rPr>
              <w:t>Spending on APCs, and the average APC costs across a wide array of journals</w:t>
            </w:r>
          </w:p>
        </w:tc>
        <w:tc>
          <w:tcPr>
            <w:tcW w:w="1713" w:type="pct"/>
          </w:tcPr>
          <w:p w14:paraId="20E4DC63" w14:textId="77777777" w:rsidR="009C25FA" w:rsidRPr="000F2F63" w:rsidRDefault="009C25FA" w:rsidP="009B7F5F">
            <w:pPr>
              <w:pStyle w:val="EYTablebullet1"/>
              <w:rPr>
                <w:sz w:val="20"/>
                <w:szCs w:val="20"/>
              </w:rPr>
            </w:pPr>
            <w:r w:rsidRPr="000F2F63">
              <w:rPr>
                <w:sz w:val="20"/>
                <w:szCs w:val="20"/>
              </w:rPr>
              <w:t>Some costs may be hidden or ‘buried’, leading to an underestimate of the current costs of journal access and publishing</w:t>
            </w:r>
          </w:p>
          <w:p w14:paraId="06E77B10" w14:textId="77777777" w:rsidR="009C25FA" w:rsidRPr="000F2F63" w:rsidRDefault="009C25FA" w:rsidP="009B7F5F">
            <w:pPr>
              <w:pStyle w:val="EYTablebullet1"/>
              <w:rPr>
                <w:sz w:val="20"/>
                <w:szCs w:val="20"/>
              </w:rPr>
            </w:pPr>
            <w:r w:rsidRPr="000F2F63">
              <w:rPr>
                <w:sz w:val="20"/>
                <w:szCs w:val="20"/>
              </w:rPr>
              <w:t>Impact of APCs under full open access arrangements may be uncertain</w:t>
            </w:r>
          </w:p>
        </w:tc>
        <w:tc>
          <w:tcPr>
            <w:tcW w:w="698" w:type="pct"/>
            <w:shd w:val="clear" w:color="auto" w:fill="auto"/>
            <w:noWrap/>
          </w:tcPr>
          <w:p w14:paraId="7968D805" w14:textId="5F4C64E9" w:rsidR="009C25FA" w:rsidRPr="000F2F63" w:rsidRDefault="009C25FA" w:rsidP="009C25FA">
            <w:pPr>
              <w:autoSpaceDE/>
              <w:autoSpaceDN/>
              <w:adjustRightInd/>
              <w:spacing w:before="60" w:after="60"/>
            </w:pPr>
            <w:r w:rsidRPr="000F2F63">
              <w:t>High</w:t>
            </w:r>
          </w:p>
          <w:p w14:paraId="46343565" w14:textId="77777777" w:rsidR="009C25FA" w:rsidRPr="000F2F63" w:rsidRDefault="009C25FA" w:rsidP="009C25FA">
            <w:pPr>
              <w:autoSpaceDE/>
              <w:autoSpaceDN/>
              <w:adjustRightInd/>
              <w:spacing w:before="60" w:after="60"/>
            </w:pPr>
          </w:p>
        </w:tc>
      </w:tr>
      <w:tr w:rsidR="009C25FA" w:rsidRPr="009C25FA" w14:paraId="642FCCA5" w14:textId="77777777" w:rsidTr="00B66C9C">
        <w:trPr>
          <w:cantSplit/>
        </w:trPr>
        <w:tc>
          <w:tcPr>
            <w:tcW w:w="877" w:type="pct"/>
          </w:tcPr>
          <w:p w14:paraId="534ABFA0" w14:textId="77777777" w:rsidR="009C25FA" w:rsidRPr="000F2F63" w:rsidRDefault="009C25FA" w:rsidP="009C25FA">
            <w:pPr>
              <w:autoSpaceDE/>
              <w:autoSpaceDN/>
              <w:adjustRightInd/>
              <w:spacing w:before="60" w:after="60"/>
            </w:pPr>
            <w:r w:rsidRPr="000F2F63">
              <w:t>Government agency costs</w:t>
            </w:r>
          </w:p>
        </w:tc>
        <w:tc>
          <w:tcPr>
            <w:tcW w:w="1712" w:type="pct"/>
            <w:shd w:val="clear" w:color="auto" w:fill="auto"/>
            <w:noWrap/>
          </w:tcPr>
          <w:p w14:paraId="75A64499" w14:textId="77777777" w:rsidR="009C25FA" w:rsidRPr="000F2F63" w:rsidRDefault="009C25FA" w:rsidP="009B7F5F">
            <w:pPr>
              <w:pStyle w:val="EYTablebullet1"/>
              <w:rPr>
                <w:sz w:val="20"/>
                <w:szCs w:val="20"/>
              </w:rPr>
            </w:pPr>
            <w:r w:rsidRPr="000F2F63">
              <w:rPr>
                <w:sz w:val="20"/>
                <w:szCs w:val="20"/>
              </w:rPr>
              <w:t>State and federal government department expenditure on journals (across all departments)</w:t>
            </w:r>
          </w:p>
          <w:p w14:paraId="06A29BDE" w14:textId="77777777" w:rsidR="009C25FA" w:rsidRPr="000F2F63" w:rsidRDefault="009C25FA" w:rsidP="009B7F5F">
            <w:pPr>
              <w:pStyle w:val="EYTablebullet1"/>
              <w:rPr>
                <w:sz w:val="20"/>
                <w:szCs w:val="20"/>
              </w:rPr>
            </w:pPr>
            <w:r w:rsidRPr="000F2F63">
              <w:rPr>
                <w:sz w:val="20"/>
                <w:szCs w:val="20"/>
              </w:rPr>
              <w:t>Government officials’ level of access to journals, including the number of individuals who have access</w:t>
            </w:r>
          </w:p>
        </w:tc>
        <w:tc>
          <w:tcPr>
            <w:tcW w:w="1713" w:type="pct"/>
          </w:tcPr>
          <w:p w14:paraId="274257E9" w14:textId="77777777" w:rsidR="009C25FA" w:rsidRPr="000F2F63" w:rsidRDefault="009C25FA" w:rsidP="009B7F5F">
            <w:pPr>
              <w:pStyle w:val="EYTablebullet1"/>
              <w:rPr>
                <w:sz w:val="20"/>
                <w:szCs w:val="20"/>
              </w:rPr>
            </w:pPr>
            <w:r w:rsidRPr="000F2F63">
              <w:rPr>
                <w:sz w:val="20"/>
                <w:szCs w:val="20"/>
              </w:rPr>
              <w:t>May provide a key cost offset in moving to a national open access scheme</w:t>
            </w:r>
          </w:p>
        </w:tc>
        <w:tc>
          <w:tcPr>
            <w:tcW w:w="698" w:type="pct"/>
            <w:shd w:val="clear" w:color="auto" w:fill="auto"/>
            <w:noWrap/>
          </w:tcPr>
          <w:p w14:paraId="45DDAC82" w14:textId="7B46AB53" w:rsidR="009C25FA" w:rsidRPr="000F2F63" w:rsidRDefault="009C25FA" w:rsidP="009C25FA">
            <w:pPr>
              <w:autoSpaceDE/>
              <w:autoSpaceDN/>
              <w:adjustRightInd/>
              <w:spacing w:before="60" w:after="60"/>
            </w:pPr>
            <w:r w:rsidRPr="000F2F63">
              <w:t>Medium</w:t>
            </w:r>
          </w:p>
        </w:tc>
      </w:tr>
      <w:tr w:rsidR="009C25FA" w:rsidRPr="009C25FA" w14:paraId="1A690542" w14:textId="77777777" w:rsidTr="00B66C9C">
        <w:trPr>
          <w:cantSplit/>
        </w:trPr>
        <w:tc>
          <w:tcPr>
            <w:tcW w:w="877" w:type="pct"/>
          </w:tcPr>
          <w:p w14:paraId="18CAB27B" w14:textId="77777777" w:rsidR="009C25FA" w:rsidRPr="000F2F63" w:rsidRDefault="009C25FA" w:rsidP="009C25FA">
            <w:pPr>
              <w:autoSpaceDE/>
              <w:autoSpaceDN/>
              <w:adjustRightInd/>
              <w:spacing w:before="60" w:after="60"/>
            </w:pPr>
            <w:r w:rsidRPr="000F2F63">
              <w:t>Medical sector</w:t>
            </w:r>
          </w:p>
        </w:tc>
        <w:tc>
          <w:tcPr>
            <w:tcW w:w="1712" w:type="pct"/>
            <w:shd w:val="clear" w:color="auto" w:fill="auto"/>
            <w:noWrap/>
          </w:tcPr>
          <w:p w14:paraId="332DD8AC" w14:textId="77777777" w:rsidR="009C25FA" w:rsidRPr="000F2F63" w:rsidRDefault="009C25FA" w:rsidP="009B7F5F">
            <w:pPr>
              <w:pStyle w:val="EYTablebullet1"/>
              <w:rPr>
                <w:sz w:val="20"/>
                <w:szCs w:val="20"/>
              </w:rPr>
            </w:pPr>
            <w:r w:rsidRPr="000F2F63">
              <w:rPr>
                <w:sz w:val="20"/>
                <w:szCs w:val="20"/>
              </w:rPr>
              <w:t>Journal access subscriptions and associated costs incurred by the medical sector</w:t>
            </w:r>
          </w:p>
        </w:tc>
        <w:tc>
          <w:tcPr>
            <w:tcW w:w="1713" w:type="pct"/>
          </w:tcPr>
          <w:p w14:paraId="00DE1CF9" w14:textId="77777777" w:rsidR="009C25FA" w:rsidRPr="000F2F63" w:rsidRDefault="009C25FA" w:rsidP="009B7F5F">
            <w:pPr>
              <w:pStyle w:val="EYTablebullet1"/>
              <w:rPr>
                <w:sz w:val="20"/>
                <w:szCs w:val="20"/>
              </w:rPr>
            </w:pPr>
            <w:r w:rsidRPr="000F2F63">
              <w:rPr>
                <w:sz w:val="20"/>
                <w:szCs w:val="20"/>
              </w:rPr>
              <w:t>As a core user group, these access expenditures could point to potential cost savings under a national open access scheme, or transition issues to be managed</w:t>
            </w:r>
          </w:p>
        </w:tc>
        <w:tc>
          <w:tcPr>
            <w:tcW w:w="698" w:type="pct"/>
            <w:shd w:val="clear" w:color="auto" w:fill="auto"/>
            <w:noWrap/>
          </w:tcPr>
          <w:p w14:paraId="76259243" w14:textId="23F6E3B7" w:rsidR="009C25FA" w:rsidRPr="000F2F63" w:rsidRDefault="009C25FA" w:rsidP="009C25FA">
            <w:pPr>
              <w:autoSpaceDE/>
              <w:autoSpaceDN/>
              <w:adjustRightInd/>
              <w:spacing w:before="60" w:after="60"/>
            </w:pPr>
            <w:r w:rsidRPr="000F2F63">
              <w:t>Low</w:t>
            </w:r>
          </w:p>
        </w:tc>
      </w:tr>
      <w:tr w:rsidR="009C25FA" w:rsidRPr="009C25FA" w14:paraId="12579425" w14:textId="77777777" w:rsidTr="00B66C9C">
        <w:trPr>
          <w:cantSplit/>
        </w:trPr>
        <w:tc>
          <w:tcPr>
            <w:tcW w:w="877" w:type="pct"/>
          </w:tcPr>
          <w:p w14:paraId="49FB84A0" w14:textId="77777777" w:rsidR="009C25FA" w:rsidRPr="000F2F63" w:rsidRDefault="009C25FA" w:rsidP="009C25FA">
            <w:pPr>
              <w:autoSpaceDE/>
              <w:autoSpaceDN/>
              <w:adjustRightInd/>
              <w:spacing w:before="60" w:after="60"/>
            </w:pPr>
            <w:r w:rsidRPr="000F2F63">
              <w:t xml:space="preserve">Researchers’ in-kind contributions </w:t>
            </w:r>
          </w:p>
        </w:tc>
        <w:tc>
          <w:tcPr>
            <w:tcW w:w="1712" w:type="pct"/>
            <w:shd w:val="clear" w:color="auto" w:fill="auto"/>
            <w:noWrap/>
          </w:tcPr>
          <w:p w14:paraId="511BCB2F" w14:textId="77777777" w:rsidR="009C25FA" w:rsidRPr="000F2F63" w:rsidRDefault="009C25FA" w:rsidP="009B7F5F">
            <w:pPr>
              <w:pStyle w:val="EYTablebullet1"/>
              <w:rPr>
                <w:sz w:val="20"/>
                <w:szCs w:val="20"/>
              </w:rPr>
            </w:pPr>
            <w:r w:rsidRPr="000F2F63">
              <w:rPr>
                <w:sz w:val="20"/>
                <w:szCs w:val="20"/>
              </w:rPr>
              <w:t>The extent, type and ‘value’ of in-kind contributions provided to journals by Australian researchers</w:t>
            </w:r>
          </w:p>
        </w:tc>
        <w:tc>
          <w:tcPr>
            <w:tcW w:w="1713" w:type="pct"/>
          </w:tcPr>
          <w:p w14:paraId="324EBAD8" w14:textId="77777777" w:rsidR="009C25FA" w:rsidRPr="000F2F63" w:rsidRDefault="009C25FA" w:rsidP="009B7F5F">
            <w:pPr>
              <w:pStyle w:val="EYTablebullet1"/>
              <w:rPr>
                <w:sz w:val="20"/>
                <w:szCs w:val="20"/>
              </w:rPr>
            </w:pPr>
            <w:r w:rsidRPr="000F2F63">
              <w:rPr>
                <w:sz w:val="20"/>
                <w:szCs w:val="20"/>
              </w:rPr>
              <w:t>As most in-kind contributions are from researchers employed by universities or public institutions, the value of these contributions could be a key negotiating principle in moving to a national open access scheme</w:t>
            </w:r>
          </w:p>
        </w:tc>
        <w:tc>
          <w:tcPr>
            <w:tcW w:w="698" w:type="pct"/>
            <w:shd w:val="clear" w:color="auto" w:fill="auto"/>
            <w:noWrap/>
          </w:tcPr>
          <w:p w14:paraId="1162B21C" w14:textId="4D6133E4" w:rsidR="009C25FA" w:rsidRPr="000F2F63" w:rsidRDefault="009C25FA" w:rsidP="009C25FA">
            <w:pPr>
              <w:autoSpaceDE/>
              <w:autoSpaceDN/>
              <w:adjustRightInd/>
              <w:spacing w:before="60" w:after="60"/>
            </w:pPr>
            <w:r w:rsidRPr="000F2F63">
              <w:t>Medium</w:t>
            </w:r>
          </w:p>
        </w:tc>
      </w:tr>
      <w:tr w:rsidR="009C25FA" w:rsidRPr="009C25FA" w14:paraId="24FCB5A7" w14:textId="77777777" w:rsidTr="00416B5F">
        <w:trPr>
          <w:cantSplit/>
        </w:trPr>
        <w:tc>
          <w:tcPr>
            <w:tcW w:w="5000" w:type="pct"/>
            <w:gridSpan w:val="4"/>
            <w:shd w:val="clear" w:color="auto" w:fill="D2D2DA" w:themeFill="text1" w:themeFillTint="33"/>
          </w:tcPr>
          <w:p w14:paraId="44DB1D38" w14:textId="77777777" w:rsidR="009C25FA" w:rsidRPr="000F2F63" w:rsidRDefault="009C25FA" w:rsidP="009B7F5F">
            <w:pPr>
              <w:pStyle w:val="EYTablebullet1"/>
              <w:numPr>
                <w:ilvl w:val="0"/>
                <w:numId w:val="0"/>
              </w:numPr>
              <w:rPr>
                <w:b/>
                <w:sz w:val="20"/>
                <w:szCs w:val="20"/>
              </w:rPr>
            </w:pPr>
            <w:r w:rsidRPr="000F2F63">
              <w:rPr>
                <w:b/>
                <w:sz w:val="20"/>
                <w:szCs w:val="20"/>
              </w:rPr>
              <w:t>Commercial aspects of a national open access scheme</w:t>
            </w:r>
          </w:p>
        </w:tc>
      </w:tr>
      <w:tr w:rsidR="009C25FA" w:rsidRPr="009C25FA" w14:paraId="18CC07B2" w14:textId="77777777" w:rsidTr="00B66C9C">
        <w:trPr>
          <w:cantSplit/>
        </w:trPr>
        <w:tc>
          <w:tcPr>
            <w:tcW w:w="877" w:type="pct"/>
          </w:tcPr>
          <w:p w14:paraId="0DD18603" w14:textId="77777777" w:rsidR="009C25FA" w:rsidRPr="000F2F63" w:rsidRDefault="009C25FA" w:rsidP="009C25FA">
            <w:pPr>
              <w:autoSpaceDE/>
              <w:autoSpaceDN/>
              <w:adjustRightInd/>
              <w:spacing w:before="60" w:after="60"/>
            </w:pPr>
            <w:r w:rsidRPr="000F2F63">
              <w:t>Volume discounts</w:t>
            </w:r>
          </w:p>
        </w:tc>
        <w:tc>
          <w:tcPr>
            <w:tcW w:w="1712" w:type="pct"/>
            <w:shd w:val="clear" w:color="auto" w:fill="auto"/>
            <w:noWrap/>
          </w:tcPr>
          <w:p w14:paraId="3A0ED95D" w14:textId="77777777" w:rsidR="009C25FA" w:rsidRPr="000F2F63" w:rsidRDefault="009C25FA" w:rsidP="009B7F5F">
            <w:pPr>
              <w:pStyle w:val="EYTablebullet1"/>
              <w:rPr>
                <w:sz w:val="20"/>
                <w:szCs w:val="20"/>
              </w:rPr>
            </w:pPr>
            <w:r w:rsidRPr="000F2F63">
              <w:rPr>
                <w:sz w:val="20"/>
                <w:szCs w:val="20"/>
              </w:rPr>
              <w:t>The extent of any discount related to the central implementation body purchasing access to all journals — like the ‘big deals’ currently offered by publishers</w:t>
            </w:r>
          </w:p>
        </w:tc>
        <w:tc>
          <w:tcPr>
            <w:tcW w:w="1713" w:type="pct"/>
          </w:tcPr>
          <w:p w14:paraId="66B58812" w14:textId="77777777" w:rsidR="009C25FA" w:rsidRPr="000F2F63" w:rsidRDefault="009C25FA" w:rsidP="009B7F5F">
            <w:pPr>
              <w:pStyle w:val="EYTablebullet1"/>
              <w:rPr>
                <w:sz w:val="20"/>
                <w:szCs w:val="20"/>
              </w:rPr>
            </w:pPr>
            <w:r w:rsidRPr="000F2F63">
              <w:rPr>
                <w:sz w:val="20"/>
                <w:szCs w:val="20"/>
              </w:rPr>
              <w:t>May provide a key cost saving in moving to a national open access scheme</w:t>
            </w:r>
          </w:p>
        </w:tc>
        <w:tc>
          <w:tcPr>
            <w:tcW w:w="698" w:type="pct"/>
            <w:shd w:val="clear" w:color="auto" w:fill="auto"/>
            <w:noWrap/>
          </w:tcPr>
          <w:p w14:paraId="611FB768" w14:textId="24B283C4" w:rsidR="009C25FA" w:rsidRPr="000F2F63" w:rsidRDefault="009C25FA" w:rsidP="009C25FA">
            <w:pPr>
              <w:autoSpaceDE/>
              <w:autoSpaceDN/>
              <w:adjustRightInd/>
              <w:spacing w:before="60" w:after="60"/>
            </w:pPr>
            <w:r w:rsidRPr="000F2F63">
              <w:t>High</w:t>
            </w:r>
          </w:p>
        </w:tc>
      </w:tr>
      <w:tr w:rsidR="009C25FA" w:rsidRPr="009C25FA" w14:paraId="6A6F3D92" w14:textId="77777777" w:rsidTr="00B66C9C">
        <w:trPr>
          <w:cantSplit/>
        </w:trPr>
        <w:tc>
          <w:tcPr>
            <w:tcW w:w="877" w:type="pct"/>
          </w:tcPr>
          <w:p w14:paraId="664FF541" w14:textId="77777777" w:rsidR="009C25FA" w:rsidRPr="000F2F63" w:rsidRDefault="009C25FA" w:rsidP="009C25FA">
            <w:pPr>
              <w:autoSpaceDE/>
              <w:autoSpaceDN/>
              <w:adjustRightInd/>
              <w:spacing w:before="60" w:after="60"/>
            </w:pPr>
            <w:r w:rsidRPr="000F2F63">
              <w:lastRenderedPageBreak/>
              <w:t>Community access</w:t>
            </w:r>
          </w:p>
        </w:tc>
        <w:tc>
          <w:tcPr>
            <w:tcW w:w="1712" w:type="pct"/>
            <w:shd w:val="clear" w:color="auto" w:fill="auto"/>
            <w:noWrap/>
          </w:tcPr>
          <w:p w14:paraId="2480A44B" w14:textId="77777777" w:rsidR="009C25FA" w:rsidRPr="000F2F63" w:rsidRDefault="009C25FA" w:rsidP="009B7F5F">
            <w:pPr>
              <w:pStyle w:val="EYTablebullet1"/>
              <w:rPr>
                <w:sz w:val="20"/>
                <w:szCs w:val="20"/>
              </w:rPr>
            </w:pPr>
            <w:r w:rsidRPr="000F2F63">
              <w:rPr>
                <w:sz w:val="20"/>
                <w:szCs w:val="20"/>
              </w:rPr>
              <w:t>The likely costs of expanding access to a large volume of non-core users who have little, if any, commercial potential for publishers</w:t>
            </w:r>
          </w:p>
        </w:tc>
        <w:tc>
          <w:tcPr>
            <w:tcW w:w="1713" w:type="pct"/>
          </w:tcPr>
          <w:p w14:paraId="762B9760" w14:textId="77777777" w:rsidR="009C25FA" w:rsidRPr="000F2F63" w:rsidRDefault="009C25FA" w:rsidP="009B7F5F">
            <w:pPr>
              <w:pStyle w:val="EYTablebullet1"/>
              <w:rPr>
                <w:sz w:val="20"/>
                <w:szCs w:val="20"/>
              </w:rPr>
            </w:pPr>
            <w:r w:rsidRPr="000F2F63">
              <w:rPr>
                <w:sz w:val="20"/>
                <w:szCs w:val="20"/>
              </w:rPr>
              <w:t>Will be central to constraining the costs of a national open access scheme, particularly the likelihood of delivering a largely cost neutral outcome</w:t>
            </w:r>
          </w:p>
        </w:tc>
        <w:tc>
          <w:tcPr>
            <w:tcW w:w="698" w:type="pct"/>
            <w:shd w:val="clear" w:color="auto" w:fill="auto"/>
            <w:noWrap/>
          </w:tcPr>
          <w:p w14:paraId="015B3EAE" w14:textId="05DDABAD" w:rsidR="009C25FA" w:rsidRPr="000F2F63" w:rsidRDefault="009C25FA" w:rsidP="009C25FA">
            <w:pPr>
              <w:autoSpaceDE/>
              <w:autoSpaceDN/>
              <w:adjustRightInd/>
              <w:spacing w:before="60" w:after="60"/>
            </w:pPr>
            <w:r w:rsidRPr="000F2F63">
              <w:t>Medium</w:t>
            </w:r>
          </w:p>
          <w:p w14:paraId="248055FB" w14:textId="45E2B466" w:rsidR="009C25FA" w:rsidRPr="000F2F63" w:rsidRDefault="009C25FA" w:rsidP="009C25FA">
            <w:pPr>
              <w:autoSpaceDE/>
              <w:autoSpaceDN/>
              <w:adjustRightInd/>
              <w:spacing w:before="60" w:after="60"/>
            </w:pPr>
          </w:p>
        </w:tc>
      </w:tr>
      <w:tr w:rsidR="009C25FA" w:rsidRPr="009C25FA" w14:paraId="5AC32734" w14:textId="77777777" w:rsidTr="000F2F63">
        <w:trPr>
          <w:cantSplit/>
        </w:trPr>
        <w:tc>
          <w:tcPr>
            <w:tcW w:w="877" w:type="pct"/>
            <w:tcBorders>
              <w:bottom w:val="single" w:sz="4" w:space="0" w:color="787890" w:themeColor="text1" w:themeTint="99"/>
            </w:tcBorders>
          </w:tcPr>
          <w:p w14:paraId="489A0901" w14:textId="77777777" w:rsidR="009C25FA" w:rsidRPr="000F2F63" w:rsidRDefault="009C25FA" w:rsidP="009C25FA">
            <w:pPr>
              <w:autoSpaceDE/>
              <w:autoSpaceDN/>
              <w:adjustRightInd/>
              <w:spacing w:before="60" w:after="60"/>
            </w:pPr>
            <w:r w:rsidRPr="000F2F63">
              <w:t>Size of journal subscriptions</w:t>
            </w:r>
          </w:p>
        </w:tc>
        <w:tc>
          <w:tcPr>
            <w:tcW w:w="1712" w:type="pct"/>
            <w:tcBorders>
              <w:bottom w:val="single" w:sz="4" w:space="0" w:color="787890" w:themeColor="text1" w:themeTint="99"/>
            </w:tcBorders>
            <w:shd w:val="clear" w:color="auto" w:fill="auto"/>
            <w:noWrap/>
          </w:tcPr>
          <w:p w14:paraId="5858505E" w14:textId="77777777" w:rsidR="009C25FA" w:rsidRPr="000F2F63" w:rsidRDefault="009C25FA" w:rsidP="009B7F5F">
            <w:pPr>
              <w:pStyle w:val="EYTablebullet1"/>
              <w:rPr>
                <w:sz w:val="20"/>
                <w:szCs w:val="20"/>
              </w:rPr>
            </w:pPr>
            <w:r w:rsidRPr="000F2F63">
              <w:rPr>
                <w:sz w:val="20"/>
                <w:szCs w:val="20"/>
              </w:rPr>
              <w:t>Cost of increasing the coverage of journals under a national open access scheme, especially beyond the major publishers</w:t>
            </w:r>
          </w:p>
        </w:tc>
        <w:tc>
          <w:tcPr>
            <w:tcW w:w="1713" w:type="pct"/>
            <w:tcBorders>
              <w:bottom w:val="single" w:sz="4" w:space="0" w:color="787890" w:themeColor="text1" w:themeTint="99"/>
            </w:tcBorders>
          </w:tcPr>
          <w:p w14:paraId="4F0FFA4B" w14:textId="77777777" w:rsidR="009C25FA" w:rsidRPr="000F2F63" w:rsidRDefault="009C25FA" w:rsidP="009B7F5F">
            <w:pPr>
              <w:pStyle w:val="EYTablebullet1"/>
              <w:rPr>
                <w:sz w:val="20"/>
                <w:szCs w:val="20"/>
              </w:rPr>
            </w:pPr>
            <w:r w:rsidRPr="000F2F63">
              <w:rPr>
                <w:sz w:val="20"/>
                <w:szCs w:val="20"/>
              </w:rPr>
              <w:t xml:space="preserve">There is limited information on the subscription costs for ‘long tail’ publishers </w:t>
            </w:r>
          </w:p>
          <w:p w14:paraId="3301E869" w14:textId="77777777" w:rsidR="009C25FA" w:rsidRPr="000F2F63" w:rsidRDefault="009C25FA" w:rsidP="009B7F5F">
            <w:pPr>
              <w:pStyle w:val="EYTablebullet1"/>
              <w:rPr>
                <w:sz w:val="20"/>
                <w:szCs w:val="20"/>
              </w:rPr>
            </w:pPr>
            <w:r w:rsidRPr="000F2F63">
              <w:rPr>
                <w:sz w:val="20"/>
                <w:szCs w:val="20"/>
              </w:rPr>
              <w:t>The costs of expanding coverage of journals will impact the future costs of the scheme</w:t>
            </w:r>
          </w:p>
        </w:tc>
        <w:tc>
          <w:tcPr>
            <w:tcW w:w="698" w:type="pct"/>
            <w:tcBorders>
              <w:bottom w:val="single" w:sz="4" w:space="0" w:color="787890" w:themeColor="text1" w:themeTint="99"/>
            </w:tcBorders>
            <w:shd w:val="clear" w:color="auto" w:fill="auto"/>
            <w:noWrap/>
          </w:tcPr>
          <w:p w14:paraId="405A1422" w14:textId="71F5673D" w:rsidR="009C25FA" w:rsidRPr="000F2F63" w:rsidRDefault="009C25FA" w:rsidP="009C25FA">
            <w:pPr>
              <w:autoSpaceDE/>
              <w:autoSpaceDN/>
              <w:adjustRightInd/>
              <w:spacing w:before="60" w:after="60"/>
            </w:pPr>
            <w:r w:rsidRPr="000F2F63">
              <w:t>High</w:t>
            </w:r>
          </w:p>
        </w:tc>
      </w:tr>
      <w:tr w:rsidR="009C25FA" w:rsidRPr="009C25FA" w14:paraId="302A0FA4" w14:textId="77777777" w:rsidTr="000F2F63">
        <w:trPr>
          <w:cantSplit/>
        </w:trPr>
        <w:tc>
          <w:tcPr>
            <w:tcW w:w="877" w:type="pct"/>
            <w:tcBorders>
              <w:top w:val="single" w:sz="4" w:space="0" w:color="787890" w:themeColor="text1" w:themeTint="99"/>
              <w:bottom w:val="single" w:sz="4" w:space="0" w:color="787890" w:themeColor="text1" w:themeTint="99"/>
            </w:tcBorders>
          </w:tcPr>
          <w:p w14:paraId="0BC3E157" w14:textId="77777777" w:rsidR="009C25FA" w:rsidRPr="000F2F63" w:rsidRDefault="009C25FA" w:rsidP="009C25FA">
            <w:pPr>
              <w:autoSpaceDE/>
              <w:autoSpaceDN/>
              <w:adjustRightInd/>
              <w:spacing w:before="60" w:after="60"/>
            </w:pPr>
            <w:r w:rsidRPr="000F2F63">
              <w:t>Level of journal access</w:t>
            </w:r>
          </w:p>
        </w:tc>
        <w:tc>
          <w:tcPr>
            <w:tcW w:w="1712" w:type="pct"/>
            <w:tcBorders>
              <w:top w:val="single" w:sz="4" w:space="0" w:color="787890" w:themeColor="text1" w:themeTint="99"/>
              <w:bottom w:val="single" w:sz="4" w:space="0" w:color="787890" w:themeColor="text1" w:themeTint="99"/>
            </w:tcBorders>
            <w:shd w:val="clear" w:color="auto" w:fill="auto"/>
            <w:noWrap/>
          </w:tcPr>
          <w:p w14:paraId="74A88C36" w14:textId="77777777" w:rsidR="009C25FA" w:rsidRPr="000F2F63" w:rsidRDefault="009C25FA" w:rsidP="009B7F5F">
            <w:pPr>
              <w:pStyle w:val="EYTablebullet1"/>
              <w:rPr>
                <w:sz w:val="20"/>
                <w:szCs w:val="20"/>
              </w:rPr>
            </w:pPr>
            <w:r w:rsidRPr="000F2F63">
              <w:rPr>
                <w:sz w:val="20"/>
                <w:szCs w:val="20"/>
              </w:rPr>
              <w:t xml:space="preserve">The cost of providing access rights (e.g. read, download, ancillary data) for core and non-core users </w:t>
            </w:r>
          </w:p>
        </w:tc>
        <w:tc>
          <w:tcPr>
            <w:tcW w:w="1713" w:type="pct"/>
            <w:tcBorders>
              <w:top w:val="single" w:sz="4" w:space="0" w:color="787890" w:themeColor="text1" w:themeTint="99"/>
              <w:bottom w:val="single" w:sz="4" w:space="0" w:color="787890" w:themeColor="text1" w:themeTint="99"/>
            </w:tcBorders>
          </w:tcPr>
          <w:p w14:paraId="0117EA02" w14:textId="77777777" w:rsidR="009C25FA" w:rsidRPr="000F2F63" w:rsidRDefault="009C25FA" w:rsidP="009B7F5F">
            <w:pPr>
              <w:pStyle w:val="EYTablebullet1"/>
              <w:rPr>
                <w:sz w:val="20"/>
                <w:szCs w:val="20"/>
              </w:rPr>
            </w:pPr>
            <w:r w:rsidRPr="000F2F63">
              <w:rPr>
                <w:sz w:val="20"/>
                <w:szCs w:val="20"/>
              </w:rPr>
              <w:t>The costs of proving sufficient coverage, and any necessary ‘top up’ rights for researchers, will impact the future costs of the scheme</w:t>
            </w:r>
          </w:p>
        </w:tc>
        <w:tc>
          <w:tcPr>
            <w:tcW w:w="698" w:type="pct"/>
            <w:tcBorders>
              <w:top w:val="single" w:sz="4" w:space="0" w:color="787890" w:themeColor="text1" w:themeTint="99"/>
              <w:bottom w:val="single" w:sz="4" w:space="0" w:color="787890" w:themeColor="text1" w:themeTint="99"/>
            </w:tcBorders>
            <w:shd w:val="clear" w:color="auto" w:fill="auto"/>
            <w:noWrap/>
          </w:tcPr>
          <w:p w14:paraId="764AD714" w14:textId="6E8F1B40" w:rsidR="009C25FA" w:rsidRPr="000F2F63" w:rsidRDefault="009C25FA" w:rsidP="009C25FA">
            <w:pPr>
              <w:autoSpaceDE/>
              <w:autoSpaceDN/>
              <w:adjustRightInd/>
              <w:spacing w:before="60" w:after="60"/>
            </w:pPr>
            <w:r w:rsidRPr="000F2F63">
              <w:t>High</w:t>
            </w:r>
          </w:p>
        </w:tc>
      </w:tr>
    </w:tbl>
    <w:p w14:paraId="4058B6E3" w14:textId="77777777" w:rsidR="00611D7B" w:rsidRDefault="00611D7B" w:rsidP="00A577AC">
      <w:pPr>
        <w:pStyle w:val="EYBodytextwithparaspace"/>
      </w:pPr>
    </w:p>
    <w:p w14:paraId="4EA11734" w14:textId="0FDC65A1" w:rsidR="003B2417" w:rsidRPr="006119F9" w:rsidRDefault="003B2417" w:rsidP="003B2417">
      <w:pPr>
        <w:pStyle w:val="EYHeading2"/>
      </w:pPr>
      <w:bookmarkStart w:id="69" w:name="_Toc110545795"/>
      <w:bookmarkStart w:id="70" w:name="_Toc115717096"/>
      <w:r w:rsidRPr="006119F9">
        <w:t xml:space="preserve">Risks to the successful delivery of </w:t>
      </w:r>
      <w:r w:rsidR="00952D41">
        <w:t>an</w:t>
      </w:r>
      <w:r w:rsidRPr="006119F9">
        <w:t xml:space="preserve"> open access scheme</w:t>
      </w:r>
      <w:bookmarkEnd w:id="69"/>
      <w:bookmarkEnd w:id="70"/>
    </w:p>
    <w:p w14:paraId="150417A2" w14:textId="0F31C44B" w:rsidR="003B2417" w:rsidRPr="006119F9" w:rsidRDefault="003B2417" w:rsidP="00DD6CD8">
      <w:pPr>
        <w:pStyle w:val="EYBodytextwithoutparaspace"/>
      </w:pPr>
      <w:r>
        <w:t xml:space="preserve">While </w:t>
      </w:r>
      <w:r w:rsidRPr="006119F9">
        <w:t xml:space="preserve">Australia’s open access scheme </w:t>
      </w:r>
      <w:r w:rsidR="00A41BEB">
        <w:t>would utilise</w:t>
      </w:r>
      <w:r w:rsidR="00B75796">
        <w:t xml:space="preserve"> </w:t>
      </w:r>
      <w:r w:rsidRPr="006119F9">
        <w:t xml:space="preserve">proven </w:t>
      </w:r>
      <w:r w:rsidR="00B75796">
        <w:t>and ready-to-deploy</w:t>
      </w:r>
      <w:r w:rsidRPr="006119F9">
        <w:t xml:space="preserve"> technologies</w:t>
      </w:r>
      <w:r w:rsidR="00A34168">
        <w:t xml:space="preserve"> and</w:t>
      </w:r>
      <w:r w:rsidRPr="006119F9">
        <w:t xml:space="preserve"> platforms and is well supported by stakeholders, there are challenges to successfully </w:t>
      </w:r>
      <w:r w:rsidR="009973B1">
        <w:t>establishing</w:t>
      </w:r>
      <w:r w:rsidRPr="006119F9">
        <w:t xml:space="preserve"> the central implementation body. </w:t>
      </w:r>
      <w:r w:rsidR="00D6542F">
        <w:t>Fu</w:t>
      </w:r>
      <w:r w:rsidR="001203B0">
        <w:t>rther</w:t>
      </w:r>
      <w:r w:rsidR="009973B1">
        <w:t>, p</w:t>
      </w:r>
      <w:r w:rsidRPr="006119F9">
        <w:t xml:space="preserve">articular attention </w:t>
      </w:r>
      <w:r w:rsidR="003C02E3">
        <w:t>would</w:t>
      </w:r>
      <w:r w:rsidRPr="006119F9">
        <w:t xml:space="preserve"> be needed to manage access arrangements and funding </w:t>
      </w:r>
      <w:r w:rsidR="003C02E3">
        <w:t>implications</w:t>
      </w:r>
      <w:r w:rsidRPr="006119F9">
        <w:t xml:space="preserve"> for universities, as well as the delivery of technical infrastructure underpinning the central authentication system.</w:t>
      </w:r>
    </w:p>
    <w:p w14:paraId="70709999" w14:textId="77777777" w:rsidR="00D5594C" w:rsidRDefault="00ED1840" w:rsidP="00DD6CD8">
      <w:pPr>
        <w:pStyle w:val="EYBodytextwithoutparaspace"/>
      </w:pPr>
      <w:r w:rsidRPr="006119F9">
        <w:t xml:space="preserve">A dedicated </w:t>
      </w:r>
      <w:r>
        <w:t>p</w:t>
      </w:r>
      <w:r w:rsidRPr="006119F9">
        <w:t xml:space="preserve">roject </w:t>
      </w:r>
      <w:r>
        <w:t>m</w:t>
      </w:r>
      <w:r w:rsidRPr="006119F9">
        <w:t xml:space="preserve">anagement </w:t>
      </w:r>
      <w:r>
        <w:t>o</w:t>
      </w:r>
      <w:r w:rsidRPr="006119F9">
        <w:t xml:space="preserve">ffice </w:t>
      </w:r>
      <w:r>
        <w:t>could help</w:t>
      </w:r>
      <w:r w:rsidRPr="006119F9">
        <w:t xml:space="preserve"> support delivery</w:t>
      </w:r>
      <w:r w:rsidR="00D5594C">
        <w:t xml:space="preserve"> and provide c</w:t>
      </w:r>
      <w:r w:rsidR="003B2417" w:rsidRPr="006119F9">
        <w:t>lear line of sight on project delivery</w:t>
      </w:r>
      <w:r w:rsidR="00D5594C">
        <w:t>.</w:t>
      </w:r>
    </w:p>
    <w:p w14:paraId="3E99A101" w14:textId="69B817AA" w:rsidR="003A55A7" w:rsidRDefault="00D5594C" w:rsidP="00DD6CD8">
      <w:pPr>
        <w:pStyle w:val="EYBodytextwithoutparaspace"/>
      </w:pPr>
      <w:r>
        <w:t xml:space="preserve">Securing </w:t>
      </w:r>
      <w:r w:rsidR="00CB419A">
        <w:t xml:space="preserve">early agreements with </w:t>
      </w:r>
      <w:r>
        <w:t xml:space="preserve">major </w:t>
      </w:r>
      <w:r w:rsidR="00CB419A">
        <w:t>publishers</w:t>
      </w:r>
      <w:r w:rsidR="005F5859">
        <w:t xml:space="preserve"> </w:t>
      </w:r>
      <w:r w:rsidR="003C02E3">
        <w:t xml:space="preserve">will </w:t>
      </w:r>
      <w:r>
        <w:t xml:space="preserve">also </w:t>
      </w:r>
      <w:r w:rsidR="003C02E3">
        <w:t>be</w:t>
      </w:r>
      <w:r w:rsidR="005F5859">
        <w:t xml:space="preserve"> critical to </w:t>
      </w:r>
      <w:r w:rsidR="003B2417" w:rsidRPr="006119F9">
        <w:t>managing cost and delivery risks. There is likely</w:t>
      </w:r>
      <w:r w:rsidR="003C02E3">
        <w:t xml:space="preserve"> to be</w:t>
      </w:r>
      <w:r w:rsidR="003B2417" w:rsidRPr="006119F9">
        <w:t xml:space="preserve"> limited capacity to manage cost overruns should they occur</w:t>
      </w:r>
      <w:r w:rsidR="0000480C">
        <w:t xml:space="preserve"> because once primary users of academic research (</w:t>
      </w:r>
      <w:r w:rsidR="000F12C4">
        <w:t xml:space="preserve">e.g. </w:t>
      </w:r>
      <w:r w:rsidR="0000480C">
        <w:t xml:space="preserve">universities) have transitioned to </w:t>
      </w:r>
      <w:r w:rsidR="000F12C4">
        <w:t>a</w:t>
      </w:r>
      <w:r w:rsidR="0000480C">
        <w:t xml:space="preserve"> national scheme, it will be difficult to move back to the current system of access.</w:t>
      </w:r>
    </w:p>
    <w:p w14:paraId="270858D2" w14:textId="77777777" w:rsidR="003B2417" w:rsidRPr="00753CBA" w:rsidRDefault="003B2417" w:rsidP="00DD6CD8">
      <w:pPr>
        <w:pStyle w:val="EYBodytextwithoutparaspace"/>
      </w:pPr>
      <w:r w:rsidRPr="00753CBA">
        <w:t>The risk management strategy should encompass the following:</w:t>
      </w:r>
    </w:p>
    <w:p w14:paraId="03C8B214" w14:textId="5DE84B72" w:rsidR="003B2417" w:rsidRPr="00D113A8" w:rsidRDefault="003B2417" w:rsidP="00753CBA">
      <w:pPr>
        <w:pStyle w:val="EYBodytextwithparaspace"/>
        <w:numPr>
          <w:ilvl w:val="0"/>
          <w:numId w:val="18"/>
        </w:numPr>
        <w:ind w:left="426"/>
        <w:rPr>
          <w:color w:val="auto"/>
        </w:rPr>
      </w:pPr>
      <w:r w:rsidRPr="00753CBA">
        <w:rPr>
          <w:color w:val="auto"/>
        </w:rPr>
        <w:t xml:space="preserve">A </w:t>
      </w:r>
      <w:r w:rsidR="00113735" w:rsidRPr="00753CBA">
        <w:rPr>
          <w:color w:val="auto"/>
        </w:rPr>
        <w:t>w</w:t>
      </w:r>
      <w:r w:rsidRPr="00753CBA">
        <w:rPr>
          <w:color w:val="auto"/>
        </w:rPr>
        <w:t>ell-</w:t>
      </w:r>
      <w:r w:rsidRPr="00D113A8">
        <w:rPr>
          <w:color w:val="auto"/>
        </w:rPr>
        <w:t>established ‘walkaway’ or exit strategy</w:t>
      </w:r>
      <w:r w:rsidR="00865645" w:rsidRPr="00D113A8">
        <w:rPr>
          <w:color w:val="auto"/>
        </w:rPr>
        <w:t xml:space="preserve"> for negotiations with </w:t>
      </w:r>
      <w:r w:rsidR="00113735" w:rsidRPr="00D113A8">
        <w:rPr>
          <w:color w:val="auto"/>
        </w:rPr>
        <w:t xml:space="preserve">major </w:t>
      </w:r>
      <w:r w:rsidR="00865645" w:rsidRPr="00D113A8">
        <w:rPr>
          <w:color w:val="auto"/>
        </w:rPr>
        <w:t>publishers</w:t>
      </w:r>
      <w:r w:rsidR="00113735" w:rsidRPr="00D113A8">
        <w:rPr>
          <w:color w:val="auto"/>
        </w:rPr>
        <w:t>.</w:t>
      </w:r>
    </w:p>
    <w:p w14:paraId="45646848" w14:textId="5171EF30" w:rsidR="003B2417" w:rsidRPr="00D113A8" w:rsidRDefault="003B2417" w:rsidP="00753CBA">
      <w:pPr>
        <w:pStyle w:val="EYBodytextwithparaspace"/>
        <w:numPr>
          <w:ilvl w:val="0"/>
          <w:numId w:val="18"/>
        </w:numPr>
        <w:ind w:left="426"/>
        <w:rPr>
          <w:color w:val="auto"/>
        </w:rPr>
      </w:pPr>
      <w:r w:rsidRPr="00D113A8">
        <w:rPr>
          <w:color w:val="auto"/>
        </w:rPr>
        <w:t>Standard access agreements developed with input from the publishing industry and university libraries.</w:t>
      </w:r>
    </w:p>
    <w:p w14:paraId="380162C8" w14:textId="05C164AB" w:rsidR="003B2417" w:rsidRPr="00D113A8" w:rsidRDefault="00865645" w:rsidP="00753CBA">
      <w:pPr>
        <w:pStyle w:val="EYBodytextwithparaspace"/>
        <w:numPr>
          <w:ilvl w:val="0"/>
          <w:numId w:val="18"/>
        </w:numPr>
        <w:ind w:left="426"/>
        <w:rPr>
          <w:color w:val="auto"/>
        </w:rPr>
      </w:pPr>
      <w:r w:rsidRPr="00D113A8">
        <w:rPr>
          <w:color w:val="auto"/>
        </w:rPr>
        <w:t xml:space="preserve">A </w:t>
      </w:r>
      <w:r w:rsidR="00E15AEB" w:rsidRPr="00D113A8">
        <w:rPr>
          <w:color w:val="auto"/>
        </w:rPr>
        <w:t>phased implementation approach to help manage</w:t>
      </w:r>
      <w:r w:rsidR="003B2417" w:rsidRPr="00D113A8">
        <w:rPr>
          <w:color w:val="auto"/>
        </w:rPr>
        <w:t xml:space="preserve"> operational risks,</w:t>
      </w:r>
      <w:r w:rsidR="009514B0" w:rsidRPr="00D113A8">
        <w:rPr>
          <w:color w:val="auto"/>
        </w:rPr>
        <w:t xml:space="preserve"> </w:t>
      </w:r>
      <w:r w:rsidR="003B2417" w:rsidRPr="00D113A8">
        <w:rPr>
          <w:color w:val="auto"/>
        </w:rPr>
        <w:t>control access costs, and build momentum in negotiations.</w:t>
      </w:r>
    </w:p>
    <w:p w14:paraId="0CC827BA" w14:textId="6CAC0DA8" w:rsidR="005F5E45" w:rsidRDefault="003B2417" w:rsidP="00A577AC">
      <w:pPr>
        <w:pStyle w:val="EYBodytextwithparaspace"/>
      </w:pPr>
      <w:r w:rsidRPr="006119F9">
        <w:t xml:space="preserve">Major risks to the delivery of the </w:t>
      </w:r>
      <w:r w:rsidR="008D72BB">
        <w:t>s</w:t>
      </w:r>
      <w:r w:rsidRPr="006119F9">
        <w:t xml:space="preserve">cheme are </w:t>
      </w:r>
      <w:r w:rsidR="00AA4B5E">
        <w:t>outlined</w:t>
      </w:r>
      <w:r w:rsidRPr="006119F9">
        <w:t xml:space="preserve"> in</w:t>
      </w:r>
      <w:r w:rsidR="005104F3">
        <w:t xml:space="preserve"> </w:t>
      </w:r>
      <w:r w:rsidR="005104F3">
        <w:fldChar w:fldCharType="begin"/>
      </w:r>
      <w:r w:rsidR="005104F3">
        <w:instrText xml:space="preserve"> REF _Ref115370804 \h </w:instrText>
      </w:r>
      <w:r w:rsidR="005104F3">
        <w:fldChar w:fldCharType="separate"/>
      </w:r>
      <w:r w:rsidR="008112E6">
        <w:t xml:space="preserve">Table </w:t>
      </w:r>
      <w:r w:rsidR="008112E6">
        <w:rPr>
          <w:noProof/>
        </w:rPr>
        <w:t>10</w:t>
      </w:r>
      <w:r w:rsidR="005104F3">
        <w:fldChar w:fldCharType="end"/>
      </w:r>
      <w:r w:rsidR="00952D41">
        <w:t>.</w:t>
      </w:r>
    </w:p>
    <w:p w14:paraId="7AC26FF8" w14:textId="77777777" w:rsidR="005F5E45" w:rsidRDefault="005F5E45">
      <w:pPr>
        <w:autoSpaceDE/>
        <w:autoSpaceDN/>
        <w:adjustRightInd/>
        <w:rPr>
          <w:color w:val="000000" w:themeColor="background2"/>
        </w:rPr>
      </w:pPr>
      <w:r>
        <w:br w:type="page"/>
      </w:r>
    </w:p>
    <w:p w14:paraId="77217595" w14:textId="240AB759" w:rsidR="005104F3" w:rsidRDefault="005104F3" w:rsidP="005104F3">
      <w:pPr>
        <w:pStyle w:val="Caption"/>
        <w:keepNext/>
      </w:pPr>
      <w:bookmarkStart w:id="71" w:name="_Ref115370804"/>
      <w:r>
        <w:lastRenderedPageBreak/>
        <w:t xml:space="preserve">Table </w:t>
      </w:r>
      <w:r>
        <w:fldChar w:fldCharType="begin"/>
      </w:r>
      <w:r>
        <w:instrText xml:space="preserve"> SEQ Table \* ARABIC </w:instrText>
      </w:r>
      <w:r>
        <w:fldChar w:fldCharType="separate"/>
      </w:r>
      <w:r w:rsidR="008112E6">
        <w:rPr>
          <w:noProof/>
        </w:rPr>
        <w:t>10</w:t>
      </w:r>
      <w:r>
        <w:fldChar w:fldCharType="end"/>
      </w:r>
      <w:bookmarkEnd w:id="71"/>
      <w:r>
        <w:t xml:space="preserve">: </w:t>
      </w:r>
      <w:r w:rsidR="00EF405A">
        <w:t>Major</w:t>
      </w:r>
      <w:r>
        <w:t xml:space="preserve"> delivery risks</w:t>
      </w:r>
    </w:p>
    <w:tbl>
      <w:tblPr>
        <w:tblStyle w:val="TableGrid"/>
        <w:tblW w:w="9203" w:type="dxa"/>
        <w:tblBorders>
          <w:top w:val="none" w:sz="0" w:space="0" w:color="auto"/>
          <w:left w:val="none" w:sz="0" w:space="0" w:color="auto"/>
          <w:bottom w:val="none" w:sz="0" w:space="0" w:color="auto"/>
          <w:right w:val="none" w:sz="0" w:space="0" w:color="auto"/>
          <w:insideH w:val="single" w:sz="4" w:space="0" w:color="787890" w:themeColor="text1" w:themeTint="99"/>
          <w:insideV w:val="none" w:sz="0" w:space="0" w:color="auto"/>
        </w:tblBorders>
        <w:tblLook w:val="04A0" w:firstRow="1" w:lastRow="0" w:firstColumn="1" w:lastColumn="0" w:noHBand="0" w:noVBand="1"/>
      </w:tblPr>
      <w:tblGrid>
        <w:gridCol w:w="2229"/>
        <w:gridCol w:w="3487"/>
        <w:gridCol w:w="3487"/>
      </w:tblGrid>
      <w:tr w:rsidR="002467CF" w:rsidRPr="00AC313A" w14:paraId="5B32C2E1" w14:textId="77777777" w:rsidTr="005F5E45">
        <w:trPr>
          <w:trHeight w:val="553"/>
          <w:tblHeader/>
        </w:trPr>
        <w:tc>
          <w:tcPr>
            <w:tcW w:w="2229" w:type="dxa"/>
            <w:shd w:val="clear" w:color="auto" w:fill="787890" w:themeFill="text1" w:themeFillTint="99"/>
          </w:tcPr>
          <w:p w14:paraId="04B869BE" w14:textId="7B0419B6" w:rsidR="002467CF" w:rsidRPr="005F5E45" w:rsidRDefault="00EF405A" w:rsidP="00A577AC">
            <w:pPr>
              <w:pStyle w:val="EYBodytextwithparaspace"/>
              <w:rPr>
                <w:rFonts w:ascii="EYInterstate Light" w:hAnsi="EYInterstate Light"/>
                <w:b/>
                <w:color w:val="FFFFFF" w:themeColor="background1"/>
                <w:sz w:val="18"/>
                <w:szCs w:val="18"/>
              </w:rPr>
            </w:pPr>
            <w:r w:rsidRPr="005F5E45">
              <w:rPr>
                <w:rFonts w:ascii="EYInterstate Light" w:hAnsi="EYInterstate Light"/>
                <w:b/>
                <w:color w:val="FFFFFF" w:themeColor="background1"/>
                <w:sz w:val="18"/>
                <w:szCs w:val="18"/>
              </w:rPr>
              <w:t>R</w:t>
            </w:r>
            <w:r w:rsidR="002467CF" w:rsidRPr="005F5E45">
              <w:rPr>
                <w:rFonts w:ascii="EYInterstate Light" w:hAnsi="EYInterstate Light"/>
                <w:b/>
                <w:color w:val="FFFFFF" w:themeColor="background1"/>
                <w:sz w:val="18"/>
                <w:szCs w:val="18"/>
              </w:rPr>
              <w:t>isk</w:t>
            </w:r>
            <w:r w:rsidRPr="005F5E45">
              <w:rPr>
                <w:rFonts w:ascii="EYInterstate Light" w:hAnsi="EYInterstate Light"/>
                <w:b/>
                <w:color w:val="FFFFFF" w:themeColor="background1"/>
                <w:sz w:val="18"/>
                <w:szCs w:val="18"/>
              </w:rPr>
              <w:t xml:space="preserve"> element</w:t>
            </w:r>
          </w:p>
        </w:tc>
        <w:tc>
          <w:tcPr>
            <w:tcW w:w="3487" w:type="dxa"/>
            <w:shd w:val="clear" w:color="auto" w:fill="787890" w:themeFill="text1" w:themeFillTint="99"/>
          </w:tcPr>
          <w:p w14:paraId="31BD4B82" w14:textId="70701303" w:rsidR="002467CF" w:rsidRPr="005F5E45" w:rsidRDefault="002467CF" w:rsidP="00A577AC">
            <w:pPr>
              <w:pStyle w:val="EYBodytextwithparaspace"/>
              <w:rPr>
                <w:rFonts w:ascii="EYInterstate Light" w:hAnsi="EYInterstate Light"/>
                <w:b/>
                <w:color w:val="FFFFFF" w:themeColor="background1"/>
                <w:sz w:val="18"/>
                <w:szCs w:val="18"/>
              </w:rPr>
            </w:pPr>
            <w:r w:rsidRPr="005F5E45">
              <w:rPr>
                <w:rFonts w:ascii="EYInterstate Light" w:hAnsi="EYInterstate Light"/>
                <w:b/>
                <w:color w:val="FFFFFF" w:themeColor="background1"/>
                <w:sz w:val="18"/>
                <w:szCs w:val="18"/>
              </w:rPr>
              <w:t>Implications</w:t>
            </w:r>
          </w:p>
        </w:tc>
        <w:tc>
          <w:tcPr>
            <w:tcW w:w="3487" w:type="dxa"/>
            <w:shd w:val="clear" w:color="auto" w:fill="787890" w:themeFill="text1" w:themeFillTint="99"/>
          </w:tcPr>
          <w:p w14:paraId="0123F320" w14:textId="1622A33E" w:rsidR="002467CF" w:rsidRPr="005F5E45" w:rsidRDefault="002467CF" w:rsidP="00A577AC">
            <w:pPr>
              <w:pStyle w:val="EYBodytextwithparaspace"/>
              <w:rPr>
                <w:rFonts w:ascii="EYInterstate Light" w:hAnsi="EYInterstate Light"/>
                <w:b/>
                <w:color w:val="FFFFFF" w:themeColor="background1"/>
                <w:sz w:val="18"/>
                <w:szCs w:val="18"/>
              </w:rPr>
            </w:pPr>
            <w:r w:rsidRPr="005F5E45">
              <w:rPr>
                <w:rFonts w:ascii="EYInterstate Light" w:hAnsi="EYInterstate Light"/>
                <w:b/>
                <w:color w:val="FFFFFF" w:themeColor="background1"/>
                <w:sz w:val="18"/>
                <w:szCs w:val="18"/>
              </w:rPr>
              <w:t>Key mitigation</w:t>
            </w:r>
          </w:p>
        </w:tc>
      </w:tr>
      <w:tr w:rsidR="002467CF" w14:paraId="030D2EEB" w14:textId="77777777" w:rsidTr="00AC313A">
        <w:trPr>
          <w:trHeight w:val="477"/>
        </w:trPr>
        <w:tc>
          <w:tcPr>
            <w:tcW w:w="9203" w:type="dxa"/>
            <w:gridSpan w:val="3"/>
            <w:shd w:val="clear" w:color="auto" w:fill="D2D2DA" w:themeFill="text1" w:themeFillTint="33"/>
          </w:tcPr>
          <w:p w14:paraId="715C754E" w14:textId="140A5351" w:rsidR="002467CF" w:rsidRPr="005F5E45" w:rsidRDefault="002467CF" w:rsidP="00A577AC">
            <w:pPr>
              <w:pStyle w:val="EYBodytextwithparaspace"/>
              <w:rPr>
                <w:rFonts w:ascii="EYInterstate Light" w:hAnsi="EYInterstate Light"/>
                <w:sz w:val="18"/>
                <w:szCs w:val="18"/>
              </w:rPr>
            </w:pPr>
            <w:r w:rsidRPr="005F5E45">
              <w:rPr>
                <w:rFonts w:ascii="EYInterstate Light" w:hAnsi="EYInterstate Light"/>
                <w:sz w:val="18"/>
                <w:szCs w:val="18"/>
              </w:rPr>
              <w:t>High risk</w:t>
            </w:r>
          </w:p>
        </w:tc>
      </w:tr>
      <w:tr w:rsidR="002467CF" w14:paraId="1650DB49" w14:textId="77777777" w:rsidTr="005F5E45">
        <w:trPr>
          <w:trHeight w:val="1390"/>
        </w:trPr>
        <w:tc>
          <w:tcPr>
            <w:tcW w:w="2229" w:type="dxa"/>
            <w:shd w:val="clear" w:color="auto" w:fill="auto"/>
          </w:tcPr>
          <w:p w14:paraId="742D01C5" w14:textId="5473B275" w:rsidR="002467CF" w:rsidRPr="005F5E45" w:rsidRDefault="002467C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 xml:space="preserve">Costs are </w:t>
            </w:r>
            <w:r w:rsidR="0033089E" w:rsidRPr="005F5E45">
              <w:rPr>
                <w:rFonts w:ascii="EYInterstate Light" w:hAnsi="EYInterstate Light"/>
                <w:sz w:val="18"/>
                <w:szCs w:val="18"/>
              </w:rPr>
              <w:t>unacceptably</w:t>
            </w:r>
            <w:r w:rsidRPr="005F5E45">
              <w:rPr>
                <w:rFonts w:ascii="EYInterstate Light" w:hAnsi="EYInterstate Light"/>
                <w:sz w:val="18"/>
                <w:szCs w:val="18"/>
              </w:rPr>
              <w:t xml:space="preserve"> high</w:t>
            </w:r>
          </w:p>
        </w:tc>
        <w:tc>
          <w:tcPr>
            <w:tcW w:w="3487" w:type="dxa"/>
            <w:shd w:val="clear" w:color="auto" w:fill="auto"/>
          </w:tcPr>
          <w:p w14:paraId="720BE5BE" w14:textId="303A4B8B" w:rsidR="0033089E" w:rsidRPr="005F5E45" w:rsidRDefault="002467C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Funding structures are unable to support the model without significant additional government expenditure</w:t>
            </w:r>
            <w:r w:rsidR="001D3CBF" w:rsidRPr="005F5E45">
              <w:rPr>
                <w:rFonts w:ascii="EYInterstate Light" w:hAnsi="EYInterstate Light"/>
                <w:sz w:val="18"/>
                <w:szCs w:val="18"/>
              </w:rPr>
              <w:t>.</w:t>
            </w:r>
          </w:p>
          <w:p w14:paraId="7DA9E2C4" w14:textId="0FB6CBCD" w:rsidR="002467CF" w:rsidRPr="005F5E45" w:rsidRDefault="002467C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 xml:space="preserve">High costs may lead to the </w:t>
            </w:r>
            <w:r w:rsidR="00D107B5" w:rsidRPr="005F5E45">
              <w:rPr>
                <w:rFonts w:ascii="EYInterstate Light" w:hAnsi="EYInterstate Light"/>
                <w:sz w:val="18"/>
                <w:szCs w:val="18"/>
              </w:rPr>
              <w:t xml:space="preserve">open access </w:t>
            </w:r>
            <w:r w:rsidRPr="005F5E45">
              <w:rPr>
                <w:rFonts w:ascii="EYInterstate Light" w:hAnsi="EYInterstate Light"/>
                <w:sz w:val="18"/>
                <w:szCs w:val="18"/>
              </w:rPr>
              <w:t>initiative being significantly reduced or stopped.</w:t>
            </w:r>
          </w:p>
        </w:tc>
        <w:tc>
          <w:tcPr>
            <w:tcW w:w="3487" w:type="dxa"/>
            <w:shd w:val="clear" w:color="auto" w:fill="auto"/>
          </w:tcPr>
          <w:p w14:paraId="76A0EA7E" w14:textId="1CD215B3" w:rsidR="002467CF" w:rsidRPr="005F5E45" w:rsidRDefault="002467C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Benchmarking of costs against other international models and significant lead time for publisher negotiations, IT set-up and</w:t>
            </w:r>
            <w:r w:rsidR="002602C5" w:rsidRPr="005F5E45">
              <w:rPr>
                <w:rFonts w:ascii="EYInterstate Light" w:hAnsi="EYInterstate Light"/>
                <w:sz w:val="18"/>
                <w:szCs w:val="18"/>
              </w:rPr>
              <w:t xml:space="preserve"> </w:t>
            </w:r>
            <w:r w:rsidR="008700D1" w:rsidRPr="005F5E45">
              <w:rPr>
                <w:rFonts w:ascii="EYInterstate Light" w:hAnsi="EYInterstate Light"/>
                <w:sz w:val="18"/>
                <w:szCs w:val="18"/>
              </w:rPr>
              <w:t>a phased</w:t>
            </w:r>
            <w:r w:rsidRPr="005F5E45">
              <w:rPr>
                <w:rFonts w:ascii="EYInterstate Light" w:hAnsi="EYInterstate Light"/>
                <w:sz w:val="18"/>
                <w:szCs w:val="18"/>
              </w:rPr>
              <w:t xml:space="preserve"> </w:t>
            </w:r>
            <w:r w:rsidR="008700D1" w:rsidRPr="005F5E45">
              <w:rPr>
                <w:rFonts w:ascii="EYInterstate Light" w:hAnsi="EYInterstate Light"/>
                <w:sz w:val="18"/>
                <w:szCs w:val="18"/>
              </w:rPr>
              <w:t>delivery</w:t>
            </w:r>
            <w:r w:rsidRPr="005F5E45">
              <w:rPr>
                <w:rFonts w:ascii="EYInterstate Light" w:hAnsi="EYInterstate Light"/>
                <w:sz w:val="18"/>
                <w:szCs w:val="18"/>
              </w:rPr>
              <w:t xml:space="preserve"> </w:t>
            </w:r>
            <w:r w:rsidR="008700D1" w:rsidRPr="005F5E45">
              <w:rPr>
                <w:rFonts w:ascii="EYInterstate Light" w:hAnsi="EYInterstate Light"/>
                <w:sz w:val="18"/>
                <w:szCs w:val="18"/>
              </w:rPr>
              <w:t>approach</w:t>
            </w:r>
            <w:r w:rsidRPr="005F5E45">
              <w:rPr>
                <w:rFonts w:ascii="EYInterstate Light" w:hAnsi="EYInterstate Light"/>
                <w:sz w:val="18"/>
                <w:szCs w:val="18"/>
              </w:rPr>
              <w:t>.</w:t>
            </w:r>
          </w:p>
        </w:tc>
      </w:tr>
      <w:tr w:rsidR="002467CF" w14:paraId="63E5F4E0" w14:textId="77777777" w:rsidTr="005F5E45">
        <w:trPr>
          <w:trHeight w:val="837"/>
        </w:trPr>
        <w:tc>
          <w:tcPr>
            <w:tcW w:w="2229" w:type="dxa"/>
            <w:shd w:val="clear" w:color="auto" w:fill="auto"/>
          </w:tcPr>
          <w:p w14:paraId="2488BF47" w14:textId="2FCF1734" w:rsidR="002467CF" w:rsidRPr="005F5E45" w:rsidRDefault="002467C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 xml:space="preserve">A </w:t>
            </w:r>
            <w:r w:rsidR="000724E5" w:rsidRPr="005F5E45">
              <w:rPr>
                <w:rFonts w:ascii="EYInterstate Light" w:hAnsi="EYInterstate Light"/>
                <w:sz w:val="18"/>
                <w:szCs w:val="18"/>
              </w:rPr>
              <w:t>major</w:t>
            </w:r>
            <w:r w:rsidRPr="005F5E45">
              <w:rPr>
                <w:rFonts w:ascii="EYInterstate Light" w:hAnsi="EYInterstate Light"/>
                <w:sz w:val="18"/>
                <w:szCs w:val="18"/>
              </w:rPr>
              <w:t xml:space="preserve"> publisher does not get on-boarded</w:t>
            </w:r>
          </w:p>
        </w:tc>
        <w:tc>
          <w:tcPr>
            <w:tcW w:w="3487" w:type="dxa"/>
            <w:shd w:val="clear" w:color="auto" w:fill="auto"/>
          </w:tcPr>
          <w:p w14:paraId="2D1ED279" w14:textId="078B532F" w:rsidR="002467CF" w:rsidRPr="005F5E45" w:rsidRDefault="002467C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Lack of journal coverage and access to academic literature</w:t>
            </w:r>
            <w:r w:rsidR="00F17142" w:rsidRPr="005F5E45">
              <w:rPr>
                <w:rFonts w:ascii="EYInterstate Light" w:hAnsi="EYInterstate Light"/>
                <w:sz w:val="18"/>
                <w:szCs w:val="18"/>
              </w:rPr>
              <w:t xml:space="preserve">, </w:t>
            </w:r>
            <w:r w:rsidR="00F17142" w:rsidRPr="005F5E45">
              <w:rPr>
                <w:rFonts w:ascii="EYInterstate Light" w:hAnsi="EYInterstate Light"/>
                <w:color w:val="auto"/>
                <w:sz w:val="18"/>
                <w:szCs w:val="18"/>
              </w:rPr>
              <w:t xml:space="preserve">and universities </w:t>
            </w:r>
            <w:r w:rsidR="00CF6B45" w:rsidRPr="005F5E45">
              <w:rPr>
                <w:rFonts w:ascii="EYInterstate Light" w:hAnsi="EYInterstate Light"/>
                <w:color w:val="auto"/>
                <w:sz w:val="18"/>
                <w:szCs w:val="18"/>
              </w:rPr>
              <w:t>seeking</w:t>
            </w:r>
            <w:r w:rsidR="00F17142" w:rsidRPr="005F5E45">
              <w:rPr>
                <w:rFonts w:ascii="EYInterstate Light" w:hAnsi="EYInterstate Light"/>
                <w:color w:val="auto"/>
                <w:sz w:val="18"/>
                <w:szCs w:val="18"/>
              </w:rPr>
              <w:t xml:space="preserve"> to continue their existing </w:t>
            </w:r>
            <w:r w:rsidR="00F17142" w:rsidRPr="005F5E45">
              <w:rPr>
                <w:rFonts w:ascii="EYInterstate Light" w:hAnsi="EYInterstate Light"/>
                <w:sz w:val="18"/>
                <w:szCs w:val="18"/>
              </w:rPr>
              <w:t>arrangements.</w:t>
            </w:r>
          </w:p>
        </w:tc>
        <w:tc>
          <w:tcPr>
            <w:tcW w:w="3487" w:type="dxa"/>
            <w:shd w:val="clear" w:color="auto" w:fill="auto"/>
          </w:tcPr>
          <w:p w14:paraId="6B3ED107" w14:textId="53DE8111" w:rsidR="002467CF" w:rsidRPr="005F5E45" w:rsidRDefault="002467C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Long lead times, and in-depth negotiation strategy with major publishers.</w:t>
            </w:r>
            <w:r w:rsidR="00CF6B45" w:rsidRPr="005F5E45">
              <w:rPr>
                <w:rFonts w:ascii="EYInterstate Light" w:hAnsi="EYInterstate Light"/>
                <w:sz w:val="18"/>
                <w:szCs w:val="18"/>
              </w:rPr>
              <w:t xml:space="preserve"> </w:t>
            </w:r>
            <w:r w:rsidR="00CF6B45" w:rsidRPr="005F5E45">
              <w:rPr>
                <w:rFonts w:ascii="EYInterstate Light" w:hAnsi="EYInterstate Light"/>
                <w:color w:val="auto"/>
                <w:sz w:val="18"/>
                <w:szCs w:val="18"/>
              </w:rPr>
              <w:t xml:space="preserve">Access to commercial </w:t>
            </w:r>
            <w:r w:rsidR="0054758B" w:rsidRPr="005F5E45">
              <w:rPr>
                <w:rFonts w:ascii="EYInterstate Light" w:hAnsi="EYInterstate Light"/>
                <w:color w:val="auto"/>
                <w:sz w:val="18"/>
                <w:szCs w:val="18"/>
              </w:rPr>
              <w:t xml:space="preserve">expertise </w:t>
            </w:r>
            <w:r w:rsidR="005F5910" w:rsidRPr="005F5E45">
              <w:rPr>
                <w:rFonts w:ascii="EYInterstate Light" w:hAnsi="EYInterstate Light"/>
                <w:color w:val="auto"/>
                <w:sz w:val="18"/>
                <w:szCs w:val="18"/>
              </w:rPr>
              <w:t>for the implementation body.</w:t>
            </w:r>
          </w:p>
        </w:tc>
      </w:tr>
      <w:tr w:rsidR="002467CF" w14:paraId="429EBB2A" w14:textId="77777777" w:rsidTr="00AC313A">
        <w:trPr>
          <w:trHeight w:val="553"/>
        </w:trPr>
        <w:tc>
          <w:tcPr>
            <w:tcW w:w="9203" w:type="dxa"/>
            <w:gridSpan w:val="3"/>
            <w:shd w:val="clear" w:color="auto" w:fill="D2D2DA" w:themeFill="text1" w:themeFillTint="33"/>
          </w:tcPr>
          <w:p w14:paraId="670B96A2" w14:textId="3C3C08CE" w:rsidR="002467CF" w:rsidRPr="005F5E45" w:rsidRDefault="002467C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Medium risk</w:t>
            </w:r>
          </w:p>
        </w:tc>
      </w:tr>
      <w:tr w:rsidR="002467CF" w14:paraId="69509B44" w14:textId="77777777" w:rsidTr="005F5E45">
        <w:trPr>
          <w:trHeight w:val="1106"/>
        </w:trPr>
        <w:tc>
          <w:tcPr>
            <w:tcW w:w="2229" w:type="dxa"/>
            <w:shd w:val="clear" w:color="auto" w:fill="auto"/>
          </w:tcPr>
          <w:p w14:paraId="7CB3AED0" w14:textId="50832358" w:rsidR="002467CF" w:rsidRPr="005F5E45" w:rsidRDefault="002467C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Small publishers are locked out due to budget or administrative burden</w:t>
            </w:r>
          </w:p>
        </w:tc>
        <w:tc>
          <w:tcPr>
            <w:tcW w:w="3487" w:type="dxa"/>
            <w:shd w:val="clear" w:color="auto" w:fill="auto"/>
          </w:tcPr>
          <w:p w14:paraId="1446643E" w14:textId="09D478F5" w:rsidR="002467CF" w:rsidRPr="005F5E45" w:rsidRDefault="002467C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Leads to consolidation in the publishing market and falling sentiment from smaller publishers.</w:t>
            </w:r>
          </w:p>
        </w:tc>
        <w:tc>
          <w:tcPr>
            <w:tcW w:w="3487" w:type="dxa"/>
            <w:shd w:val="clear" w:color="auto" w:fill="auto"/>
          </w:tcPr>
          <w:p w14:paraId="3394AA28" w14:textId="3C50DDF0" w:rsidR="002467CF" w:rsidRPr="005F5E45" w:rsidRDefault="00E953F0"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Developing</w:t>
            </w:r>
            <w:r w:rsidR="002467CF" w:rsidRPr="005F5E45">
              <w:rPr>
                <w:rFonts w:ascii="EYInterstate Light" w:hAnsi="EYInterstate Light"/>
                <w:sz w:val="18"/>
                <w:szCs w:val="18"/>
              </w:rPr>
              <w:t xml:space="preserve"> standard agreements and </w:t>
            </w:r>
            <w:r w:rsidR="002467CF" w:rsidRPr="005F5E45">
              <w:rPr>
                <w:rFonts w:ascii="EYInterstate Light" w:hAnsi="EYInterstate Light"/>
                <w:color w:val="auto"/>
                <w:sz w:val="18"/>
                <w:szCs w:val="18"/>
              </w:rPr>
              <w:t>approach</w:t>
            </w:r>
            <w:r w:rsidRPr="005F5E45">
              <w:rPr>
                <w:rFonts w:ascii="EYInterstate Light" w:hAnsi="EYInterstate Light"/>
                <w:color w:val="auto"/>
                <w:sz w:val="18"/>
                <w:szCs w:val="18"/>
              </w:rPr>
              <w:t>ing</w:t>
            </w:r>
            <w:r w:rsidR="002467CF" w:rsidRPr="005F5E45">
              <w:rPr>
                <w:rFonts w:ascii="EYInterstate Light" w:hAnsi="EYInterstate Light"/>
                <w:color w:val="auto"/>
                <w:sz w:val="18"/>
                <w:szCs w:val="18"/>
              </w:rPr>
              <w:t xml:space="preserve"> a </w:t>
            </w:r>
            <w:r w:rsidRPr="005F5E45">
              <w:rPr>
                <w:rFonts w:ascii="EYInterstate Light" w:hAnsi="EYInterstate Light"/>
                <w:color w:val="auto"/>
                <w:sz w:val="18"/>
                <w:szCs w:val="18"/>
              </w:rPr>
              <w:t xml:space="preserve">wide </w:t>
            </w:r>
            <w:r w:rsidR="002467CF" w:rsidRPr="005F5E45">
              <w:rPr>
                <w:rFonts w:ascii="EYInterstate Light" w:hAnsi="EYInterstate Light"/>
                <w:color w:val="auto"/>
                <w:sz w:val="18"/>
                <w:szCs w:val="18"/>
              </w:rPr>
              <w:t>cross section of publishers</w:t>
            </w:r>
            <w:r w:rsidR="00716E51" w:rsidRPr="005F5E45">
              <w:rPr>
                <w:rFonts w:ascii="EYInterstate Light" w:hAnsi="EYInterstate Light"/>
                <w:color w:val="auto"/>
                <w:sz w:val="18"/>
                <w:szCs w:val="18"/>
              </w:rPr>
              <w:t>.</w:t>
            </w:r>
          </w:p>
        </w:tc>
      </w:tr>
      <w:tr w:rsidR="006045AF" w14:paraId="4B70EDB0" w14:textId="5319849B" w:rsidTr="005F5E45">
        <w:trPr>
          <w:trHeight w:val="837"/>
        </w:trPr>
        <w:tc>
          <w:tcPr>
            <w:tcW w:w="2229" w:type="dxa"/>
            <w:shd w:val="clear" w:color="auto" w:fill="auto"/>
          </w:tcPr>
          <w:p w14:paraId="74C28379" w14:textId="6340C6E0" w:rsidR="006045AF" w:rsidRPr="005F5E45" w:rsidRDefault="006045A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Implementation is delayed</w:t>
            </w:r>
          </w:p>
        </w:tc>
        <w:tc>
          <w:tcPr>
            <w:tcW w:w="3487" w:type="dxa"/>
            <w:shd w:val="clear" w:color="auto" w:fill="auto"/>
          </w:tcPr>
          <w:p w14:paraId="653ABCC1" w14:textId="54698AB7" w:rsidR="006045AF" w:rsidRPr="005F5E45" w:rsidRDefault="006045A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 xml:space="preserve">The model is not delivered in </w:t>
            </w:r>
            <w:r w:rsidR="00E3573B" w:rsidRPr="005F5E45">
              <w:rPr>
                <w:rFonts w:ascii="EYInterstate Light" w:hAnsi="EYInterstate Light"/>
                <w:sz w:val="18"/>
                <w:szCs w:val="18"/>
              </w:rPr>
              <w:t>initial</w:t>
            </w:r>
            <w:r w:rsidRPr="005F5E45">
              <w:rPr>
                <w:rFonts w:ascii="EYInterstate Light" w:hAnsi="EYInterstate Light"/>
                <w:sz w:val="18"/>
                <w:szCs w:val="18"/>
              </w:rPr>
              <w:t xml:space="preserve"> estimated timeframes.</w:t>
            </w:r>
          </w:p>
        </w:tc>
        <w:tc>
          <w:tcPr>
            <w:tcW w:w="3487" w:type="dxa"/>
            <w:shd w:val="clear" w:color="auto" w:fill="auto"/>
          </w:tcPr>
          <w:p w14:paraId="19682570" w14:textId="2908BBDD" w:rsidR="006045AF" w:rsidRPr="005F5E45" w:rsidRDefault="006045A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Long lead times, user testing and public awareness campaigns.</w:t>
            </w:r>
          </w:p>
        </w:tc>
      </w:tr>
      <w:tr w:rsidR="006045AF" w14:paraId="78C73120" w14:textId="77777777" w:rsidTr="005F5E45">
        <w:trPr>
          <w:trHeight w:val="822"/>
        </w:trPr>
        <w:tc>
          <w:tcPr>
            <w:tcW w:w="2229" w:type="dxa"/>
            <w:shd w:val="clear" w:color="auto" w:fill="auto"/>
          </w:tcPr>
          <w:p w14:paraId="1312A31C" w14:textId="41DF4CF6" w:rsidR="006045AF" w:rsidRPr="005F5E45" w:rsidRDefault="006045A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Academic leakage/ free riding</w:t>
            </w:r>
          </w:p>
        </w:tc>
        <w:tc>
          <w:tcPr>
            <w:tcW w:w="3487" w:type="dxa"/>
            <w:shd w:val="clear" w:color="auto" w:fill="auto"/>
          </w:tcPr>
          <w:p w14:paraId="4D081EF8" w14:textId="70BE8B7E" w:rsidR="006045AF" w:rsidRPr="005F5E45" w:rsidRDefault="006045A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Larger publishers pull out of agreements</w:t>
            </w:r>
            <w:r w:rsidR="006B41EE" w:rsidRPr="005F5E45">
              <w:rPr>
                <w:rFonts w:ascii="EYInterstate Light" w:hAnsi="EYInterstate Light"/>
                <w:sz w:val="18"/>
                <w:szCs w:val="18"/>
              </w:rPr>
              <w:t>.</w:t>
            </w:r>
          </w:p>
        </w:tc>
        <w:tc>
          <w:tcPr>
            <w:tcW w:w="3487" w:type="dxa"/>
            <w:shd w:val="clear" w:color="auto" w:fill="auto"/>
          </w:tcPr>
          <w:p w14:paraId="46BA6BD2" w14:textId="61D817E4" w:rsidR="006045AF" w:rsidRPr="005F5E45" w:rsidRDefault="006045A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Strong user access management process to identify Australian</w:t>
            </w:r>
            <w:r w:rsidR="001469BD" w:rsidRPr="005F5E45">
              <w:rPr>
                <w:rFonts w:ascii="EYInterstate Light" w:hAnsi="EYInterstate Light"/>
                <w:sz w:val="18"/>
                <w:szCs w:val="18"/>
              </w:rPr>
              <w:t xml:space="preserve"> users.</w:t>
            </w:r>
          </w:p>
        </w:tc>
      </w:tr>
      <w:tr w:rsidR="006045AF" w14:paraId="1F43907E" w14:textId="77777777" w:rsidTr="005F5E45">
        <w:trPr>
          <w:trHeight w:val="837"/>
        </w:trPr>
        <w:tc>
          <w:tcPr>
            <w:tcW w:w="2229" w:type="dxa"/>
            <w:shd w:val="clear" w:color="auto" w:fill="auto"/>
          </w:tcPr>
          <w:p w14:paraId="3592733D" w14:textId="4C5FC2D2" w:rsidR="006045AF" w:rsidRPr="005F5E45" w:rsidRDefault="006045A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color w:val="auto"/>
                <w:sz w:val="18"/>
                <w:szCs w:val="18"/>
              </w:rPr>
              <w:t>Universities do</w:t>
            </w:r>
            <w:r w:rsidR="003E6AC6" w:rsidRPr="005F5E45">
              <w:rPr>
                <w:rFonts w:ascii="EYInterstate Light" w:hAnsi="EYInterstate Light"/>
                <w:color w:val="auto"/>
                <w:sz w:val="18"/>
                <w:szCs w:val="18"/>
              </w:rPr>
              <w:t xml:space="preserve"> not wish to participate in the scheme</w:t>
            </w:r>
          </w:p>
        </w:tc>
        <w:tc>
          <w:tcPr>
            <w:tcW w:w="3487" w:type="dxa"/>
            <w:shd w:val="clear" w:color="auto" w:fill="auto"/>
          </w:tcPr>
          <w:p w14:paraId="4E5BB1BE" w14:textId="658D7BEF" w:rsidR="006045AF" w:rsidRPr="005F5E45" w:rsidRDefault="006045A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Universities work against the model</w:t>
            </w:r>
            <w:r w:rsidR="002D2B20" w:rsidRPr="005F5E45">
              <w:rPr>
                <w:rFonts w:ascii="EYInterstate Light" w:hAnsi="EYInterstate Light"/>
                <w:sz w:val="18"/>
                <w:szCs w:val="18"/>
              </w:rPr>
              <w:t xml:space="preserve"> </w:t>
            </w:r>
            <w:r w:rsidRPr="005F5E45">
              <w:rPr>
                <w:rFonts w:ascii="EYInterstate Light" w:hAnsi="EYInterstate Light"/>
                <w:sz w:val="18"/>
                <w:szCs w:val="18"/>
              </w:rPr>
              <w:t>and seek to dismantle it.</w:t>
            </w:r>
          </w:p>
        </w:tc>
        <w:tc>
          <w:tcPr>
            <w:tcW w:w="3487" w:type="dxa"/>
            <w:shd w:val="clear" w:color="auto" w:fill="auto"/>
          </w:tcPr>
          <w:p w14:paraId="62A2EBF9" w14:textId="4A01C13D" w:rsidR="006045AF" w:rsidRPr="005F5E45" w:rsidRDefault="006045A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Inclusion of major universities and libraries in the design, delivery and commercial negotiations.</w:t>
            </w:r>
          </w:p>
        </w:tc>
      </w:tr>
      <w:tr w:rsidR="006045AF" w14:paraId="4886C72B" w14:textId="77777777" w:rsidTr="005F5E45">
        <w:trPr>
          <w:trHeight w:val="1106"/>
        </w:trPr>
        <w:tc>
          <w:tcPr>
            <w:tcW w:w="2229" w:type="dxa"/>
            <w:shd w:val="clear" w:color="auto" w:fill="auto"/>
          </w:tcPr>
          <w:p w14:paraId="6D93E9C0" w14:textId="435F75EB" w:rsidR="006045AF" w:rsidRPr="005F5E45" w:rsidRDefault="006045A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Coverage is sup-optimal and duplicates universities coverage</w:t>
            </w:r>
          </w:p>
        </w:tc>
        <w:tc>
          <w:tcPr>
            <w:tcW w:w="3487" w:type="dxa"/>
            <w:shd w:val="clear" w:color="auto" w:fill="auto"/>
          </w:tcPr>
          <w:p w14:paraId="5E7B6329" w14:textId="607233C4" w:rsidR="006045AF" w:rsidRPr="005F5E45" w:rsidRDefault="006045A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Insufficient access to academic journals, and publishing choice for authors.</w:t>
            </w:r>
          </w:p>
        </w:tc>
        <w:tc>
          <w:tcPr>
            <w:tcW w:w="3487" w:type="dxa"/>
            <w:shd w:val="clear" w:color="auto" w:fill="auto"/>
          </w:tcPr>
          <w:p w14:paraId="662585B1" w14:textId="3EAFD523" w:rsidR="006045AF" w:rsidRPr="005F5E45" w:rsidRDefault="006045A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color w:val="auto"/>
                <w:sz w:val="18"/>
                <w:szCs w:val="18"/>
              </w:rPr>
              <w:t xml:space="preserve">Strong stakeholder </w:t>
            </w:r>
            <w:r w:rsidR="00775636" w:rsidRPr="005F5E45">
              <w:rPr>
                <w:rFonts w:ascii="EYInterstate Light" w:hAnsi="EYInterstate Light"/>
                <w:color w:val="auto"/>
                <w:sz w:val="18"/>
                <w:szCs w:val="18"/>
              </w:rPr>
              <w:t>engagement</w:t>
            </w:r>
            <w:r w:rsidRPr="005F5E45">
              <w:rPr>
                <w:rFonts w:ascii="EYInterstate Light" w:hAnsi="EYInterstate Light"/>
                <w:color w:val="auto"/>
                <w:sz w:val="18"/>
                <w:szCs w:val="18"/>
              </w:rPr>
              <w:t xml:space="preserve"> and </w:t>
            </w:r>
            <w:r w:rsidR="00A7643E" w:rsidRPr="005F5E45">
              <w:rPr>
                <w:rFonts w:ascii="EYInterstate Light" w:hAnsi="EYInterstate Light"/>
                <w:color w:val="auto"/>
                <w:sz w:val="18"/>
                <w:szCs w:val="18"/>
              </w:rPr>
              <w:t xml:space="preserve">identifying </w:t>
            </w:r>
            <w:r w:rsidRPr="005F5E45">
              <w:rPr>
                <w:rFonts w:ascii="EYInterstate Light" w:hAnsi="EYInterstate Light"/>
                <w:color w:val="auto"/>
                <w:sz w:val="18"/>
                <w:szCs w:val="18"/>
              </w:rPr>
              <w:t xml:space="preserve">a cross section of publishers and journals </w:t>
            </w:r>
            <w:r w:rsidRPr="005F5E45">
              <w:rPr>
                <w:rFonts w:ascii="EYInterstate Light" w:hAnsi="EYInterstate Light"/>
                <w:sz w:val="18"/>
                <w:szCs w:val="18"/>
              </w:rPr>
              <w:t>critical to universit</w:t>
            </w:r>
            <w:r w:rsidR="00A7643E" w:rsidRPr="005F5E45">
              <w:rPr>
                <w:rFonts w:ascii="EYInterstate Light" w:hAnsi="EYInterstate Light"/>
                <w:sz w:val="18"/>
                <w:szCs w:val="18"/>
              </w:rPr>
              <w:t>y</w:t>
            </w:r>
            <w:r w:rsidRPr="005F5E45">
              <w:rPr>
                <w:rFonts w:ascii="EYInterstate Light" w:hAnsi="EYInterstate Light"/>
                <w:sz w:val="18"/>
                <w:szCs w:val="18"/>
              </w:rPr>
              <w:t xml:space="preserve"> and research institutions</w:t>
            </w:r>
            <w:r w:rsidR="00775636" w:rsidRPr="005F5E45">
              <w:rPr>
                <w:rFonts w:ascii="EYInterstate Light" w:hAnsi="EYInterstate Light"/>
                <w:sz w:val="18"/>
                <w:szCs w:val="18"/>
              </w:rPr>
              <w:t>’</w:t>
            </w:r>
            <w:r w:rsidRPr="005F5E45">
              <w:rPr>
                <w:rFonts w:ascii="EYInterstate Light" w:hAnsi="EYInterstate Light"/>
                <w:sz w:val="18"/>
                <w:szCs w:val="18"/>
              </w:rPr>
              <w:t xml:space="preserve"> day</w:t>
            </w:r>
            <w:r w:rsidR="000766D2" w:rsidRPr="005F5E45">
              <w:rPr>
                <w:rFonts w:ascii="EYInterstate Light" w:hAnsi="EYInterstate Light"/>
                <w:sz w:val="18"/>
                <w:szCs w:val="18"/>
              </w:rPr>
              <w:t>-</w:t>
            </w:r>
            <w:r w:rsidRPr="005F5E45">
              <w:rPr>
                <w:rFonts w:ascii="EYInterstate Light" w:hAnsi="EYInterstate Light"/>
                <w:sz w:val="18"/>
                <w:szCs w:val="18"/>
              </w:rPr>
              <w:t>to</w:t>
            </w:r>
            <w:r w:rsidR="000766D2" w:rsidRPr="005F5E45">
              <w:rPr>
                <w:rFonts w:ascii="EYInterstate Light" w:hAnsi="EYInterstate Light"/>
                <w:sz w:val="18"/>
                <w:szCs w:val="18"/>
              </w:rPr>
              <w:t>-</w:t>
            </w:r>
            <w:r w:rsidRPr="005F5E45">
              <w:rPr>
                <w:rFonts w:ascii="EYInterstate Light" w:hAnsi="EYInterstate Light"/>
                <w:sz w:val="18"/>
                <w:szCs w:val="18"/>
              </w:rPr>
              <w:t>day activities.</w:t>
            </w:r>
          </w:p>
        </w:tc>
      </w:tr>
      <w:tr w:rsidR="00D710B1" w14:paraId="4F24AFBA" w14:textId="77777777" w:rsidTr="005F5E45">
        <w:trPr>
          <w:trHeight w:val="1106"/>
        </w:trPr>
        <w:tc>
          <w:tcPr>
            <w:tcW w:w="2229" w:type="dxa"/>
            <w:shd w:val="clear" w:color="auto" w:fill="auto"/>
          </w:tcPr>
          <w:p w14:paraId="4852CDF1" w14:textId="5402A9D3" w:rsidR="00D710B1" w:rsidRPr="005F5E45" w:rsidRDefault="00715FCB"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C</w:t>
            </w:r>
            <w:r w:rsidR="00CA6120" w:rsidRPr="005F5E45">
              <w:rPr>
                <w:rFonts w:ascii="EYInterstate Light" w:hAnsi="EYInterstate Light"/>
                <w:sz w:val="18"/>
                <w:szCs w:val="18"/>
              </w:rPr>
              <w:t xml:space="preserve">entral </w:t>
            </w:r>
            <w:r w:rsidR="00D85B3C" w:rsidRPr="005F5E45">
              <w:rPr>
                <w:rFonts w:ascii="EYInterstate Light" w:hAnsi="EYInterstate Light"/>
                <w:sz w:val="18"/>
                <w:szCs w:val="18"/>
              </w:rPr>
              <w:t>implementation</w:t>
            </w:r>
            <w:r w:rsidR="00CA6120" w:rsidRPr="005F5E45">
              <w:rPr>
                <w:rFonts w:ascii="EYInterstate Light" w:hAnsi="EYInterstate Light"/>
                <w:sz w:val="18"/>
                <w:szCs w:val="18"/>
              </w:rPr>
              <w:t xml:space="preserve"> body lacks sufficient capability and capacity</w:t>
            </w:r>
          </w:p>
        </w:tc>
        <w:tc>
          <w:tcPr>
            <w:tcW w:w="3487" w:type="dxa"/>
            <w:shd w:val="clear" w:color="auto" w:fill="auto"/>
          </w:tcPr>
          <w:p w14:paraId="2BB36274" w14:textId="1A686D6E" w:rsidR="00D710B1" w:rsidRPr="005F5E45" w:rsidRDefault="00715FCB"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C</w:t>
            </w:r>
            <w:r w:rsidR="00D51991" w:rsidRPr="005F5E45">
              <w:rPr>
                <w:rFonts w:ascii="EYInterstate Light" w:hAnsi="EYInterstate Light"/>
                <w:sz w:val="18"/>
                <w:szCs w:val="18"/>
              </w:rPr>
              <w:t>entral implementation body is unable to negotiate satisfactory agreements with publishers on</w:t>
            </w:r>
            <w:r w:rsidR="000D6628" w:rsidRPr="005F5E45">
              <w:rPr>
                <w:rFonts w:ascii="EYInterstate Light" w:hAnsi="EYInterstate Light"/>
                <w:sz w:val="18"/>
                <w:szCs w:val="18"/>
              </w:rPr>
              <w:t xml:space="preserve"> </w:t>
            </w:r>
            <w:r w:rsidR="00D51991" w:rsidRPr="005F5E45">
              <w:rPr>
                <w:rFonts w:ascii="EYInterstate Light" w:hAnsi="EYInterstate Light"/>
                <w:sz w:val="18"/>
                <w:szCs w:val="18"/>
              </w:rPr>
              <w:t>time, and IT infrastructure does not support the model, and there</w:t>
            </w:r>
            <w:r w:rsidR="00C17A0C" w:rsidRPr="005F5E45">
              <w:rPr>
                <w:rFonts w:ascii="EYInterstate Light" w:hAnsi="EYInterstate Light"/>
                <w:sz w:val="18"/>
                <w:szCs w:val="18"/>
              </w:rPr>
              <w:t xml:space="preserve"> is </w:t>
            </w:r>
            <w:r w:rsidR="00D51991" w:rsidRPr="005F5E45">
              <w:rPr>
                <w:rFonts w:ascii="EYInterstate Light" w:hAnsi="EYInterstate Light"/>
                <w:sz w:val="18"/>
                <w:szCs w:val="18"/>
              </w:rPr>
              <w:t xml:space="preserve">lack of coordination </w:t>
            </w:r>
            <w:r w:rsidR="00D23733" w:rsidRPr="005F5E45">
              <w:rPr>
                <w:rFonts w:ascii="EYInterstate Light" w:hAnsi="EYInterstate Light"/>
                <w:sz w:val="18"/>
                <w:szCs w:val="18"/>
              </w:rPr>
              <w:t xml:space="preserve">between </w:t>
            </w:r>
            <w:r w:rsidR="00D51991" w:rsidRPr="005F5E45">
              <w:rPr>
                <w:rFonts w:ascii="EYInterstate Light" w:hAnsi="EYInterstate Light"/>
                <w:sz w:val="18"/>
                <w:szCs w:val="18"/>
              </w:rPr>
              <w:t xml:space="preserve">government </w:t>
            </w:r>
            <w:r w:rsidR="003E13E3" w:rsidRPr="005F5E45">
              <w:rPr>
                <w:rFonts w:ascii="EYInterstate Light" w:hAnsi="EYInterstate Light"/>
                <w:sz w:val="18"/>
                <w:szCs w:val="18"/>
              </w:rPr>
              <w:t>agencies</w:t>
            </w:r>
            <w:r w:rsidR="00D51991" w:rsidRPr="005F5E45">
              <w:rPr>
                <w:rFonts w:ascii="EYInterstate Light" w:hAnsi="EYInterstate Light"/>
                <w:sz w:val="18"/>
                <w:szCs w:val="18"/>
              </w:rPr>
              <w:t>.</w:t>
            </w:r>
          </w:p>
        </w:tc>
        <w:tc>
          <w:tcPr>
            <w:tcW w:w="3487" w:type="dxa"/>
            <w:shd w:val="clear" w:color="auto" w:fill="auto"/>
          </w:tcPr>
          <w:p w14:paraId="1BD4D60F" w14:textId="55E43D6C" w:rsidR="00D710B1" w:rsidRPr="005F5E45" w:rsidRDefault="000D6628" w:rsidP="005F5E45">
            <w:pPr>
              <w:pStyle w:val="EYBodytextwithparaspace"/>
              <w:spacing w:before="40" w:after="40" w:line="240" w:lineRule="auto"/>
              <w:rPr>
                <w:rFonts w:ascii="EYInterstate Light" w:hAnsi="EYInterstate Light"/>
                <w:color w:val="auto"/>
                <w:sz w:val="18"/>
                <w:szCs w:val="18"/>
              </w:rPr>
            </w:pPr>
            <w:r w:rsidRPr="005F5E45">
              <w:rPr>
                <w:rFonts w:ascii="EYInterstate Light" w:hAnsi="EYInterstate Light"/>
                <w:color w:val="auto"/>
                <w:sz w:val="18"/>
                <w:szCs w:val="18"/>
              </w:rPr>
              <w:t xml:space="preserve">Central implementation body </w:t>
            </w:r>
            <w:r w:rsidR="005C055A" w:rsidRPr="005F5E45">
              <w:rPr>
                <w:rFonts w:ascii="EYInterstate Light" w:hAnsi="EYInterstate Light"/>
                <w:color w:val="auto"/>
                <w:sz w:val="18"/>
                <w:szCs w:val="18"/>
              </w:rPr>
              <w:t>has access to</w:t>
            </w:r>
            <w:r w:rsidRPr="005F5E45">
              <w:rPr>
                <w:rFonts w:ascii="EYInterstate Light" w:hAnsi="EYInterstate Light"/>
                <w:color w:val="auto"/>
                <w:sz w:val="18"/>
                <w:szCs w:val="18"/>
              </w:rPr>
              <w:t xml:space="preserve"> a cross</w:t>
            </w:r>
            <w:r w:rsidR="000F7FE2" w:rsidRPr="005F5E45">
              <w:rPr>
                <w:rFonts w:ascii="EYInterstate Light" w:hAnsi="EYInterstate Light"/>
                <w:color w:val="auto"/>
                <w:sz w:val="18"/>
                <w:szCs w:val="18"/>
              </w:rPr>
              <w:t>-disciplinary</w:t>
            </w:r>
            <w:r w:rsidRPr="005F5E45">
              <w:rPr>
                <w:rFonts w:ascii="EYInterstate Light" w:hAnsi="EYInterstate Light"/>
                <w:color w:val="auto"/>
                <w:sz w:val="18"/>
                <w:szCs w:val="18"/>
              </w:rPr>
              <w:t xml:space="preserve"> team leveraging DISR, DTA</w:t>
            </w:r>
            <w:r w:rsidR="001451AE" w:rsidRPr="005F5E45">
              <w:rPr>
                <w:rFonts w:ascii="EYInterstate Light" w:hAnsi="EYInterstate Light"/>
                <w:color w:val="auto"/>
                <w:sz w:val="18"/>
                <w:szCs w:val="18"/>
              </w:rPr>
              <w:t>, CAUL</w:t>
            </w:r>
            <w:r w:rsidRPr="005F5E45">
              <w:rPr>
                <w:rFonts w:ascii="EYInterstate Light" w:hAnsi="EYInterstate Light"/>
                <w:color w:val="auto"/>
                <w:sz w:val="18"/>
                <w:szCs w:val="18"/>
              </w:rPr>
              <w:t xml:space="preserve"> and the </w:t>
            </w:r>
            <w:r w:rsidR="000F7FE2" w:rsidRPr="005F5E45">
              <w:rPr>
                <w:rFonts w:ascii="EYInterstate Light" w:hAnsi="EYInterstate Light"/>
                <w:color w:val="auto"/>
                <w:sz w:val="18"/>
                <w:szCs w:val="18"/>
              </w:rPr>
              <w:t>N</w:t>
            </w:r>
            <w:r w:rsidRPr="005F5E45">
              <w:rPr>
                <w:rFonts w:ascii="EYInterstate Light" w:hAnsi="EYInterstate Light"/>
                <w:color w:val="auto"/>
                <w:sz w:val="18"/>
                <w:szCs w:val="18"/>
              </w:rPr>
              <w:t xml:space="preserve">ational </w:t>
            </w:r>
            <w:r w:rsidR="000F7FE2" w:rsidRPr="005F5E45">
              <w:rPr>
                <w:rFonts w:ascii="EYInterstate Light" w:hAnsi="EYInterstate Light"/>
                <w:color w:val="auto"/>
                <w:sz w:val="18"/>
                <w:szCs w:val="18"/>
              </w:rPr>
              <w:t>L</w:t>
            </w:r>
            <w:r w:rsidRPr="005F5E45">
              <w:rPr>
                <w:rFonts w:ascii="EYInterstate Light" w:hAnsi="EYInterstate Light"/>
                <w:color w:val="auto"/>
                <w:sz w:val="18"/>
                <w:szCs w:val="18"/>
              </w:rPr>
              <w:t>ibrary with a high</w:t>
            </w:r>
            <w:r w:rsidR="00952D41" w:rsidRPr="005F5E45">
              <w:rPr>
                <w:rFonts w:ascii="EYInterstate Light" w:hAnsi="EYInterstate Light"/>
                <w:color w:val="auto"/>
                <w:sz w:val="18"/>
                <w:szCs w:val="18"/>
              </w:rPr>
              <w:t>-</w:t>
            </w:r>
            <w:r w:rsidRPr="005F5E45">
              <w:rPr>
                <w:rFonts w:ascii="EYInterstate Light" w:hAnsi="EYInterstate Light"/>
                <w:color w:val="auto"/>
                <w:sz w:val="18"/>
                <w:szCs w:val="18"/>
              </w:rPr>
              <w:t>level advisory group.</w:t>
            </w:r>
          </w:p>
        </w:tc>
      </w:tr>
      <w:tr w:rsidR="006045AF" w14:paraId="6C3AF52A" w14:textId="77777777" w:rsidTr="00AC313A">
        <w:trPr>
          <w:trHeight w:val="553"/>
        </w:trPr>
        <w:tc>
          <w:tcPr>
            <w:tcW w:w="9203" w:type="dxa"/>
            <w:gridSpan w:val="3"/>
            <w:shd w:val="clear" w:color="auto" w:fill="D2D2DA" w:themeFill="text1" w:themeFillTint="33"/>
          </w:tcPr>
          <w:p w14:paraId="1AD804C0" w14:textId="1E9E47F0" w:rsidR="006045AF" w:rsidRPr="005F5E45" w:rsidRDefault="006045A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 xml:space="preserve">Low risk </w:t>
            </w:r>
          </w:p>
        </w:tc>
      </w:tr>
      <w:tr w:rsidR="006045AF" w14:paraId="470E5D5B" w14:textId="77777777" w:rsidTr="005F5E45">
        <w:trPr>
          <w:trHeight w:val="1121"/>
        </w:trPr>
        <w:tc>
          <w:tcPr>
            <w:tcW w:w="2229" w:type="dxa"/>
            <w:tcBorders>
              <w:bottom w:val="single" w:sz="4" w:space="0" w:color="787890" w:themeColor="text1" w:themeTint="99"/>
            </w:tcBorders>
            <w:shd w:val="clear" w:color="auto" w:fill="auto"/>
          </w:tcPr>
          <w:p w14:paraId="50C0925A" w14:textId="36A50C78" w:rsidR="006045AF" w:rsidRPr="005F5E45" w:rsidRDefault="006045A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IT infrastructure is unreliable and prone to error</w:t>
            </w:r>
          </w:p>
        </w:tc>
        <w:tc>
          <w:tcPr>
            <w:tcW w:w="3487" w:type="dxa"/>
            <w:tcBorders>
              <w:bottom w:val="single" w:sz="4" w:space="0" w:color="787890" w:themeColor="text1" w:themeTint="99"/>
            </w:tcBorders>
            <w:shd w:val="clear" w:color="auto" w:fill="auto"/>
          </w:tcPr>
          <w:p w14:paraId="06BB5D3E" w14:textId="0DDCA245" w:rsidR="006045AF" w:rsidRPr="005F5E45" w:rsidRDefault="006045A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Users are unable to access academic content.</w:t>
            </w:r>
          </w:p>
        </w:tc>
        <w:tc>
          <w:tcPr>
            <w:tcW w:w="3487" w:type="dxa"/>
            <w:tcBorders>
              <w:bottom w:val="single" w:sz="4" w:space="0" w:color="787890" w:themeColor="text1" w:themeTint="99"/>
            </w:tcBorders>
            <w:shd w:val="clear" w:color="auto" w:fill="auto"/>
          </w:tcPr>
          <w:p w14:paraId="34554A41" w14:textId="0C3E33D9" w:rsidR="006045AF" w:rsidRPr="005F5E45" w:rsidRDefault="006045A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Utilising extensive existing platforms, and consultation with the DTA.</w:t>
            </w:r>
          </w:p>
        </w:tc>
      </w:tr>
      <w:tr w:rsidR="006045AF" w14:paraId="274F5C26" w14:textId="77777777" w:rsidTr="005F5E45">
        <w:trPr>
          <w:trHeight w:val="822"/>
        </w:trPr>
        <w:tc>
          <w:tcPr>
            <w:tcW w:w="2229" w:type="dxa"/>
            <w:tcBorders>
              <w:top w:val="single" w:sz="4" w:space="0" w:color="787890" w:themeColor="text1" w:themeTint="99"/>
              <w:bottom w:val="single" w:sz="4" w:space="0" w:color="787890" w:themeColor="text1" w:themeTint="99"/>
            </w:tcBorders>
            <w:shd w:val="clear" w:color="auto" w:fill="auto"/>
          </w:tcPr>
          <w:p w14:paraId="5235A2CB" w14:textId="01B03242" w:rsidR="006045AF" w:rsidRPr="005F5E45" w:rsidRDefault="006045AF" w:rsidP="005F5E45">
            <w:pPr>
              <w:pStyle w:val="EYBodytextwithparaspace"/>
              <w:spacing w:before="40" w:after="40" w:line="240" w:lineRule="auto"/>
              <w:rPr>
                <w:rFonts w:ascii="EYInterstate Light" w:hAnsi="EYInterstate Light"/>
                <w:color w:val="auto"/>
                <w:sz w:val="18"/>
                <w:szCs w:val="18"/>
              </w:rPr>
            </w:pPr>
            <w:r w:rsidRPr="005F5E45">
              <w:rPr>
                <w:rFonts w:ascii="EYInterstate Light" w:hAnsi="EYInterstate Light"/>
                <w:color w:val="auto"/>
                <w:sz w:val="18"/>
                <w:szCs w:val="18"/>
              </w:rPr>
              <w:t>Academic leakage/ free riding</w:t>
            </w:r>
          </w:p>
        </w:tc>
        <w:tc>
          <w:tcPr>
            <w:tcW w:w="3487" w:type="dxa"/>
            <w:tcBorders>
              <w:top w:val="single" w:sz="4" w:space="0" w:color="787890" w:themeColor="text1" w:themeTint="99"/>
              <w:bottom w:val="single" w:sz="4" w:space="0" w:color="787890" w:themeColor="text1" w:themeTint="99"/>
            </w:tcBorders>
            <w:shd w:val="clear" w:color="auto" w:fill="auto"/>
          </w:tcPr>
          <w:p w14:paraId="6EB31AA3" w14:textId="3B28B969" w:rsidR="006045AF" w:rsidRPr="005F5E45" w:rsidRDefault="006045AF" w:rsidP="005F5E45">
            <w:pPr>
              <w:pStyle w:val="EYBodytextwithparaspace"/>
              <w:spacing w:before="40" w:after="40" w:line="240" w:lineRule="auto"/>
              <w:rPr>
                <w:rFonts w:ascii="EYInterstate Light" w:hAnsi="EYInterstate Light"/>
                <w:color w:val="auto"/>
                <w:sz w:val="18"/>
                <w:szCs w:val="18"/>
              </w:rPr>
            </w:pPr>
            <w:r w:rsidRPr="005F5E45">
              <w:rPr>
                <w:rFonts w:ascii="EYInterstate Light" w:hAnsi="EYInterstate Light"/>
                <w:color w:val="auto"/>
                <w:sz w:val="18"/>
                <w:szCs w:val="18"/>
              </w:rPr>
              <w:t xml:space="preserve">Larger publishers pull out of agreements and walk away </w:t>
            </w:r>
            <w:r w:rsidR="00952D41" w:rsidRPr="005F5E45">
              <w:rPr>
                <w:rFonts w:ascii="EYInterstate Light" w:hAnsi="EYInterstate Light"/>
                <w:color w:val="auto"/>
                <w:sz w:val="18"/>
                <w:szCs w:val="18"/>
              </w:rPr>
              <w:t>from</w:t>
            </w:r>
            <w:r w:rsidRPr="005F5E45">
              <w:rPr>
                <w:rFonts w:ascii="EYInterstate Light" w:hAnsi="EYInterstate Light"/>
                <w:color w:val="auto"/>
                <w:sz w:val="18"/>
                <w:szCs w:val="18"/>
              </w:rPr>
              <w:t xml:space="preserve"> the </w:t>
            </w:r>
            <w:r w:rsidR="00112685" w:rsidRPr="005F5E45">
              <w:rPr>
                <w:rFonts w:ascii="EYInterstate Light" w:hAnsi="EYInterstate Light"/>
                <w:color w:val="auto"/>
                <w:sz w:val="18"/>
                <w:szCs w:val="18"/>
              </w:rPr>
              <w:t>scheme</w:t>
            </w:r>
            <w:r w:rsidRPr="005F5E45">
              <w:rPr>
                <w:rFonts w:ascii="EYInterstate Light" w:hAnsi="EYInterstate Light"/>
                <w:color w:val="auto"/>
                <w:sz w:val="18"/>
                <w:szCs w:val="18"/>
              </w:rPr>
              <w:t>.</w:t>
            </w:r>
          </w:p>
        </w:tc>
        <w:tc>
          <w:tcPr>
            <w:tcW w:w="3487" w:type="dxa"/>
            <w:tcBorders>
              <w:top w:val="single" w:sz="4" w:space="0" w:color="787890" w:themeColor="text1" w:themeTint="99"/>
              <w:bottom w:val="single" w:sz="4" w:space="0" w:color="787890" w:themeColor="text1" w:themeTint="99"/>
            </w:tcBorders>
            <w:shd w:val="clear" w:color="auto" w:fill="auto"/>
          </w:tcPr>
          <w:p w14:paraId="0F8CCADE" w14:textId="007C8A82" w:rsidR="006045AF" w:rsidRPr="005F5E45" w:rsidRDefault="006045AF" w:rsidP="005F5E45">
            <w:pPr>
              <w:pStyle w:val="EYBodytextwithparaspace"/>
              <w:spacing w:before="40" w:after="40" w:line="240" w:lineRule="auto"/>
              <w:rPr>
                <w:rFonts w:ascii="EYInterstate Light" w:hAnsi="EYInterstate Light"/>
                <w:sz w:val="18"/>
                <w:szCs w:val="18"/>
              </w:rPr>
            </w:pPr>
            <w:r w:rsidRPr="005F5E45">
              <w:rPr>
                <w:rFonts w:ascii="EYInterstate Light" w:hAnsi="EYInterstate Light"/>
                <w:sz w:val="18"/>
                <w:szCs w:val="18"/>
              </w:rPr>
              <w:t>Strong user access management process to identify Australian from non</w:t>
            </w:r>
            <w:r w:rsidR="00952D41" w:rsidRPr="005F5E45">
              <w:rPr>
                <w:rFonts w:ascii="EYInterstate Light" w:hAnsi="EYInterstate Light"/>
                <w:sz w:val="18"/>
                <w:szCs w:val="18"/>
              </w:rPr>
              <w:t>-</w:t>
            </w:r>
            <w:r w:rsidRPr="005F5E45">
              <w:rPr>
                <w:rFonts w:ascii="EYInterstate Light" w:hAnsi="EYInterstate Light"/>
                <w:sz w:val="18"/>
                <w:szCs w:val="18"/>
              </w:rPr>
              <w:t>Australian users.</w:t>
            </w:r>
          </w:p>
        </w:tc>
      </w:tr>
    </w:tbl>
    <w:p w14:paraId="2AC028BB" w14:textId="77777777" w:rsidR="00923DF6" w:rsidRDefault="00923DF6" w:rsidP="00A577AC">
      <w:pPr>
        <w:pStyle w:val="EYBodytextwithparaspace"/>
      </w:pPr>
    </w:p>
    <w:p w14:paraId="5D4885D2" w14:textId="77777777" w:rsidR="00923DF6" w:rsidRDefault="00923DF6" w:rsidP="00A577AC">
      <w:pPr>
        <w:pStyle w:val="EYBodytextwithparaspace"/>
      </w:pPr>
    </w:p>
    <w:p w14:paraId="112CC70F" w14:textId="77777777" w:rsidR="00923DF6" w:rsidRDefault="00923DF6" w:rsidP="00A577AC">
      <w:pPr>
        <w:pStyle w:val="EYBodytextwithparaspace"/>
        <w:sectPr w:rsidR="00923DF6" w:rsidSect="006045AF">
          <w:pgSz w:w="11909" w:h="16834" w:code="9"/>
          <w:pgMar w:top="1440" w:right="1440" w:bottom="1440" w:left="1440" w:header="720" w:footer="720" w:gutter="0"/>
          <w:cols w:space="720"/>
          <w:docGrid w:linePitch="360"/>
        </w:sectPr>
      </w:pPr>
    </w:p>
    <w:p w14:paraId="49228874" w14:textId="6965AC25" w:rsidR="001F3EEC" w:rsidRDefault="001F3EEC" w:rsidP="001F3EEC">
      <w:pPr>
        <w:pStyle w:val="EYHeading1"/>
      </w:pPr>
      <w:bookmarkStart w:id="72" w:name="_Toc115717097"/>
      <w:r>
        <w:lastRenderedPageBreak/>
        <w:t>Alternative open access models</w:t>
      </w:r>
      <w:bookmarkEnd w:id="72"/>
    </w:p>
    <w:p w14:paraId="2797752C" w14:textId="2D0CF21B" w:rsidR="000E2C05" w:rsidRPr="00AC14B5" w:rsidRDefault="002F15CA" w:rsidP="00AC14B5">
      <w:pPr>
        <w:pStyle w:val="EYLeader"/>
      </w:pPr>
      <w:r w:rsidRPr="00AC14B5">
        <w:t>Tw</w:t>
      </w:r>
      <w:r w:rsidR="000E2C05" w:rsidRPr="00AC14B5">
        <w:t xml:space="preserve">o alternative </w:t>
      </w:r>
      <w:r w:rsidR="00881727" w:rsidRPr="00AC14B5">
        <w:t xml:space="preserve">open access </w:t>
      </w:r>
      <w:r w:rsidR="000E2C05" w:rsidRPr="00AC14B5">
        <w:t>models</w:t>
      </w:r>
      <w:r w:rsidRPr="00AC14B5">
        <w:t>,</w:t>
      </w:r>
      <w:r w:rsidR="000E2C05" w:rsidRPr="00AC14B5">
        <w:t xml:space="preserve"> </w:t>
      </w:r>
      <w:r w:rsidR="00220CDE" w:rsidRPr="00AC14B5">
        <w:t>funding mandates and repository</w:t>
      </w:r>
      <w:r w:rsidR="00C02828" w:rsidRPr="00AC14B5">
        <w:t>-</w:t>
      </w:r>
      <w:r w:rsidR="00220CDE" w:rsidRPr="00AC14B5">
        <w:t>based open access</w:t>
      </w:r>
      <w:r w:rsidRPr="00AC14B5">
        <w:t>, are</w:t>
      </w:r>
      <w:r w:rsidR="00220CDE" w:rsidRPr="00AC14B5">
        <w:t xml:space="preserve"> </w:t>
      </w:r>
      <w:r w:rsidR="00DF22FC" w:rsidRPr="00AC14B5">
        <w:t>examined</w:t>
      </w:r>
      <w:r w:rsidR="00220CDE" w:rsidRPr="00AC14B5">
        <w:t xml:space="preserve"> in this briefing paper. Both </w:t>
      </w:r>
      <w:r w:rsidR="00DF22FC" w:rsidRPr="00AC14B5">
        <w:t>alternatives</w:t>
      </w:r>
      <w:r w:rsidR="00220CDE" w:rsidRPr="00AC14B5">
        <w:t xml:space="preserve"> </w:t>
      </w:r>
      <w:r w:rsidR="00BE2CB0" w:rsidRPr="00AC14B5">
        <w:t xml:space="preserve">are considered </w:t>
      </w:r>
      <w:r w:rsidR="00453666" w:rsidRPr="00AC14B5">
        <w:t xml:space="preserve">viable but less effective </w:t>
      </w:r>
      <w:r w:rsidR="00633B80" w:rsidRPr="00AC14B5">
        <w:t>compared to the preferred model.</w:t>
      </w:r>
    </w:p>
    <w:p w14:paraId="3B8A6EB5" w14:textId="5F13BACA" w:rsidR="00752B4D" w:rsidRDefault="002E53F8" w:rsidP="00752B4D">
      <w:pPr>
        <w:pStyle w:val="EYBodytextwithoutparaspace"/>
      </w:pPr>
      <w:r>
        <w:t>T</w:t>
      </w:r>
      <w:r w:rsidR="00752B4D">
        <w:t xml:space="preserve">wo alternative models </w:t>
      </w:r>
      <w:r>
        <w:t xml:space="preserve">— </w:t>
      </w:r>
      <w:r w:rsidR="00752B4D">
        <w:t xml:space="preserve">funding mandates and repository-based open access </w:t>
      </w:r>
      <w:r>
        <w:t>—</w:t>
      </w:r>
      <w:r w:rsidR="00752B4D">
        <w:t xml:space="preserve"> were considered</w:t>
      </w:r>
      <w:r>
        <w:t xml:space="preserve"> in this briefing paper</w:t>
      </w:r>
      <w:r w:rsidR="00752B4D">
        <w:t xml:space="preserve">. Appendix </w:t>
      </w:r>
      <w:r w:rsidR="00E429D0">
        <w:t>A</w:t>
      </w:r>
      <w:r w:rsidR="00752B4D">
        <w:t xml:space="preserve"> details the multi-criteria analysis and the underpinning framework for assessing each </w:t>
      </w:r>
      <w:r w:rsidR="009610D4">
        <w:t xml:space="preserve">open access </w:t>
      </w:r>
      <w:r w:rsidR="00752B4D">
        <w:t xml:space="preserve">model. These models represent different pathways for a nationally consistent approach toward open access. However, all models (central implementation body, funding mandates, repository-based open access) </w:t>
      </w:r>
      <w:r w:rsidR="00AC19FC">
        <w:t xml:space="preserve">are not mutually exclusive and </w:t>
      </w:r>
      <w:r w:rsidR="00752B4D">
        <w:t>could be pursued simultaneously as part of a broader open access ecosystem approach.</w:t>
      </w:r>
    </w:p>
    <w:p w14:paraId="3FFDED75" w14:textId="48C5EE2B" w:rsidR="00752B4D" w:rsidRDefault="00752B4D" w:rsidP="00752B4D">
      <w:pPr>
        <w:pStyle w:val="EYBodytextwithoutparaspace"/>
      </w:pPr>
      <w:r>
        <w:t>This chapter outlines the other two models and provides a high-level overview of how each approach could be designed and indicative costs.</w:t>
      </w:r>
    </w:p>
    <w:p w14:paraId="4C4B2F3A" w14:textId="76FC89BE" w:rsidR="001F3EEC" w:rsidRPr="00EE69D7" w:rsidRDefault="00D76849" w:rsidP="00E6204F">
      <w:pPr>
        <w:pStyle w:val="EYHeading2"/>
      </w:pPr>
      <w:bookmarkStart w:id="73" w:name="_Toc115717098"/>
      <w:r>
        <w:t>Funding mandates</w:t>
      </w:r>
      <w:bookmarkEnd w:id="73"/>
    </w:p>
    <w:p w14:paraId="756A9A1C" w14:textId="2665A3F9" w:rsidR="00C10DE7" w:rsidRDefault="00C10DE7" w:rsidP="00C10DE7">
      <w:pPr>
        <w:pStyle w:val="EYBodytextwithoutparaspace"/>
      </w:pPr>
      <w:r>
        <w:t xml:space="preserve">Under this model, the Australian </w:t>
      </w:r>
      <w:r w:rsidR="001D1A78">
        <w:t>G</w:t>
      </w:r>
      <w:r>
        <w:t xml:space="preserve">overnment implements a policy which mandates, that as a condition of receiving public funding, all resulting journal articles are </w:t>
      </w:r>
      <w:r w:rsidR="00E047EA">
        <w:t xml:space="preserve">to be </w:t>
      </w:r>
      <w:r>
        <w:t xml:space="preserve">published </w:t>
      </w:r>
      <w:r w:rsidR="00E047EA">
        <w:t>in</w:t>
      </w:r>
      <w:r>
        <w:t xml:space="preserve"> open access journals, on open access platforms, or made immediately available through an open access repository without an embargo period.</w:t>
      </w:r>
    </w:p>
    <w:p w14:paraId="7CEA05BA" w14:textId="6C4FDB78" w:rsidR="00D376A0" w:rsidRPr="00E8029E" w:rsidRDefault="00C10DE7" w:rsidP="00C10DE7">
      <w:pPr>
        <w:pStyle w:val="EYBodytextwithoutparaspace"/>
      </w:pPr>
      <w:r>
        <w:t>Examples of this model include the new US open access announcement and the ARC and NHMRC open access policies. Currently, the</w:t>
      </w:r>
      <w:r w:rsidR="0038661B">
        <w:t>se three examples</w:t>
      </w:r>
      <w:r>
        <w:t xml:space="preserve"> allow a 12-month embargo period before the final version of the journal article is to be made open access. To comply with funders’ policies, authors deposit the article</w:t>
      </w:r>
      <w:r w:rsidR="004F5B44">
        <w:t>’</w:t>
      </w:r>
      <w:r>
        <w:t xml:space="preserve">s final version within an institutional repository. The NHMRC and the US </w:t>
      </w:r>
      <w:r w:rsidR="00907560">
        <w:t>funding mandate models are</w:t>
      </w:r>
      <w:r>
        <w:t xml:space="preserve"> changing </w:t>
      </w:r>
      <w:r w:rsidR="003014E0">
        <w:t xml:space="preserve">their </w:t>
      </w:r>
      <w:r>
        <w:t>policy stance and will now require final versions of articles to be made open access immediately on publication in the near term.</w:t>
      </w:r>
    </w:p>
    <w:p w14:paraId="1AD77DAD" w14:textId="3279C084" w:rsidR="0068767B" w:rsidRDefault="00221950" w:rsidP="005F5E45">
      <w:pPr>
        <w:pStyle w:val="EYBodytextwithparaspace"/>
        <w:spacing w:after="240"/>
      </w:pPr>
      <w:r w:rsidRPr="00221950">
        <w:t xml:space="preserve">A diagram of the model is </w:t>
      </w:r>
      <w:r w:rsidR="005F5E45">
        <w:t xml:space="preserve">shown </w:t>
      </w:r>
      <w:r w:rsidR="004F5B44">
        <w:t xml:space="preserve">in </w:t>
      </w:r>
      <w:r w:rsidR="005F5E45">
        <w:fldChar w:fldCharType="begin"/>
      </w:r>
      <w:r w:rsidR="005F5E45">
        <w:instrText xml:space="preserve"> REF _Ref115695912 \h </w:instrText>
      </w:r>
      <w:r w:rsidR="005F5E45">
        <w:fldChar w:fldCharType="separate"/>
      </w:r>
      <w:r w:rsidR="008112E6">
        <w:t xml:space="preserve">Figure </w:t>
      </w:r>
      <w:r w:rsidR="008112E6">
        <w:rPr>
          <w:noProof/>
        </w:rPr>
        <w:t>28</w:t>
      </w:r>
      <w:r w:rsidR="005F5E45">
        <w:fldChar w:fldCharType="end"/>
      </w:r>
      <w:r w:rsidR="004F5B44">
        <w:t>.</w:t>
      </w:r>
    </w:p>
    <w:p w14:paraId="483A7DAA" w14:textId="62B8B5BA" w:rsidR="005F5E45" w:rsidRDefault="005F5E45" w:rsidP="005F5E45">
      <w:pPr>
        <w:pStyle w:val="Caption"/>
        <w:keepNext/>
      </w:pPr>
      <w:bookmarkStart w:id="74" w:name="_Ref115695912"/>
      <w:r>
        <w:t xml:space="preserve">Figure </w:t>
      </w:r>
      <w:r>
        <w:fldChar w:fldCharType="begin"/>
      </w:r>
      <w:r>
        <w:instrText xml:space="preserve"> SEQ Figure \* ARABIC </w:instrText>
      </w:r>
      <w:r>
        <w:fldChar w:fldCharType="separate"/>
      </w:r>
      <w:r w:rsidR="008112E6">
        <w:rPr>
          <w:noProof/>
        </w:rPr>
        <w:t>28</w:t>
      </w:r>
      <w:r>
        <w:fldChar w:fldCharType="end"/>
      </w:r>
      <w:bookmarkEnd w:id="74"/>
      <w:r>
        <w:t xml:space="preserve">: </w:t>
      </w:r>
      <w:r w:rsidRPr="00C975CA">
        <w:t>Funding mandate model</w:t>
      </w:r>
    </w:p>
    <w:p w14:paraId="73007478" w14:textId="4E3714C4" w:rsidR="00B27443" w:rsidRPr="00221950" w:rsidRDefault="009E582A" w:rsidP="00A577AC">
      <w:pPr>
        <w:pStyle w:val="EYBodytextwithparaspace"/>
      </w:pPr>
      <w:r w:rsidRPr="009E582A">
        <w:rPr>
          <w:noProof/>
        </w:rPr>
        <w:drawing>
          <wp:inline distT="0" distB="0" distL="0" distR="0" wp14:anchorId="23082D1F" wp14:editId="23DA2667">
            <wp:extent cx="4702629" cy="2626576"/>
            <wp:effectExtent l="0" t="0" r="3175" b="2540"/>
            <wp:docPr id="702" name="Picture 702" descr="The figure is a diagram of the model described above in sectio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702" descr="The figure is a diagram of the model described above in section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11737" cy="2631663"/>
                    </a:xfrm>
                    <a:prstGeom prst="rect">
                      <a:avLst/>
                    </a:prstGeom>
                    <a:noFill/>
                    <a:ln>
                      <a:noFill/>
                    </a:ln>
                  </pic:spPr>
                </pic:pic>
              </a:graphicData>
            </a:graphic>
          </wp:inline>
        </w:drawing>
      </w:r>
    </w:p>
    <w:p w14:paraId="51A46DFC" w14:textId="621F0FE4" w:rsidR="004021DA" w:rsidRDefault="004021DA" w:rsidP="004021DA">
      <w:pPr>
        <w:pStyle w:val="Caption"/>
      </w:pPr>
      <w:r>
        <w:t>Source: EY</w:t>
      </w:r>
    </w:p>
    <w:p w14:paraId="39151938" w14:textId="77777777" w:rsidR="005F5E45" w:rsidRDefault="005F5E45">
      <w:pPr>
        <w:autoSpaceDE/>
        <w:autoSpaceDN/>
        <w:adjustRightInd/>
      </w:pPr>
      <w:r>
        <w:br w:type="page"/>
      </w:r>
    </w:p>
    <w:p w14:paraId="2AD2BC21" w14:textId="7A30B177" w:rsidR="00E14BE6" w:rsidRPr="009B0110" w:rsidRDefault="00336FEF" w:rsidP="00B90517">
      <w:pPr>
        <w:pStyle w:val="EYBodytextwithoutparaspace"/>
        <w:spacing w:before="240"/>
      </w:pPr>
      <w:r>
        <w:lastRenderedPageBreak/>
        <w:t>A</w:t>
      </w:r>
      <w:r w:rsidR="00BD0737" w:rsidRPr="009B0110">
        <w:t xml:space="preserve"> national approach to funding mandates could have the following </w:t>
      </w:r>
      <w:r>
        <w:t>features</w:t>
      </w:r>
      <w:r w:rsidR="009B0110" w:rsidRPr="009B0110">
        <w:t>:</w:t>
      </w:r>
    </w:p>
    <w:p w14:paraId="00AC4B82" w14:textId="44F4555C" w:rsidR="00AC1AFD" w:rsidRPr="00AC1AFD" w:rsidRDefault="00F52EC7" w:rsidP="001B3F8C">
      <w:pPr>
        <w:pStyle w:val="EYBulletnoparaspace"/>
        <w:ind w:left="426"/>
      </w:pPr>
      <w:r>
        <w:t xml:space="preserve">All </w:t>
      </w:r>
      <w:r w:rsidR="00F4755E">
        <w:t xml:space="preserve">peer reviewed journal </w:t>
      </w:r>
      <w:r>
        <w:t xml:space="preserve">publications </w:t>
      </w:r>
      <w:r w:rsidR="00FA4D26">
        <w:t xml:space="preserve">produced </w:t>
      </w:r>
      <w:r w:rsidR="00C46472">
        <w:t>from</w:t>
      </w:r>
      <w:r>
        <w:t xml:space="preserve"> taxpayer funded research </w:t>
      </w:r>
      <w:r w:rsidR="00527374">
        <w:t>would be</w:t>
      </w:r>
      <w:r>
        <w:t xml:space="preserve"> </w:t>
      </w:r>
      <w:r w:rsidR="00FA4D26">
        <w:t xml:space="preserve">available </w:t>
      </w:r>
      <w:r w:rsidR="000F7D7E">
        <w:t>as open access</w:t>
      </w:r>
      <w:r w:rsidR="00FA4D26">
        <w:t xml:space="preserve"> without an embargo period</w:t>
      </w:r>
      <w:r w:rsidR="000F7D7E">
        <w:t>, whether by gold, hybrid, or green open access pathways.</w:t>
      </w:r>
    </w:p>
    <w:p w14:paraId="376646CA" w14:textId="5E19CD3E" w:rsidR="00E44979" w:rsidRDefault="00FA4D26" w:rsidP="001B3F8C">
      <w:pPr>
        <w:pStyle w:val="EYBulletnoparaspace"/>
        <w:ind w:left="426"/>
      </w:pPr>
      <w:r>
        <w:t>Government agencies</w:t>
      </w:r>
      <w:r w:rsidR="00555C7C">
        <w:t>,</w:t>
      </w:r>
      <w:r>
        <w:t xml:space="preserve"> </w:t>
      </w:r>
      <w:r w:rsidR="00C87680">
        <w:t xml:space="preserve">and </w:t>
      </w:r>
      <w:r w:rsidR="00555C7C">
        <w:t>organisation</w:t>
      </w:r>
      <w:r w:rsidR="00DF3EDD">
        <w:t>s</w:t>
      </w:r>
      <w:r w:rsidR="00555C7C">
        <w:t xml:space="preserve"> which receive </w:t>
      </w:r>
      <w:r w:rsidR="00DF3EDD">
        <w:t xml:space="preserve">and administer </w:t>
      </w:r>
      <w:r w:rsidR="00555C7C">
        <w:t xml:space="preserve">government funding </w:t>
      </w:r>
      <w:r w:rsidR="00DF3EDD">
        <w:t xml:space="preserve">for research </w:t>
      </w:r>
      <w:r w:rsidR="00555C7C">
        <w:t xml:space="preserve">must have an open access policy which aligns with the principles </w:t>
      </w:r>
      <w:r w:rsidR="00E44979">
        <w:t xml:space="preserve">of Australia’s </w:t>
      </w:r>
      <w:r w:rsidR="00585A78">
        <w:t>Open Access Mandate to continue to receive funding.</w:t>
      </w:r>
    </w:p>
    <w:p w14:paraId="150E2AD9" w14:textId="4478B529" w:rsidR="00BB5252" w:rsidRPr="00BB5252" w:rsidRDefault="00A44D0C" w:rsidP="001B3F8C">
      <w:pPr>
        <w:pStyle w:val="EYBulletnoparaspace"/>
        <w:ind w:left="426"/>
      </w:pPr>
      <w:r>
        <w:t xml:space="preserve">There is an allowance for APC costs within </w:t>
      </w:r>
      <w:r w:rsidR="00CD689B">
        <w:t>government</w:t>
      </w:r>
      <w:r w:rsidR="00B25B6C">
        <w:t xml:space="preserve"> research grants</w:t>
      </w:r>
      <w:r w:rsidR="0055281D">
        <w:t>.</w:t>
      </w:r>
    </w:p>
    <w:p w14:paraId="19C2AA0B" w14:textId="4982BA47" w:rsidR="007A5B11" w:rsidRDefault="003E7ED8" w:rsidP="001B3F8C">
      <w:pPr>
        <w:pStyle w:val="EYBulletnoparaspace"/>
        <w:ind w:left="426"/>
      </w:pPr>
      <w:r>
        <w:t>A</w:t>
      </w:r>
      <w:r w:rsidR="0033672A">
        <w:t xml:space="preserve"> central body </w:t>
      </w:r>
      <w:r w:rsidR="000D1D2E" w:rsidRPr="000D1D2E">
        <w:t xml:space="preserve">to coordinate with government departments, government funded organisations and universities to ensure compliance with Australia’s </w:t>
      </w:r>
      <w:r w:rsidR="001967DC">
        <w:t>o</w:t>
      </w:r>
      <w:r w:rsidR="000D1D2E" w:rsidRPr="000D1D2E">
        <w:t xml:space="preserve">pen </w:t>
      </w:r>
      <w:r w:rsidR="001967DC">
        <w:t>a</w:t>
      </w:r>
      <w:r w:rsidR="000D1D2E" w:rsidRPr="000D1D2E">
        <w:t xml:space="preserve">ccess </w:t>
      </w:r>
      <w:r w:rsidR="001967DC">
        <w:t>m</w:t>
      </w:r>
      <w:r w:rsidR="000D1D2E" w:rsidRPr="000D1D2E">
        <w:t>andate.</w:t>
      </w:r>
    </w:p>
    <w:p w14:paraId="34491329" w14:textId="0EC5BBFC" w:rsidR="00C811C8" w:rsidRPr="00A226DA" w:rsidRDefault="00C811C8" w:rsidP="00A226DA">
      <w:pPr>
        <w:pStyle w:val="EYBodytextwithoutparaspace"/>
      </w:pPr>
      <w:r w:rsidRPr="00A226DA">
        <w:t xml:space="preserve">The funding mandate model could be delivered in line with other international approaches, like the European-led plan S approach. Delivering the funding mandate model would likely </w:t>
      </w:r>
      <w:r w:rsidR="00C859EF" w:rsidRPr="00A226DA">
        <w:t>require</w:t>
      </w:r>
      <w:r w:rsidRPr="00A226DA">
        <w:t xml:space="preserve"> a central program office coordinating with Australian research funders to deliver consistent funding mandates. As noted above, this model is already being implemented by ARC and NHMRC, and a nationally consistent approach should adopt critical principles from each of these policies.</w:t>
      </w:r>
    </w:p>
    <w:p w14:paraId="7270D53F" w14:textId="1765FD3B" w:rsidR="00C811C8" w:rsidRPr="00A226DA" w:rsidRDefault="00C811C8" w:rsidP="00A226DA">
      <w:pPr>
        <w:pStyle w:val="EYBodytextwithoutparaspace"/>
      </w:pPr>
      <w:r w:rsidRPr="00A226DA">
        <w:t xml:space="preserve">This model's key point of success is encouraging the wider university and research sector to implement open access policies to enable all Australian-led research to be published on an open access platform (gold, hybrid and green). This could involve key </w:t>
      </w:r>
      <w:r w:rsidR="00C219DC" w:rsidRPr="00A226DA">
        <w:t>g</w:t>
      </w:r>
      <w:r w:rsidRPr="00A226DA">
        <w:t>overnment and university stakeholders working together to drive broader open access reform.</w:t>
      </w:r>
      <w:r w:rsidR="007342D1" w:rsidRPr="00A226DA">
        <w:t xml:space="preserve"> This approach would involve relative</w:t>
      </w:r>
      <w:r w:rsidR="00AB69FE" w:rsidRPr="00A226DA">
        <w:t xml:space="preserve">ly </w:t>
      </w:r>
      <w:r w:rsidR="002369F6" w:rsidRPr="00A226DA">
        <w:t xml:space="preserve">minimal costs and risks for government. It could also be adopted as a complement </w:t>
      </w:r>
      <w:r w:rsidR="00D56CE1" w:rsidRPr="00A226DA">
        <w:t xml:space="preserve">to a </w:t>
      </w:r>
      <w:r w:rsidR="003020B4" w:rsidRPr="00A226DA">
        <w:t>central implemen</w:t>
      </w:r>
      <w:r w:rsidR="00B24AF6" w:rsidRPr="00A226DA">
        <w:t>tal body model.</w:t>
      </w:r>
    </w:p>
    <w:p w14:paraId="39447372" w14:textId="6A3AF76E" w:rsidR="00A55243" w:rsidRDefault="00CF30C8" w:rsidP="00DD7EC3">
      <w:pPr>
        <w:pStyle w:val="EYBodytextwithoutparaspace"/>
      </w:pPr>
      <w:r>
        <w:t>The below</w:t>
      </w:r>
      <w:r w:rsidR="00DD7EC3">
        <w:t xml:space="preserve"> points outline potential mandates that could be considered by </w:t>
      </w:r>
      <w:r w:rsidR="00E216C6">
        <w:t>g</w:t>
      </w:r>
      <w:r w:rsidR="00DD7EC3">
        <w:t xml:space="preserve">overnment to drive a national approach toward open access. The mandates below are consistent with </w:t>
      </w:r>
      <w:r w:rsidR="00014AB5">
        <w:t>P</w:t>
      </w:r>
      <w:r w:rsidR="00DD7EC3">
        <w:t>lan S.</w:t>
      </w:r>
      <w:r w:rsidR="00014AB5">
        <w:rPr>
          <w:rStyle w:val="FootnoteReference"/>
        </w:rPr>
        <w:footnoteReference w:id="34"/>
      </w:r>
    </w:p>
    <w:p w14:paraId="5E7F7E2A" w14:textId="0EB6DC13" w:rsidR="00432ECF" w:rsidRPr="00EE69D7" w:rsidRDefault="00432ECF" w:rsidP="001B3F8C">
      <w:pPr>
        <w:pStyle w:val="EYBulletnoparaspace"/>
        <w:numPr>
          <w:ilvl w:val="0"/>
          <w:numId w:val="46"/>
        </w:numPr>
        <w:ind w:left="426"/>
      </w:pPr>
      <w:r w:rsidRPr="00EE69D7">
        <w:t>Authors or their institutions retain copyright to their publications. All publications must be published under an open license, preferably the Creative Commons Attribution license (CC BY), to fulfil the requirements defined by the Berlin Declaration</w:t>
      </w:r>
      <w:r>
        <w:t>.</w:t>
      </w:r>
    </w:p>
    <w:p w14:paraId="5C17F9F8" w14:textId="2BFA7E24" w:rsidR="00432ECF" w:rsidRPr="00EE69D7" w:rsidRDefault="00432ECF" w:rsidP="001B3F8C">
      <w:pPr>
        <w:pStyle w:val="EYBulletnoparaspace"/>
        <w:numPr>
          <w:ilvl w:val="0"/>
          <w:numId w:val="46"/>
        </w:numPr>
        <w:ind w:left="426"/>
      </w:pPr>
      <w:r w:rsidRPr="00EE69D7">
        <w:t xml:space="preserve">The </w:t>
      </w:r>
      <w:r w:rsidR="00AB3B59">
        <w:t>f</w:t>
      </w:r>
      <w:r w:rsidRPr="00EE69D7">
        <w:t xml:space="preserve">unders will develop robust criteria and requirements for the services that high-quality </w:t>
      </w:r>
      <w:r w:rsidR="00AB3B59">
        <w:t>o</w:t>
      </w:r>
      <w:r w:rsidRPr="00EE69D7">
        <w:t xml:space="preserve">pen </w:t>
      </w:r>
      <w:r w:rsidR="00AB3B59">
        <w:t>a</w:t>
      </w:r>
      <w:r w:rsidRPr="00EE69D7">
        <w:t xml:space="preserve">ccess journals, </w:t>
      </w:r>
      <w:r w:rsidR="0047093A">
        <w:t>o</w:t>
      </w:r>
      <w:r w:rsidRPr="00EE69D7">
        <w:t xml:space="preserve">pen </w:t>
      </w:r>
      <w:r w:rsidR="00AB3B59">
        <w:t>a</w:t>
      </w:r>
      <w:r w:rsidRPr="00EE69D7">
        <w:t xml:space="preserve">ccess platforms, and </w:t>
      </w:r>
      <w:r w:rsidR="0047093A">
        <w:t>o</w:t>
      </w:r>
      <w:r w:rsidRPr="00EE69D7">
        <w:t xml:space="preserve">pen </w:t>
      </w:r>
      <w:r w:rsidR="0047093A">
        <w:t>a</w:t>
      </w:r>
      <w:r w:rsidRPr="00EE69D7">
        <w:t>ccess repositories must provide</w:t>
      </w:r>
      <w:r>
        <w:t>.</w:t>
      </w:r>
    </w:p>
    <w:p w14:paraId="1EDD860C" w14:textId="4DD22502" w:rsidR="00432ECF" w:rsidRPr="00EE69D7" w:rsidRDefault="00432ECF" w:rsidP="001B3F8C">
      <w:pPr>
        <w:pStyle w:val="EYBulletnoparaspace"/>
        <w:numPr>
          <w:ilvl w:val="0"/>
          <w:numId w:val="46"/>
        </w:numPr>
        <w:ind w:left="426"/>
      </w:pPr>
      <w:r w:rsidRPr="00EE69D7">
        <w:t xml:space="preserve">In cases where high-quality </w:t>
      </w:r>
      <w:r w:rsidR="0047093A">
        <w:t>o</w:t>
      </w:r>
      <w:r w:rsidRPr="00EE69D7">
        <w:t xml:space="preserve">pen </w:t>
      </w:r>
      <w:r w:rsidR="0047093A">
        <w:t>a</w:t>
      </w:r>
      <w:r w:rsidRPr="00EE69D7">
        <w:t xml:space="preserve">ccess journals or platforms do not yet exist, the </w:t>
      </w:r>
      <w:r w:rsidR="00506359">
        <w:t>f</w:t>
      </w:r>
      <w:r w:rsidRPr="00EE69D7">
        <w:t xml:space="preserve">unders will, in a coordinated way, provide incentives to establish and support them when appropriate; support will also be provided for </w:t>
      </w:r>
      <w:r w:rsidR="0047093A">
        <w:t>o</w:t>
      </w:r>
      <w:r w:rsidRPr="00EE69D7">
        <w:t xml:space="preserve">pen </w:t>
      </w:r>
      <w:r w:rsidR="0047093A">
        <w:t>a</w:t>
      </w:r>
      <w:r w:rsidRPr="00EE69D7">
        <w:t>ccess infrastructures where necessary</w:t>
      </w:r>
      <w:r>
        <w:t>.</w:t>
      </w:r>
    </w:p>
    <w:p w14:paraId="336C43DD" w14:textId="52245D81" w:rsidR="00432ECF" w:rsidRPr="00EE69D7" w:rsidRDefault="00432ECF" w:rsidP="001B3F8C">
      <w:pPr>
        <w:pStyle w:val="EYBulletnoparaspace"/>
        <w:numPr>
          <w:ilvl w:val="0"/>
          <w:numId w:val="46"/>
        </w:numPr>
        <w:ind w:left="426"/>
      </w:pPr>
      <w:r w:rsidRPr="00EE69D7">
        <w:t xml:space="preserve">Where applicable, </w:t>
      </w:r>
      <w:r w:rsidR="00640587">
        <w:t>o</w:t>
      </w:r>
      <w:r w:rsidRPr="00EE69D7">
        <w:t xml:space="preserve">pen </w:t>
      </w:r>
      <w:r w:rsidR="00640587">
        <w:t>a</w:t>
      </w:r>
      <w:r w:rsidRPr="00EE69D7">
        <w:t xml:space="preserve">ccess publication fees are covered by the </w:t>
      </w:r>
      <w:r w:rsidR="00506359">
        <w:t>f</w:t>
      </w:r>
      <w:r w:rsidRPr="00EE69D7">
        <w:t xml:space="preserve">unders or research institutions, not by individual researchers; it is acknowledged that all researchers should be able to publish their work </w:t>
      </w:r>
      <w:r w:rsidR="005C4CA7">
        <w:t>o</w:t>
      </w:r>
      <w:r w:rsidRPr="00EE69D7">
        <w:t xml:space="preserve">pen </w:t>
      </w:r>
      <w:r w:rsidR="005C4CA7">
        <w:t>a</w:t>
      </w:r>
      <w:r w:rsidRPr="00EE69D7">
        <w:t>ccess</w:t>
      </w:r>
      <w:r>
        <w:t>.</w:t>
      </w:r>
    </w:p>
    <w:p w14:paraId="5B745664" w14:textId="1A6FCCAB" w:rsidR="00432ECF" w:rsidRPr="00EE69D7" w:rsidRDefault="00432ECF" w:rsidP="001B3F8C">
      <w:pPr>
        <w:pStyle w:val="EYBulletnoparaspace"/>
        <w:numPr>
          <w:ilvl w:val="0"/>
          <w:numId w:val="46"/>
        </w:numPr>
        <w:ind w:left="426"/>
      </w:pPr>
      <w:r w:rsidRPr="00EE69D7">
        <w:t xml:space="preserve">The </w:t>
      </w:r>
      <w:r w:rsidR="005C4CA7">
        <w:t>f</w:t>
      </w:r>
      <w:r w:rsidRPr="00EE69D7">
        <w:t xml:space="preserve">unders support the diversity of business models for </w:t>
      </w:r>
      <w:r w:rsidR="005C4CA7">
        <w:t>o</w:t>
      </w:r>
      <w:r w:rsidRPr="00EE69D7">
        <w:t xml:space="preserve">pen </w:t>
      </w:r>
      <w:r w:rsidR="005C4CA7">
        <w:t>a</w:t>
      </w:r>
      <w:r w:rsidRPr="00EE69D7">
        <w:t xml:space="preserve">ccess journals and platforms. When </w:t>
      </w:r>
      <w:r w:rsidR="005C4CA7">
        <w:t>o</w:t>
      </w:r>
      <w:r w:rsidRPr="00EE69D7">
        <w:t xml:space="preserve">pen </w:t>
      </w:r>
      <w:r w:rsidR="005C4CA7">
        <w:t>a</w:t>
      </w:r>
      <w:r w:rsidRPr="00EE69D7">
        <w:t>ccess publication fees are applied, they must be commensurate with the publication services delivered and the structure of such fees must be transparent to inform the market and funders potential standardisation and capping of payments of fees</w:t>
      </w:r>
      <w:r>
        <w:t>.</w:t>
      </w:r>
    </w:p>
    <w:p w14:paraId="192323C1" w14:textId="30DEF996" w:rsidR="00432ECF" w:rsidRPr="00EE69D7" w:rsidRDefault="00432ECF" w:rsidP="001B3F8C">
      <w:pPr>
        <w:pStyle w:val="EYBulletnoparaspace"/>
        <w:numPr>
          <w:ilvl w:val="0"/>
          <w:numId w:val="46"/>
        </w:numPr>
        <w:ind w:left="426"/>
      </w:pPr>
      <w:r w:rsidRPr="00EE69D7">
        <w:t xml:space="preserve">The </w:t>
      </w:r>
      <w:r w:rsidR="00446828">
        <w:t>f</w:t>
      </w:r>
      <w:r w:rsidRPr="00EE69D7">
        <w:t>unders encourage governments, universities, research organisations, libraries, academies, and learned societies to align their strategies, policies, and practices, notably to ensure transparency</w:t>
      </w:r>
      <w:r>
        <w:t>.</w:t>
      </w:r>
    </w:p>
    <w:p w14:paraId="0D1062B2" w14:textId="24375FB2" w:rsidR="00432ECF" w:rsidRPr="00EE69D7" w:rsidRDefault="00432ECF" w:rsidP="001B3F8C">
      <w:pPr>
        <w:pStyle w:val="EYBulletnoparaspace"/>
        <w:numPr>
          <w:ilvl w:val="0"/>
          <w:numId w:val="46"/>
        </w:numPr>
        <w:ind w:left="426"/>
      </w:pPr>
      <w:r w:rsidRPr="00EE69D7">
        <w:t xml:space="preserve">The </w:t>
      </w:r>
      <w:r w:rsidR="00446828">
        <w:t>f</w:t>
      </w:r>
      <w:r w:rsidRPr="00EE69D7">
        <w:t>unders will monitor compliance and sanction non-compliant beneficiaries/grantees</w:t>
      </w:r>
      <w:r>
        <w:t>.</w:t>
      </w:r>
    </w:p>
    <w:p w14:paraId="3340EE86" w14:textId="5E3AA94A" w:rsidR="00B62F22" w:rsidRPr="009E290B" w:rsidRDefault="00432ECF" w:rsidP="001B3F8C">
      <w:pPr>
        <w:pStyle w:val="EYBulletnoparaspace"/>
        <w:numPr>
          <w:ilvl w:val="0"/>
          <w:numId w:val="46"/>
        </w:numPr>
        <w:ind w:left="426"/>
      </w:pPr>
      <w:r w:rsidRPr="00EE69D7">
        <w:t xml:space="preserve">The </w:t>
      </w:r>
      <w:r w:rsidR="00446828">
        <w:t>f</w:t>
      </w:r>
      <w:r w:rsidRPr="00EE69D7">
        <w:t>unders commit that when assessing research outputs during funding decisions they will value the intrinsic merit of the work and not consider the publication channel, its impact factor (or other journal metrics), or the publisher.</w:t>
      </w:r>
    </w:p>
    <w:p w14:paraId="0110BCD6" w14:textId="689B921A" w:rsidR="0047093A" w:rsidRPr="00687536" w:rsidRDefault="00B62F22" w:rsidP="002E53F8">
      <w:pPr>
        <w:pStyle w:val="EYBodytextwithparaspace"/>
        <w:spacing w:before="240"/>
        <w:rPr>
          <w:rFonts w:ascii="EYInterstate" w:hAnsi="EYInterstate"/>
          <w:sz w:val="24"/>
          <w:szCs w:val="24"/>
        </w:rPr>
      </w:pPr>
      <w:r w:rsidRPr="00687536">
        <w:rPr>
          <w:rFonts w:ascii="EYInterstate" w:hAnsi="EYInterstate"/>
          <w:sz w:val="24"/>
          <w:szCs w:val="24"/>
        </w:rPr>
        <w:lastRenderedPageBreak/>
        <w:t>Indicative costings</w:t>
      </w:r>
    </w:p>
    <w:p w14:paraId="19780FDA" w14:textId="14697803" w:rsidR="00B62F22" w:rsidRPr="00B62F22" w:rsidRDefault="008435B7" w:rsidP="008435B7">
      <w:pPr>
        <w:pStyle w:val="EYBodytextwithoutparaspace"/>
        <w:rPr>
          <w:rFonts w:cstheme="minorHAnsi"/>
        </w:rPr>
      </w:pPr>
      <w:r>
        <w:t xml:space="preserve">The costs for the funding mandate model will likely be </w:t>
      </w:r>
      <w:r w:rsidR="00446828">
        <w:t>minimal</w:t>
      </w:r>
      <w:r>
        <w:t xml:space="preserve"> and will be largely driven by staffing costs associated with a central program office. Further, the costs of implementing this model </w:t>
      </w:r>
      <w:r w:rsidR="00E77B91">
        <w:t>will largely be up</w:t>
      </w:r>
      <w:r w:rsidR="00446828">
        <w:t xml:space="preserve"> </w:t>
      </w:r>
      <w:r w:rsidR="00E77B91">
        <w:t xml:space="preserve">front, with initial drafting of the funding policies and coordinating between several </w:t>
      </w:r>
      <w:r w:rsidR="00856950">
        <w:t>organisations</w:t>
      </w:r>
      <w:r w:rsidR="00E77B91">
        <w:t>.</w:t>
      </w:r>
    </w:p>
    <w:p w14:paraId="6687368E" w14:textId="2AF74C68" w:rsidR="007A09B7" w:rsidRDefault="00E77B91" w:rsidP="007A09B7">
      <w:pPr>
        <w:pStyle w:val="EYBodytextwithoutparaspace"/>
      </w:pPr>
      <w:r>
        <w:t xml:space="preserve">A preliminary estimate identifies the costs for the model </w:t>
      </w:r>
      <w:r w:rsidR="00E771D5">
        <w:t>could</w:t>
      </w:r>
      <w:r>
        <w:t xml:space="preserve"> be </w:t>
      </w:r>
      <w:r w:rsidR="00E771D5">
        <w:t xml:space="preserve">around </w:t>
      </w:r>
      <w:r>
        <w:t>$0.5 million over a 12</w:t>
      </w:r>
      <w:r w:rsidR="00E771D5">
        <w:t xml:space="preserve"> to </w:t>
      </w:r>
      <w:r>
        <w:t>18</w:t>
      </w:r>
      <w:r w:rsidR="00E771D5">
        <w:t>-</w:t>
      </w:r>
      <w:r>
        <w:t xml:space="preserve">month period. </w:t>
      </w:r>
      <w:r w:rsidR="007A09B7">
        <w:t xml:space="preserve">This assumes </w:t>
      </w:r>
      <w:r w:rsidR="00125A24">
        <w:t xml:space="preserve">five FTE dedicated to </w:t>
      </w:r>
      <w:r w:rsidR="00856950">
        <w:t>delivering</w:t>
      </w:r>
      <w:r w:rsidR="00125A24">
        <w:t xml:space="preserve"> this model over the initial delivery perio</w:t>
      </w:r>
      <w:r w:rsidR="00F666E8">
        <w:t>d.</w:t>
      </w:r>
    </w:p>
    <w:p w14:paraId="2BF4FDA9" w14:textId="1DE9DB98" w:rsidR="00EF5D6A" w:rsidRDefault="00361867" w:rsidP="007A09B7">
      <w:pPr>
        <w:pStyle w:val="EYBodytextwithoutparaspace"/>
      </w:pPr>
      <w:r>
        <w:t>The ongoing costs of this model will likely be minor, wi</w:t>
      </w:r>
      <w:r w:rsidR="00755C21">
        <w:t>th on</w:t>
      </w:r>
      <w:r w:rsidR="00552F82">
        <w:t xml:space="preserve">going </w:t>
      </w:r>
      <w:r w:rsidR="00BE1DB2">
        <w:t xml:space="preserve">policy </w:t>
      </w:r>
      <w:r w:rsidR="00552F82">
        <w:t xml:space="preserve">reviews </w:t>
      </w:r>
      <w:r w:rsidR="004E48C4">
        <w:t>decentralised</w:t>
      </w:r>
      <w:r w:rsidR="00BE1DB2">
        <w:t xml:space="preserve"> and coordinated between relevant research funders and the government.</w:t>
      </w:r>
    </w:p>
    <w:p w14:paraId="765914A2" w14:textId="0B0AB10A" w:rsidR="00B5164A" w:rsidRPr="0072284A" w:rsidRDefault="0072284A" w:rsidP="00A577AC">
      <w:pPr>
        <w:pStyle w:val="EYBodytextwithparaspace"/>
        <w:rPr>
          <w:rFonts w:ascii="EYInterstate" w:hAnsi="EYInterstate"/>
          <w:sz w:val="24"/>
          <w:szCs w:val="24"/>
        </w:rPr>
      </w:pPr>
      <w:r w:rsidRPr="0072284A">
        <w:rPr>
          <w:rFonts w:ascii="EYInterstate" w:hAnsi="EYInterstate"/>
          <w:sz w:val="24"/>
          <w:szCs w:val="24"/>
        </w:rPr>
        <w:t>Take away</w:t>
      </w:r>
    </w:p>
    <w:p w14:paraId="3D15A57D" w14:textId="506375A7" w:rsidR="00AE24E8" w:rsidRPr="0035709B" w:rsidRDefault="00AE24E8" w:rsidP="0035709B">
      <w:pPr>
        <w:pStyle w:val="EYBodytextwithoutparaspace"/>
      </w:pPr>
      <w:r w:rsidRPr="0035709B">
        <w:t xml:space="preserve">The funding mandates model </w:t>
      </w:r>
      <w:r w:rsidR="00FD6B02" w:rsidRPr="0035709B">
        <w:t>would</w:t>
      </w:r>
      <w:r w:rsidRPr="0035709B">
        <w:t xml:space="preserve"> facilitate outputs from publicly funded research to be published on open access platforms without an embargo period. This model can have a wider impact if the university and research sector also adopt a nationally consistent approach when funding </w:t>
      </w:r>
      <w:r w:rsidR="00313734" w:rsidRPr="0035709B">
        <w:t xml:space="preserve">new </w:t>
      </w:r>
      <w:r w:rsidRPr="0035709B">
        <w:t xml:space="preserve">research within Australia. The model is relatively straightforward to implement compared to the preferred approach and will </w:t>
      </w:r>
      <w:r w:rsidR="00B80A73" w:rsidRPr="0035709B">
        <w:t>involve much lower costs.</w:t>
      </w:r>
    </w:p>
    <w:p w14:paraId="027A8581" w14:textId="4FEFB7F6" w:rsidR="00AE24E8" w:rsidRPr="0035709B" w:rsidRDefault="00AE24E8" w:rsidP="0035709B">
      <w:pPr>
        <w:pStyle w:val="EYBodytextwithoutparaspace"/>
      </w:pPr>
      <w:r w:rsidRPr="0035709B">
        <w:t>However, th</w:t>
      </w:r>
      <w:r w:rsidR="00B80A73" w:rsidRPr="0035709B">
        <w:t>e funding mandate</w:t>
      </w:r>
      <w:r w:rsidRPr="0035709B">
        <w:t xml:space="preserve"> model focuses solely on Australia’s public funding of research and is future focussed. Specifically, the model will only </w:t>
      </w:r>
      <w:r w:rsidR="00747D73" w:rsidRPr="0035709B">
        <w:t>lead to</w:t>
      </w:r>
      <w:r w:rsidRPr="0035709B">
        <w:t xml:space="preserve"> new Australian </w:t>
      </w:r>
      <w:r w:rsidR="00747D73" w:rsidRPr="0035709B">
        <w:t>G</w:t>
      </w:r>
      <w:r w:rsidRPr="0035709B">
        <w:t xml:space="preserve">overnment-funded research to open access and does not facilitate access to international research and publishers’ </w:t>
      </w:r>
      <w:r w:rsidR="00747D73" w:rsidRPr="0035709B">
        <w:t xml:space="preserve">extensive </w:t>
      </w:r>
      <w:r w:rsidRPr="0035709B">
        <w:t xml:space="preserve">back catalogues. </w:t>
      </w:r>
      <w:r w:rsidR="00747D73" w:rsidRPr="0035709B">
        <w:t>As such</w:t>
      </w:r>
      <w:r w:rsidRPr="0035709B">
        <w:t xml:space="preserve">, the </w:t>
      </w:r>
      <w:r w:rsidR="00747D73" w:rsidRPr="0035709B">
        <w:t xml:space="preserve">potential </w:t>
      </w:r>
      <w:r w:rsidRPr="0035709B">
        <w:t xml:space="preserve">economic benefit </w:t>
      </w:r>
      <w:r w:rsidR="007B1338" w:rsidRPr="0035709B">
        <w:t>would likely</w:t>
      </w:r>
      <w:r w:rsidR="00747D73" w:rsidRPr="0035709B">
        <w:t xml:space="preserve"> be </w:t>
      </w:r>
      <w:r w:rsidRPr="0035709B">
        <w:t xml:space="preserve">significantly </w:t>
      </w:r>
      <w:r w:rsidR="00AD31F4" w:rsidRPr="0035709B">
        <w:t>smaller than</w:t>
      </w:r>
      <w:r w:rsidRPr="0035709B">
        <w:t xml:space="preserve"> the preferred approach</w:t>
      </w:r>
      <w:r w:rsidR="00AD31F4" w:rsidRPr="0035709B">
        <w:t>. A</w:t>
      </w:r>
      <w:r w:rsidRPr="0035709B">
        <w:t xml:space="preserve"> high-level estimate suggest</w:t>
      </w:r>
      <w:r w:rsidR="00AD31F4" w:rsidRPr="0035709B">
        <w:t>s</w:t>
      </w:r>
      <w:r w:rsidRPr="0035709B">
        <w:t xml:space="preserve"> </w:t>
      </w:r>
      <w:r w:rsidR="003137AB" w:rsidRPr="0035709B">
        <w:t>the</w:t>
      </w:r>
      <w:r w:rsidRPr="0035709B">
        <w:t xml:space="preserve"> model could deliver </w:t>
      </w:r>
      <w:r w:rsidR="003137AB" w:rsidRPr="0035709B">
        <w:t xml:space="preserve">additional economic output of </w:t>
      </w:r>
      <w:r w:rsidRPr="0035709B">
        <w:t>approximately $300 million over the next 30 years.</w:t>
      </w:r>
    </w:p>
    <w:p w14:paraId="28128595" w14:textId="1D21C92C" w:rsidR="00EC48FE" w:rsidRPr="0035709B" w:rsidRDefault="00AE24E8" w:rsidP="0035709B">
      <w:pPr>
        <w:pStyle w:val="EYBodytextwithoutparaspace"/>
      </w:pPr>
      <w:r w:rsidRPr="0035709B">
        <w:t>The funding mandate model is inconsistent with the governing principles of one national approach to open access as it does not allow individuals and organisations in Australia to access the world’s academic literature. This is a key differentiator between the funding mandates model and the preferred approach.</w:t>
      </w:r>
    </w:p>
    <w:p w14:paraId="41CFDBC7" w14:textId="557EE87B" w:rsidR="000F0949" w:rsidRPr="0035709B" w:rsidRDefault="000F0949" w:rsidP="0035709B">
      <w:pPr>
        <w:pStyle w:val="EYBodytextwithoutparaspace"/>
      </w:pPr>
      <w:r w:rsidRPr="0035709B">
        <w:t>Alternatively, the funding mandates model could be pursued as part of a broader open access mandate and in combination with the preferred model. Indeed</w:t>
      </w:r>
      <w:r w:rsidR="002E53F8" w:rsidRPr="0035709B">
        <w:t>,</w:t>
      </w:r>
      <w:r w:rsidRPr="0035709B">
        <w:t xml:space="preserve"> the funding mandates model has its merits and would drive higher levels of Australia-led open access publishing. However, it still does not provide significant reform and limits the economic benefits of increasing access to research.</w:t>
      </w:r>
    </w:p>
    <w:p w14:paraId="1766D17E" w14:textId="5C628EC2" w:rsidR="00C6304F" w:rsidRPr="00C6304F" w:rsidRDefault="002A2234" w:rsidP="00C6304F">
      <w:pPr>
        <w:pStyle w:val="EYHeading2"/>
      </w:pPr>
      <w:bookmarkStart w:id="75" w:name="_Toc115717099"/>
      <w:r>
        <w:t>Repository</w:t>
      </w:r>
      <w:r w:rsidR="00A728F8">
        <w:t>-</w:t>
      </w:r>
      <w:r>
        <w:t>based open access</w:t>
      </w:r>
      <w:bookmarkEnd w:id="75"/>
    </w:p>
    <w:p w14:paraId="23B40BF8" w14:textId="51D18985" w:rsidR="00303A0F" w:rsidRDefault="00303A0F" w:rsidP="00303A0F">
      <w:pPr>
        <w:pStyle w:val="EYBodytextwithoutparaspace"/>
      </w:pPr>
      <w:r>
        <w:t>The repository-based or green open access establishes a central (or virtually linked) repository that aggregates content currently within Australia’s repositories</w:t>
      </w:r>
      <w:r w:rsidR="00554E55">
        <w:t xml:space="preserve"> of academic research</w:t>
      </w:r>
      <w:r w:rsidR="00FD53DA">
        <w:t>.</w:t>
      </w:r>
      <w:r>
        <w:t xml:space="preserve"> This model is </w:t>
      </w:r>
      <w:proofErr w:type="gramStart"/>
      <w:r>
        <w:t>similar to</w:t>
      </w:r>
      <w:proofErr w:type="gramEnd"/>
      <w:r>
        <w:t xml:space="preserve"> the CORE, which aggregates scientific content from repositories and journals worldwide into one location.</w:t>
      </w:r>
      <w:r w:rsidRPr="00FD53DA">
        <w:rPr>
          <w:rStyle w:val="FootnoteReference"/>
        </w:rPr>
        <w:t xml:space="preserve"> </w:t>
      </w:r>
      <w:r>
        <w:rPr>
          <w:rStyle w:val="FootnoteReference"/>
        </w:rPr>
        <w:footnoteReference w:id="35"/>
      </w:r>
    </w:p>
    <w:p w14:paraId="4D3BF692" w14:textId="216BDFF1" w:rsidR="00303A0F" w:rsidRDefault="00303A0F" w:rsidP="00303A0F">
      <w:pPr>
        <w:pStyle w:val="EYBodytextwithoutparaspace"/>
      </w:pPr>
      <w:r>
        <w:t xml:space="preserve">Repositories are a key contributor to the open access </w:t>
      </w:r>
      <w:r w:rsidR="00FD53DA">
        <w:t>ecosystem</w:t>
      </w:r>
      <w:r>
        <w:t xml:space="preserve"> and allow the sharing of academic documents and research. Under this government-led model, Australia would invest in building a centralised repository to aggregate </w:t>
      </w:r>
      <w:r w:rsidR="00D16BD8">
        <w:t>research</w:t>
      </w:r>
      <w:r>
        <w:t xml:space="preserve"> papers from Australia’s institutions and potentially extend this to other global aggregators.</w:t>
      </w:r>
    </w:p>
    <w:p w14:paraId="55ADF416" w14:textId="367EFD78" w:rsidR="00E4788F" w:rsidRDefault="00E4788F" w:rsidP="00E4788F">
      <w:pPr>
        <w:pStyle w:val="EYBodytextwithoutparaspace"/>
      </w:pPr>
      <w:r>
        <w:lastRenderedPageBreak/>
        <w:t xml:space="preserve">Creating a centralised repository </w:t>
      </w:r>
      <w:r w:rsidR="00D16BD8">
        <w:t>would</w:t>
      </w:r>
      <w:r>
        <w:t xml:space="preserve"> provide a single point of access for all stakeholder groups to access open access documents and create supporting infrastructure for the university and academic research sector.</w:t>
      </w:r>
    </w:p>
    <w:p w14:paraId="75E87B7E" w14:textId="5D5B9D1F" w:rsidR="00CF6CFE" w:rsidRPr="00687536" w:rsidRDefault="00E4788F" w:rsidP="00E4788F">
      <w:pPr>
        <w:pStyle w:val="EYBodytextwithoutparaspace"/>
      </w:pPr>
      <w:r w:rsidRPr="00687536">
        <w:t xml:space="preserve">The centralised repository would enable all stakeholder groups to deposit academic outputs to support the wider dissemination of research and allow Australian institutions and organisations to collaborate on research. However, the repository would need monitoring </w:t>
      </w:r>
      <w:r w:rsidR="00C15CFC" w:rsidRPr="00687536">
        <w:t>and oversight</w:t>
      </w:r>
      <w:r w:rsidRPr="00687536">
        <w:t xml:space="preserve"> to ensure submissions </w:t>
      </w:r>
      <w:r w:rsidR="00C15CFC" w:rsidRPr="00687536">
        <w:t>constitute</w:t>
      </w:r>
      <w:r w:rsidRPr="00687536">
        <w:t xml:space="preserve"> academic outputs and are relevant to the repository.</w:t>
      </w:r>
    </w:p>
    <w:p w14:paraId="08815523" w14:textId="5D4AA458" w:rsidR="00B63ECC" w:rsidRDefault="001658ED" w:rsidP="001658ED">
      <w:pPr>
        <w:pStyle w:val="EYBodytextwithoutparaspace"/>
      </w:pPr>
      <w:r>
        <w:t>This model has several key aspects, including:</w:t>
      </w:r>
    </w:p>
    <w:p w14:paraId="730FEA6A" w14:textId="5E3BDF6D" w:rsidR="00063BB2" w:rsidRPr="00F54FEA" w:rsidRDefault="0095673F" w:rsidP="00687536">
      <w:pPr>
        <w:pStyle w:val="EYBulletnoparaspace"/>
        <w:ind w:left="426"/>
      </w:pPr>
      <w:r w:rsidRPr="00F54FEA">
        <w:t xml:space="preserve">Investing in a centralised </w:t>
      </w:r>
      <w:r w:rsidR="007E44C4">
        <w:t>(</w:t>
      </w:r>
      <w:r w:rsidRPr="00F54FEA">
        <w:t>virtual</w:t>
      </w:r>
      <w:r w:rsidR="007E44C4">
        <w:t>)</w:t>
      </w:r>
      <w:r w:rsidRPr="00F54FEA">
        <w:t xml:space="preserve"> repository which links to</w:t>
      </w:r>
      <w:r w:rsidR="001F28D2" w:rsidRPr="00F54FEA">
        <w:t xml:space="preserve"> </w:t>
      </w:r>
      <w:r w:rsidR="003D4BD0" w:rsidRPr="00F54FEA">
        <w:t>Australian affiliated repositories</w:t>
      </w:r>
      <w:r w:rsidR="00026FF2" w:rsidRPr="00F54FEA">
        <w:t>, to create one access point for users.</w:t>
      </w:r>
    </w:p>
    <w:p w14:paraId="0C18FDC0" w14:textId="380F1367" w:rsidR="001B6D0A" w:rsidRDefault="002D70FD" w:rsidP="00687536">
      <w:pPr>
        <w:pStyle w:val="EYBulletnoparaspace"/>
        <w:ind w:left="426"/>
      </w:pPr>
      <w:r w:rsidRPr="00F54FEA">
        <w:t>Enables research tools (API, Data Mining</w:t>
      </w:r>
      <w:r w:rsidR="00240417" w:rsidRPr="00F54FEA">
        <w:t xml:space="preserve">, etc) </w:t>
      </w:r>
      <w:r w:rsidR="00801AFD" w:rsidRPr="00F54FEA">
        <w:t xml:space="preserve">to work over the top of the virtual </w:t>
      </w:r>
      <w:r w:rsidR="00E26F2B" w:rsidRPr="00F54FEA">
        <w:t>repositor</w:t>
      </w:r>
      <w:r w:rsidR="00090EC0" w:rsidRPr="00F54FEA">
        <w:t>ies to enable the greater dissemination of academic research</w:t>
      </w:r>
      <w:r w:rsidR="00600DC5" w:rsidRPr="00F54FEA">
        <w:t>, by investing in the interoperability of different repositories</w:t>
      </w:r>
      <w:r w:rsidR="00654799" w:rsidRPr="00F54FEA">
        <w:t xml:space="preserve">. </w:t>
      </w:r>
    </w:p>
    <w:p w14:paraId="06F79CDE" w14:textId="3159D962" w:rsidR="00C72EF5" w:rsidRPr="00F54FEA" w:rsidRDefault="00C72EF5" w:rsidP="00687536">
      <w:pPr>
        <w:pStyle w:val="EYBulletnoparaspace"/>
        <w:ind w:left="426"/>
      </w:pPr>
      <w:r>
        <w:t xml:space="preserve">Monitoring to ensure only academic research is placed into the </w:t>
      </w:r>
      <w:r w:rsidR="009855D9">
        <w:t>repository.</w:t>
      </w:r>
    </w:p>
    <w:p w14:paraId="5E73A7D0" w14:textId="2BFD783E" w:rsidR="001658ED" w:rsidRDefault="00CA2026" w:rsidP="005F5E45">
      <w:pPr>
        <w:pStyle w:val="EYBodytextwithoutparaspace"/>
      </w:pPr>
      <w:r>
        <w:fldChar w:fldCharType="begin"/>
      </w:r>
      <w:r>
        <w:instrText xml:space="preserve"> REF _Ref115696011 \h </w:instrText>
      </w:r>
      <w:r>
        <w:fldChar w:fldCharType="separate"/>
      </w:r>
      <w:r w:rsidR="008112E6">
        <w:t xml:space="preserve">Figure </w:t>
      </w:r>
      <w:r w:rsidR="008112E6">
        <w:rPr>
          <w:noProof/>
        </w:rPr>
        <w:t>29</w:t>
      </w:r>
      <w:r>
        <w:fldChar w:fldCharType="end"/>
      </w:r>
      <w:r w:rsidR="001658ED">
        <w:t xml:space="preserve"> provides an example of how documents would flow into the central repository.</w:t>
      </w:r>
    </w:p>
    <w:p w14:paraId="242A2DC5" w14:textId="6BB2F097" w:rsidR="005F5E45" w:rsidRDefault="005F5E45" w:rsidP="00CA2026">
      <w:pPr>
        <w:pStyle w:val="Caption"/>
        <w:keepNext/>
        <w:spacing w:after="240"/>
      </w:pPr>
      <w:bookmarkStart w:id="76" w:name="_Ref115696011"/>
      <w:r>
        <w:t xml:space="preserve">Figure </w:t>
      </w:r>
      <w:r>
        <w:fldChar w:fldCharType="begin"/>
      </w:r>
      <w:r>
        <w:instrText xml:space="preserve"> SEQ Figure \* ARABIC </w:instrText>
      </w:r>
      <w:r>
        <w:fldChar w:fldCharType="separate"/>
      </w:r>
      <w:r w:rsidR="008112E6">
        <w:rPr>
          <w:noProof/>
        </w:rPr>
        <w:t>29</w:t>
      </w:r>
      <w:r>
        <w:fldChar w:fldCharType="end"/>
      </w:r>
      <w:bookmarkEnd w:id="76"/>
      <w:r>
        <w:t xml:space="preserve">: </w:t>
      </w:r>
      <w:r w:rsidRPr="004F798D">
        <w:t>Repository based open access</w:t>
      </w:r>
    </w:p>
    <w:p w14:paraId="5D4708AB" w14:textId="530E5BF0" w:rsidR="00AA21A7" w:rsidRDefault="005B0214" w:rsidP="00A577AC">
      <w:pPr>
        <w:pStyle w:val="EYBodytextwithparaspace"/>
      </w:pPr>
      <w:r w:rsidRPr="005B0214">
        <w:rPr>
          <w:noProof/>
        </w:rPr>
        <w:drawing>
          <wp:inline distT="0" distB="0" distL="0" distR="0" wp14:anchorId="67DD0E4B" wp14:editId="46B2EB32">
            <wp:extent cx="5007429" cy="1989883"/>
            <wp:effectExtent l="0" t="0" r="3175" b="0"/>
            <wp:docPr id="19" name="Picture 19" descr="A diagram illustrating a central repository model that would create a single point of access for stakeholders to access research outputs produced by Australian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illustrating a central repository model that would create a single point of access for stakeholders to access research outputs produced by Australian institutions.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80983" cy="2019112"/>
                    </a:xfrm>
                    <a:prstGeom prst="rect">
                      <a:avLst/>
                    </a:prstGeom>
                    <a:noFill/>
                    <a:ln>
                      <a:noFill/>
                    </a:ln>
                  </pic:spPr>
                </pic:pic>
              </a:graphicData>
            </a:graphic>
          </wp:inline>
        </w:drawing>
      </w:r>
    </w:p>
    <w:p w14:paraId="01BDA871" w14:textId="0A4CAE46" w:rsidR="00AC313A" w:rsidRDefault="00AC313A" w:rsidP="00CA2026">
      <w:pPr>
        <w:pStyle w:val="Caption"/>
        <w:spacing w:before="240" w:after="360"/>
      </w:pPr>
      <w:r>
        <w:t>Source: EY</w:t>
      </w:r>
    </w:p>
    <w:p w14:paraId="403AD071" w14:textId="0F240B5A" w:rsidR="001658ED" w:rsidRPr="00650384" w:rsidRDefault="00F924FB" w:rsidP="00A577AC">
      <w:pPr>
        <w:pStyle w:val="EYBodytextwithparaspace"/>
        <w:rPr>
          <w:rFonts w:ascii="EYInterstate" w:hAnsi="EYInterstate"/>
          <w:sz w:val="24"/>
          <w:szCs w:val="24"/>
        </w:rPr>
      </w:pPr>
      <w:r w:rsidRPr="00650384">
        <w:rPr>
          <w:rFonts w:ascii="EYInterstate" w:hAnsi="EYInterstate"/>
          <w:sz w:val="24"/>
          <w:szCs w:val="24"/>
        </w:rPr>
        <w:t>Indicative costings</w:t>
      </w:r>
    </w:p>
    <w:p w14:paraId="3107661A" w14:textId="09EE16F0" w:rsidR="00D0137B" w:rsidRDefault="00D0137B" w:rsidP="00D0137B">
      <w:pPr>
        <w:pStyle w:val="EYBodytextwithoutparaspace"/>
      </w:pPr>
      <w:r>
        <w:t xml:space="preserve">Investing in a centralised repository will require substantial upfront costs, with ongoing expenses around maintenance and monitoring. To establish a new virtually linked repository with </w:t>
      </w:r>
      <w:r w:rsidR="00D8654F">
        <w:t>sufficient</w:t>
      </w:r>
      <w:r>
        <w:t xml:space="preserve"> capacity to hold Australian-led research outputs, indicat</w:t>
      </w:r>
      <w:r w:rsidR="00D8654F">
        <w:t>iv</w:t>
      </w:r>
      <w:r>
        <w:t xml:space="preserve">e </w:t>
      </w:r>
      <w:r w:rsidR="00D8654F">
        <w:t>estimates</w:t>
      </w:r>
      <w:r>
        <w:t xml:space="preserve"> suggest this </w:t>
      </w:r>
      <w:r w:rsidR="008D5436">
        <w:t>c</w:t>
      </w:r>
      <w:r>
        <w:t xml:space="preserve">ould cost </w:t>
      </w:r>
      <w:r w:rsidR="008D5436">
        <w:t>around</w:t>
      </w:r>
      <w:r>
        <w:t xml:space="preserve"> $50 million upfront, with ongoing costs of approximately $1 million per year for maintenance and monitoring.</w:t>
      </w:r>
      <w:r>
        <w:rPr>
          <w:rStyle w:val="FootnoteReference"/>
        </w:rPr>
        <w:footnoteReference w:id="36"/>
      </w:r>
    </w:p>
    <w:p w14:paraId="03E4C173" w14:textId="7F99279A" w:rsidR="00D0137B" w:rsidRDefault="00D0137B" w:rsidP="00D0137B">
      <w:pPr>
        <w:pStyle w:val="EYBodytextwithoutparaspace"/>
      </w:pPr>
      <w:r>
        <w:t xml:space="preserve">These costs are highly indicative and will largely depend on how the central repository is set up. For example, linking repository-held documents rather than storing them </w:t>
      </w:r>
      <w:r w:rsidR="008D5436">
        <w:t>would be</w:t>
      </w:r>
      <w:r>
        <w:t xml:space="preserve"> much </w:t>
      </w:r>
      <w:r w:rsidR="008D5436">
        <w:t>less costly</w:t>
      </w:r>
      <w:r>
        <w:t>. However, this would require individual institutions to continue investing in and maintaining their repositories.</w:t>
      </w:r>
    </w:p>
    <w:p w14:paraId="1CA1BB60" w14:textId="7F0B0C50" w:rsidR="00936DBA" w:rsidRDefault="00D0137B" w:rsidP="00590886">
      <w:pPr>
        <w:pStyle w:val="EYBodytextwithoutparaspace"/>
      </w:pPr>
      <w:r>
        <w:t xml:space="preserve">Investing in a centralised repository also offers significant cost savings across the system, with intuitions currently </w:t>
      </w:r>
      <w:r w:rsidR="00D3779A">
        <w:t>needing</w:t>
      </w:r>
      <w:r>
        <w:t xml:space="preserve"> to </w:t>
      </w:r>
      <w:r w:rsidR="0072284A">
        <w:t>maintain</w:t>
      </w:r>
      <w:r>
        <w:t xml:space="preserve"> their own</w:t>
      </w:r>
      <w:r w:rsidR="00135E4B">
        <w:t xml:space="preserve"> </w:t>
      </w:r>
      <w:r w:rsidR="0072284A">
        <w:t>repositories</w:t>
      </w:r>
      <w:r>
        <w:t xml:space="preserve">. Under one national approach, </w:t>
      </w:r>
      <w:r>
        <w:lastRenderedPageBreak/>
        <w:t xml:space="preserve">universities and institutions could transition to using the centralised repository without needing to </w:t>
      </w:r>
      <w:r w:rsidR="00AA07F0">
        <w:t>preserve</w:t>
      </w:r>
      <w:r>
        <w:t xml:space="preserve"> their own</w:t>
      </w:r>
      <w:r w:rsidR="002A317E">
        <w:t>.</w:t>
      </w:r>
    </w:p>
    <w:p w14:paraId="0FFB68AF" w14:textId="2E0D30DC" w:rsidR="00FD53DA" w:rsidRPr="004D1721" w:rsidRDefault="0072284A" w:rsidP="00A577AC">
      <w:pPr>
        <w:pStyle w:val="EYBodytextwithparaspace"/>
        <w:rPr>
          <w:rFonts w:ascii="EYInterstate" w:hAnsi="EYInterstate"/>
          <w:sz w:val="24"/>
          <w:szCs w:val="24"/>
        </w:rPr>
      </w:pPr>
      <w:r>
        <w:rPr>
          <w:rFonts w:ascii="EYInterstate" w:hAnsi="EYInterstate"/>
          <w:sz w:val="24"/>
          <w:szCs w:val="24"/>
        </w:rPr>
        <w:t>Take away</w:t>
      </w:r>
    </w:p>
    <w:p w14:paraId="7E646F2A" w14:textId="73039777" w:rsidR="00375191" w:rsidRDefault="00375191" w:rsidP="00375191">
      <w:pPr>
        <w:pStyle w:val="EYBodytextwithoutparaspace"/>
      </w:pPr>
      <w:r>
        <w:t xml:space="preserve">Repository-based open access supports the broader ecosystem and supports the wider dissemination of academic research and outputs. Investing in a centralised repository </w:t>
      </w:r>
      <w:r w:rsidR="008C56C9">
        <w:t>would</w:t>
      </w:r>
      <w:r>
        <w:t xml:space="preserve"> create a single point for Australian stakeholders to access academic content. Further, repositories allow metadata and mining tools to </w:t>
      </w:r>
      <w:r w:rsidR="009C1493">
        <w:t>run</w:t>
      </w:r>
      <w:r>
        <w:t xml:space="preserve"> over the top and support further research.</w:t>
      </w:r>
    </w:p>
    <w:p w14:paraId="6E099ADC" w14:textId="6FC6E4DA" w:rsidR="00375191" w:rsidRDefault="00375191" w:rsidP="00375191">
      <w:pPr>
        <w:pStyle w:val="EYBodytextwithoutparaspace"/>
      </w:pPr>
      <w:r>
        <w:t xml:space="preserve">Repository-based open access indirectly supports open access by creating critical infrastructure. Unlike the funding mandates and </w:t>
      </w:r>
      <w:r w:rsidR="009C1493">
        <w:t>the</w:t>
      </w:r>
      <w:r>
        <w:t xml:space="preserve"> preferred model, it does not directly intervene in the academic research sector. For example, providing supporting infrastructure may support the broader dissemination of research. Still, it does</w:t>
      </w:r>
      <w:r w:rsidR="006F5558">
        <w:t xml:space="preserve"> not</w:t>
      </w:r>
      <w:r>
        <w:t xml:space="preserve"> directly increase Australian-led open access publishing or facilitate access to paywalled journal articles and publishers' back catalogue</w:t>
      </w:r>
      <w:r w:rsidR="00DD65D5">
        <w:t>s</w:t>
      </w:r>
      <w:r>
        <w:t>.</w:t>
      </w:r>
    </w:p>
    <w:p w14:paraId="392388C6" w14:textId="1F4E2CD4" w:rsidR="00853444" w:rsidRDefault="00375191" w:rsidP="001021B7">
      <w:pPr>
        <w:pStyle w:val="EYBodytextwithoutparaspace"/>
      </w:pPr>
      <w:r>
        <w:t xml:space="preserve">Therefore, the economic benefits of </w:t>
      </w:r>
      <w:r w:rsidR="00266CC2">
        <w:t xml:space="preserve">a </w:t>
      </w:r>
      <w:r>
        <w:t xml:space="preserve">repository-based open access </w:t>
      </w:r>
      <w:r w:rsidR="00266CC2">
        <w:t xml:space="preserve">scheme </w:t>
      </w:r>
      <w:r w:rsidR="00DD65D5">
        <w:t>would likely</w:t>
      </w:r>
      <w:r>
        <w:t xml:space="preserve"> to </w:t>
      </w:r>
      <w:r w:rsidR="00DD65D5">
        <w:t>smaller than the preferred mode</w:t>
      </w:r>
      <w:r w:rsidR="00266CC2">
        <w:t>l</w:t>
      </w:r>
      <w:r w:rsidR="00DD65D5">
        <w:t xml:space="preserve">, </w:t>
      </w:r>
      <w:r w:rsidR="00266CC2">
        <w:t>potentially increasing economic output by around</w:t>
      </w:r>
      <w:r>
        <w:t xml:space="preserve"> $400 million over the next 30 years.</w:t>
      </w:r>
    </w:p>
    <w:p w14:paraId="03EEB921" w14:textId="57090049" w:rsidR="005348D7" w:rsidRDefault="007B314E" w:rsidP="007B314E">
      <w:pPr>
        <w:pStyle w:val="EYHeading1"/>
      </w:pPr>
      <w:bookmarkStart w:id="77" w:name="_Toc115717100"/>
      <w:r>
        <w:lastRenderedPageBreak/>
        <w:t>Conclusion</w:t>
      </w:r>
      <w:bookmarkEnd w:id="77"/>
    </w:p>
    <w:p w14:paraId="020D64A1" w14:textId="712B62A3" w:rsidR="007D4F83" w:rsidRPr="00C0714C" w:rsidRDefault="00BF61D8" w:rsidP="00C0714C">
      <w:pPr>
        <w:pStyle w:val="EYLeader"/>
      </w:pPr>
      <w:r w:rsidRPr="00C0714C">
        <w:t xml:space="preserve">A national </w:t>
      </w:r>
      <w:r w:rsidR="00E4244F" w:rsidRPr="00C0714C">
        <w:t>open access</w:t>
      </w:r>
      <w:r w:rsidR="007D4F83" w:rsidRPr="00C0714C">
        <w:t xml:space="preserve"> </w:t>
      </w:r>
      <w:r w:rsidR="00AF50FD" w:rsidRPr="00C0714C">
        <w:t>s</w:t>
      </w:r>
      <w:r w:rsidR="007D4F83" w:rsidRPr="00C0714C">
        <w:t xml:space="preserve">cheme represents a major </w:t>
      </w:r>
      <w:r w:rsidRPr="00C0714C">
        <w:t>reform to</w:t>
      </w:r>
      <w:r w:rsidR="007D4F83" w:rsidRPr="00C0714C">
        <w:t xml:space="preserve"> Australia’s </w:t>
      </w:r>
      <w:r w:rsidRPr="00C0714C">
        <w:t>knowledge and innovation system.</w:t>
      </w:r>
      <w:r w:rsidR="007D4F83" w:rsidRPr="00C0714C">
        <w:t xml:space="preserve"> To </w:t>
      </w:r>
      <w:r w:rsidR="00E4244F" w:rsidRPr="00C0714C">
        <w:t>advance</w:t>
      </w:r>
      <w:r w:rsidR="007D4F83" w:rsidRPr="00C0714C">
        <w:t xml:space="preserve"> the </w:t>
      </w:r>
      <w:r w:rsidR="00E4244F" w:rsidRPr="00C0714C">
        <w:t>s</w:t>
      </w:r>
      <w:r w:rsidR="007D4F83" w:rsidRPr="00C0714C">
        <w:t xml:space="preserve">cheme, </w:t>
      </w:r>
      <w:r w:rsidR="002044AC" w:rsidRPr="00C0714C">
        <w:t>ahead of an implementation decision by government</w:t>
      </w:r>
      <w:r w:rsidR="007D4F83" w:rsidRPr="00C0714C">
        <w:t xml:space="preserve">, </w:t>
      </w:r>
      <w:r w:rsidR="00E4244F" w:rsidRPr="00C0714C">
        <w:t>a range of</w:t>
      </w:r>
      <w:r w:rsidR="007D4F83" w:rsidRPr="00C0714C">
        <w:t xml:space="preserve"> further </w:t>
      </w:r>
      <w:r w:rsidR="00871905" w:rsidRPr="00C0714C">
        <w:t xml:space="preserve">work is </w:t>
      </w:r>
      <w:r w:rsidR="002044AC" w:rsidRPr="00C0714C">
        <w:t>needed. This includes fu</w:t>
      </w:r>
      <w:r w:rsidR="00C0714C">
        <w:t>r</w:t>
      </w:r>
      <w:r w:rsidR="002044AC" w:rsidRPr="00C0714C">
        <w:t>ther assessment of</w:t>
      </w:r>
      <w:r w:rsidR="007D4F83" w:rsidRPr="00C0714C">
        <w:t xml:space="preserve"> publishers</w:t>
      </w:r>
      <w:r w:rsidR="00D16C88" w:rsidRPr="00C0714C">
        <w:t>’</w:t>
      </w:r>
      <w:r w:rsidR="007D4F83" w:rsidRPr="00C0714C">
        <w:t xml:space="preserve"> pricing structures </w:t>
      </w:r>
      <w:r w:rsidR="00114B62" w:rsidRPr="00C0714C">
        <w:t>and</w:t>
      </w:r>
      <w:r w:rsidR="007D4F83" w:rsidRPr="00C0714C">
        <w:t xml:space="preserve"> </w:t>
      </w:r>
      <w:r w:rsidR="002044AC" w:rsidRPr="00C0714C">
        <w:t xml:space="preserve">the </w:t>
      </w:r>
      <w:r w:rsidR="007D4F83" w:rsidRPr="00C0714C">
        <w:t xml:space="preserve">resourcing </w:t>
      </w:r>
      <w:r w:rsidR="00CB7544" w:rsidRPr="00C0714C">
        <w:t xml:space="preserve">requirements </w:t>
      </w:r>
      <w:r w:rsidR="007D4F83" w:rsidRPr="00C0714C">
        <w:t>of the implementation body and central IT infrastructure.</w:t>
      </w:r>
    </w:p>
    <w:p w14:paraId="56DA299D" w14:textId="50FC9CF5" w:rsidR="007D4F83" w:rsidRPr="002E53F8" w:rsidRDefault="007D4F83" w:rsidP="00CB7544">
      <w:pPr>
        <w:pStyle w:val="EYBodytextwithoutparaspace"/>
        <w:rPr>
          <w:rStyle w:val="EYBodytextwithparaspaceChar"/>
          <w:color w:val="auto"/>
        </w:rPr>
      </w:pPr>
      <w:r w:rsidRPr="002E53F8">
        <w:t xml:space="preserve">The </w:t>
      </w:r>
      <w:r w:rsidR="005E4576" w:rsidRPr="002E53F8">
        <w:t>s</w:t>
      </w:r>
      <w:r w:rsidRPr="002E53F8">
        <w:t xml:space="preserve">cheme, as proposed, represents a major change in </w:t>
      </w:r>
      <w:r w:rsidR="00FE5916" w:rsidRPr="002E53F8">
        <w:t xml:space="preserve">how Australians would </w:t>
      </w:r>
      <w:r w:rsidRPr="002E53F8">
        <w:rPr>
          <w:rStyle w:val="EYBodytextwithparaspaceChar"/>
          <w:color w:val="auto"/>
        </w:rPr>
        <w:t xml:space="preserve">access academic journals and open access publishing. The </w:t>
      </w:r>
      <w:r w:rsidR="00EA7DDD" w:rsidRPr="002E53F8">
        <w:rPr>
          <w:rStyle w:val="EYBodytextwithparaspaceChar"/>
          <w:color w:val="auto"/>
        </w:rPr>
        <w:t>s</w:t>
      </w:r>
      <w:r w:rsidRPr="002E53F8">
        <w:rPr>
          <w:rStyle w:val="EYBodytextwithparaspaceChar"/>
          <w:color w:val="auto"/>
        </w:rPr>
        <w:t xml:space="preserve">cheme </w:t>
      </w:r>
      <w:r w:rsidR="00506E7D" w:rsidRPr="002E53F8">
        <w:rPr>
          <w:rStyle w:val="EYBodytextwithparaspaceChar"/>
          <w:color w:val="auto"/>
        </w:rPr>
        <w:t>has the potential to</w:t>
      </w:r>
      <w:r w:rsidRPr="002E53F8">
        <w:rPr>
          <w:rStyle w:val="EYBodytextwithparaspaceChar"/>
          <w:color w:val="auto"/>
        </w:rPr>
        <w:t xml:space="preserve"> drive new opportunities for economic growth, </w:t>
      </w:r>
      <w:r w:rsidR="00506E7D" w:rsidRPr="002E53F8">
        <w:rPr>
          <w:rStyle w:val="EYBodytextwithparaspaceChar"/>
          <w:color w:val="auto"/>
        </w:rPr>
        <w:t xml:space="preserve">boost </w:t>
      </w:r>
      <w:r w:rsidRPr="002E53F8">
        <w:rPr>
          <w:rStyle w:val="EYBodytextwithparaspaceChar"/>
          <w:color w:val="auto"/>
        </w:rPr>
        <w:t xml:space="preserve">productivity across Australian industry and provide a wide range of social benefits. There is significant </w:t>
      </w:r>
      <w:r w:rsidR="00506E7D" w:rsidRPr="002E53F8">
        <w:rPr>
          <w:rStyle w:val="EYBodytextwithparaspaceChar"/>
          <w:color w:val="auto"/>
        </w:rPr>
        <w:t xml:space="preserve">stakeholder </w:t>
      </w:r>
      <w:r w:rsidRPr="002E53F8">
        <w:rPr>
          <w:rStyle w:val="EYBodytextwithparaspaceChar"/>
          <w:color w:val="auto"/>
        </w:rPr>
        <w:t xml:space="preserve">support for the </w:t>
      </w:r>
      <w:r w:rsidR="00506E7D" w:rsidRPr="002E53F8">
        <w:rPr>
          <w:rStyle w:val="EYBodytextwithparaspaceChar"/>
          <w:color w:val="auto"/>
        </w:rPr>
        <w:t>s</w:t>
      </w:r>
      <w:r w:rsidRPr="002E53F8">
        <w:rPr>
          <w:rStyle w:val="EYBodytextwithparaspaceChar"/>
          <w:color w:val="auto"/>
        </w:rPr>
        <w:t>cheme and</w:t>
      </w:r>
      <w:r w:rsidR="00506E7D" w:rsidRPr="002E53F8">
        <w:rPr>
          <w:rStyle w:val="EYBodytextwithparaspaceChar"/>
          <w:color w:val="auto"/>
        </w:rPr>
        <w:t>,</w:t>
      </w:r>
      <w:r w:rsidRPr="002E53F8">
        <w:rPr>
          <w:rStyle w:val="EYBodytextwithparaspaceChar"/>
          <w:color w:val="auto"/>
        </w:rPr>
        <w:t xml:space="preserve"> </w:t>
      </w:r>
      <w:r w:rsidR="00D16C88" w:rsidRPr="002E53F8">
        <w:rPr>
          <w:rStyle w:val="EYBodytextwithparaspaceChar"/>
          <w:color w:val="auto"/>
        </w:rPr>
        <w:t>based on</w:t>
      </w:r>
      <w:r w:rsidRPr="002E53F8">
        <w:rPr>
          <w:rStyle w:val="EYBodytextwithparaspaceChar"/>
          <w:color w:val="auto"/>
        </w:rPr>
        <w:t xml:space="preserve"> international experiences, Australia could </w:t>
      </w:r>
      <w:r w:rsidR="00BA60F1" w:rsidRPr="002E53F8">
        <w:rPr>
          <w:rStyle w:val="EYBodytextwithparaspaceChar"/>
          <w:color w:val="auto"/>
        </w:rPr>
        <w:t>deliver</w:t>
      </w:r>
      <w:r w:rsidR="0068582A" w:rsidRPr="002E53F8">
        <w:rPr>
          <w:rStyle w:val="EYBodytextwithparaspaceChar"/>
          <w:color w:val="auto"/>
        </w:rPr>
        <w:t xml:space="preserve"> an open access scheme in around two years.</w:t>
      </w:r>
    </w:p>
    <w:p w14:paraId="34F57968" w14:textId="76B42642" w:rsidR="007D4F83" w:rsidRPr="002E53F8" w:rsidRDefault="009962E9" w:rsidP="00CB7544">
      <w:pPr>
        <w:pStyle w:val="EYBodytextwithoutparaspace"/>
        <w:rPr>
          <w:rStyle w:val="EYBodytextwithparaspaceChar"/>
          <w:color w:val="auto"/>
        </w:rPr>
      </w:pPr>
      <w:r w:rsidRPr="002E53F8">
        <w:rPr>
          <w:rStyle w:val="EYBodytextwithparaspaceChar"/>
          <w:color w:val="auto"/>
        </w:rPr>
        <w:t>Movi</w:t>
      </w:r>
      <w:r w:rsidR="008A5183" w:rsidRPr="002E53F8">
        <w:rPr>
          <w:rStyle w:val="EYBodytextwithparaspaceChar"/>
          <w:color w:val="auto"/>
        </w:rPr>
        <w:t>ng</w:t>
      </w:r>
      <w:r w:rsidRPr="002E53F8">
        <w:rPr>
          <w:rStyle w:val="EYBodytextwithparaspaceChar"/>
          <w:color w:val="auto"/>
        </w:rPr>
        <w:t xml:space="preserve"> to the next phase of a national open access scheme would involve the following key steps:</w:t>
      </w:r>
    </w:p>
    <w:p w14:paraId="0BB647DD" w14:textId="175EE849" w:rsidR="00D7257F" w:rsidRPr="000125A6" w:rsidRDefault="00E41783" w:rsidP="00687536">
      <w:pPr>
        <w:pStyle w:val="EYBulletnoparaspace"/>
        <w:ind w:left="426"/>
        <w:rPr>
          <w:rStyle w:val="EYBodytextwithparaspaceChar"/>
          <w:color w:val="auto"/>
        </w:rPr>
      </w:pPr>
      <w:r w:rsidRPr="000125A6">
        <w:rPr>
          <w:rStyle w:val="EYBodytextwithparaspaceChar"/>
          <w:color w:val="auto"/>
        </w:rPr>
        <w:t>Further consultation</w:t>
      </w:r>
      <w:r w:rsidR="00D7257F" w:rsidRPr="000125A6">
        <w:rPr>
          <w:rStyle w:val="EYBodytextwithparaspaceChar"/>
          <w:color w:val="auto"/>
        </w:rPr>
        <w:t xml:space="preserve"> with industry, government and universities to understand the level of public funds </w:t>
      </w:r>
      <w:r w:rsidR="00A4386D" w:rsidRPr="000125A6">
        <w:rPr>
          <w:rStyle w:val="EYBodytextwithparaspaceChar"/>
          <w:color w:val="auto"/>
        </w:rPr>
        <w:t xml:space="preserve">which </w:t>
      </w:r>
      <w:r w:rsidR="00D7257F" w:rsidRPr="000125A6">
        <w:rPr>
          <w:rStyle w:val="EYBodytextwithparaspaceChar"/>
          <w:color w:val="auto"/>
        </w:rPr>
        <w:t>are used to pay publishers for subscriptions and APCs</w:t>
      </w:r>
      <w:r w:rsidR="00A57D57" w:rsidRPr="000125A6">
        <w:rPr>
          <w:rStyle w:val="EYBodytextwithparaspaceChar"/>
          <w:color w:val="auto"/>
        </w:rPr>
        <w:t>.</w:t>
      </w:r>
    </w:p>
    <w:p w14:paraId="188C478E" w14:textId="6873E998" w:rsidR="00A4386D" w:rsidRPr="000125A6" w:rsidRDefault="00A4386D" w:rsidP="00687536">
      <w:pPr>
        <w:pStyle w:val="EYBulletnoparaspace"/>
        <w:ind w:left="426"/>
        <w:rPr>
          <w:rStyle w:val="EYBodytextwithparaspaceChar"/>
          <w:color w:val="auto"/>
        </w:rPr>
      </w:pPr>
      <w:r w:rsidRPr="000125A6">
        <w:rPr>
          <w:rStyle w:val="EYBodytextwithparaspaceChar"/>
          <w:color w:val="auto"/>
        </w:rPr>
        <w:t xml:space="preserve">Engaging with publishers to determine </w:t>
      </w:r>
      <w:r w:rsidR="00E41783" w:rsidRPr="000125A6">
        <w:rPr>
          <w:rStyle w:val="EYBodytextwithparaspaceChar"/>
          <w:color w:val="auto"/>
        </w:rPr>
        <w:t>realistic</w:t>
      </w:r>
      <w:r w:rsidRPr="000125A6">
        <w:rPr>
          <w:rStyle w:val="EYBodytextwithparaspaceChar"/>
          <w:color w:val="auto"/>
        </w:rPr>
        <w:t xml:space="preserve"> negotiation lead times.</w:t>
      </w:r>
    </w:p>
    <w:p w14:paraId="6AEF9ABC" w14:textId="3A44D9B5" w:rsidR="00D7257F" w:rsidRPr="000125A6" w:rsidRDefault="00D7257F" w:rsidP="00687536">
      <w:pPr>
        <w:pStyle w:val="EYBulletnoparaspace"/>
        <w:ind w:left="426"/>
        <w:rPr>
          <w:rStyle w:val="EYBodytextwithparaspaceChar"/>
          <w:color w:val="auto"/>
        </w:rPr>
      </w:pPr>
      <w:r w:rsidRPr="000125A6">
        <w:rPr>
          <w:rStyle w:val="EYBodytextwithparaspaceChar"/>
          <w:color w:val="auto"/>
        </w:rPr>
        <w:t xml:space="preserve">Establishing a greater understanding of </w:t>
      </w:r>
      <w:r w:rsidR="00210813" w:rsidRPr="000125A6">
        <w:rPr>
          <w:rStyle w:val="EYBodytextwithparaspaceChar"/>
          <w:color w:val="auto"/>
        </w:rPr>
        <w:t>publisher</w:t>
      </w:r>
      <w:r w:rsidRPr="000125A6">
        <w:rPr>
          <w:rStyle w:val="EYBodytextwithparaspaceChar"/>
          <w:color w:val="auto"/>
        </w:rPr>
        <w:t xml:space="preserve"> pricing structures</w:t>
      </w:r>
      <w:r w:rsidR="00F613BB" w:rsidRPr="000125A6">
        <w:rPr>
          <w:rStyle w:val="EYBodytextwithparaspaceChar"/>
          <w:color w:val="auto"/>
        </w:rPr>
        <w:t xml:space="preserve">, including </w:t>
      </w:r>
      <w:r w:rsidR="003D578C" w:rsidRPr="000125A6">
        <w:rPr>
          <w:rStyle w:val="EYBodytextwithparaspaceChar"/>
          <w:color w:val="auto"/>
        </w:rPr>
        <w:t xml:space="preserve">how they </w:t>
      </w:r>
      <w:r w:rsidR="00E17264" w:rsidRPr="000125A6">
        <w:rPr>
          <w:rStyle w:val="EYBodytextwithparaspaceChar"/>
          <w:color w:val="auto"/>
        </w:rPr>
        <w:t xml:space="preserve">typically </w:t>
      </w:r>
      <w:r w:rsidR="00607A2C" w:rsidRPr="000125A6">
        <w:rPr>
          <w:rStyle w:val="EYBodytextwithparaspaceChar"/>
          <w:color w:val="auto"/>
        </w:rPr>
        <w:t xml:space="preserve">differentiate and </w:t>
      </w:r>
      <w:r w:rsidR="00BB1190" w:rsidRPr="000125A6">
        <w:rPr>
          <w:rStyle w:val="EYBodytextwithparaspaceChar"/>
          <w:color w:val="auto"/>
        </w:rPr>
        <w:t>price market segments and levels of access.</w:t>
      </w:r>
    </w:p>
    <w:p w14:paraId="38D6A5CE" w14:textId="74C56268" w:rsidR="00A4386D" w:rsidRPr="000125A6" w:rsidRDefault="00A4386D" w:rsidP="00687536">
      <w:pPr>
        <w:pStyle w:val="EYBulletnoparaspace"/>
        <w:ind w:left="426"/>
        <w:rPr>
          <w:rStyle w:val="EYBodytextwithparaspaceChar"/>
          <w:color w:val="auto"/>
        </w:rPr>
      </w:pPr>
      <w:r w:rsidRPr="000125A6">
        <w:rPr>
          <w:rStyle w:val="EYBodytextwithparaspaceChar"/>
          <w:color w:val="auto"/>
        </w:rPr>
        <w:t>Understanding the central implementation body’s resourcing requirements</w:t>
      </w:r>
      <w:r w:rsidR="00F21A0E" w:rsidRPr="000125A6">
        <w:rPr>
          <w:rStyle w:val="EYBodytextwithparaspaceChar"/>
          <w:color w:val="auto"/>
        </w:rPr>
        <w:t>,</w:t>
      </w:r>
      <w:r w:rsidRPr="000125A6">
        <w:rPr>
          <w:rStyle w:val="EYBodytextwithparaspaceChar"/>
          <w:color w:val="auto"/>
        </w:rPr>
        <w:t xml:space="preserve"> where </w:t>
      </w:r>
      <w:r w:rsidR="00726710" w:rsidRPr="000125A6">
        <w:rPr>
          <w:rStyle w:val="EYBodytextwithparaspaceChar"/>
          <w:color w:val="auto"/>
        </w:rPr>
        <w:t>s</w:t>
      </w:r>
      <w:r w:rsidR="00F21A0E" w:rsidRPr="000125A6">
        <w:rPr>
          <w:rStyle w:val="EYBodytextwithparaspaceChar"/>
          <w:color w:val="auto"/>
        </w:rPr>
        <w:t>taff</w:t>
      </w:r>
      <w:r w:rsidR="009F3C59" w:rsidRPr="000125A6">
        <w:rPr>
          <w:rStyle w:val="EYBodytextwithparaspaceChar"/>
          <w:color w:val="auto"/>
        </w:rPr>
        <w:t xml:space="preserve"> with appropriate skills currently </w:t>
      </w:r>
      <w:r w:rsidR="002F165C" w:rsidRPr="000125A6">
        <w:rPr>
          <w:rStyle w:val="EYBodytextwithparaspaceChar"/>
          <w:color w:val="auto"/>
        </w:rPr>
        <w:t>re</w:t>
      </w:r>
      <w:r w:rsidR="00BF71A4" w:rsidRPr="000125A6">
        <w:rPr>
          <w:rStyle w:val="EYBodytextwithparaspaceChar"/>
          <w:color w:val="auto"/>
        </w:rPr>
        <w:t>side</w:t>
      </w:r>
      <w:r w:rsidR="007C03D8" w:rsidRPr="000125A6">
        <w:rPr>
          <w:rStyle w:val="EYBodytextwithparaspaceChar"/>
          <w:color w:val="auto"/>
        </w:rPr>
        <w:t xml:space="preserve"> and how they could be transferred </w:t>
      </w:r>
      <w:r w:rsidRPr="000125A6">
        <w:rPr>
          <w:rStyle w:val="EYBodytextwithparaspaceChar"/>
          <w:color w:val="auto"/>
        </w:rPr>
        <w:t xml:space="preserve">to support </w:t>
      </w:r>
      <w:r w:rsidR="00602D3C" w:rsidRPr="000125A6">
        <w:rPr>
          <w:rStyle w:val="EYBodytextwithparaspaceChar"/>
          <w:color w:val="auto"/>
        </w:rPr>
        <w:t>implementation</w:t>
      </w:r>
      <w:r w:rsidRPr="000125A6">
        <w:rPr>
          <w:rStyle w:val="EYBodytextwithparaspaceChar"/>
          <w:color w:val="auto"/>
        </w:rPr>
        <w:t>.</w:t>
      </w:r>
    </w:p>
    <w:p w14:paraId="05101A02" w14:textId="447093EF" w:rsidR="00D7257F" w:rsidRPr="000125A6" w:rsidRDefault="00D7257F" w:rsidP="00687536">
      <w:pPr>
        <w:pStyle w:val="EYBulletnoparaspace"/>
        <w:ind w:left="426"/>
        <w:rPr>
          <w:rStyle w:val="EYBodytextwithparaspaceChar"/>
          <w:color w:val="auto"/>
        </w:rPr>
      </w:pPr>
      <w:r w:rsidRPr="000125A6">
        <w:rPr>
          <w:rStyle w:val="EYBodytextwithparaspaceChar"/>
          <w:color w:val="auto"/>
        </w:rPr>
        <w:t>Developing specifications for the central authentication system</w:t>
      </w:r>
      <w:r w:rsidR="00BF71A4" w:rsidRPr="000125A6">
        <w:rPr>
          <w:rStyle w:val="EYBodytextwithparaspaceChar"/>
          <w:color w:val="auto"/>
        </w:rPr>
        <w:t xml:space="preserve"> to support the scheme</w:t>
      </w:r>
      <w:r w:rsidRPr="000125A6">
        <w:rPr>
          <w:rStyle w:val="EYBodytextwithparaspaceChar"/>
          <w:color w:val="auto"/>
        </w:rPr>
        <w:t>.</w:t>
      </w:r>
    </w:p>
    <w:p w14:paraId="52F5C794" w14:textId="4738761A" w:rsidR="0025373F" w:rsidRPr="000125A6" w:rsidRDefault="000D74E9" w:rsidP="00687536">
      <w:pPr>
        <w:pStyle w:val="EYBulletnoparaspace"/>
        <w:ind w:left="426"/>
        <w:rPr>
          <w:rStyle w:val="EYBodytextwithparaspaceChar"/>
          <w:color w:val="auto"/>
        </w:rPr>
      </w:pPr>
      <w:r w:rsidRPr="000125A6">
        <w:rPr>
          <w:rStyle w:val="EYBodytextwithparaspaceChar"/>
          <w:color w:val="auto"/>
        </w:rPr>
        <w:t>Identifying</w:t>
      </w:r>
      <w:r w:rsidR="0025373F" w:rsidRPr="000125A6">
        <w:rPr>
          <w:rStyle w:val="EYBodytextwithparaspaceChar"/>
          <w:color w:val="auto"/>
        </w:rPr>
        <w:t xml:space="preserve"> potential funding arrangements</w:t>
      </w:r>
      <w:r w:rsidR="00926969" w:rsidRPr="000125A6">
        <w:rPr>
          <w:rStyle w:val="EYBodytextwithparaspaceChar"/>
          <w:color w:val="auto"/>
        </w:rPr>
        <w:t xml:space="preserve"> and the potential to repurpose existing </w:t>
      </w:r>
      <w:r w:rsidR="00604494" w:rsidRPr="000125A6">
        <w:rPr>
          <w:rStyle w:val="EYBodytextwithparaspaceChar"/>
          <w:color w:val="auto"/>
        </w:rPr>
        <w:t>public funding for journal subscriptions</w:t>
      </w:r>
      <w:r w:rsidR="0025373F" w:rsidRPr="000125A6">
        <w:rPr>
          <w:rStyle w:val="EYBodytextwithparaspaceChar"/>
          <w:color w:val="auto"/>
        </w:rPr>
        <w:t>.</w:t>
      </w:r>
    </w:p>
    <w:p w14:paraId="1F030DCF" w14:textId="6032EA9C" w:rsidR="00D7257F" w:rsidRPr="000125A6" w:rsidRDefault="00D7257F" w:rsidP="00687536">
      <w:pPr>
        <w:pStyle w:val="EYBulletnoparaspace"/>
        <w:ind w:left="426"/>
        <w:rPr>
          <w:rStyle w:val="EYBodytextwithparaspaceChar"/>
          <w:color w:val="auto"/>
        </w:rPr>
      </w:pPr>
      <w:r w:rsidRPr="000125A6">
        <w:rPr>
          <w:rStyle w:val="EYBodytextwithparaspaceChar"/>
          <w:color w:val="auto"/>
        </w:rPr>
        <w:t xml:space="preserve">Negotiating proposed read-and-publish agreements, including addressing issues around copyright and </w:t>
      </w:r>
      <w:r w:rsidR="00211573" w:rsidRPr="000125A6">
        <w:rPr>
          <w:rStyle w:val="EYBodytextwithparaspaceChar"/>
          <w:color w:val="auto"/>
        </w:rPr>
        <w:t>around</w:t>
      </w:r>
      <w:r w:rsidRPr="000125A6">
        <w:rPr>
          <w:rStyle w:val="EYBodytextwithparaspaceChar"/>
          <w:color w:val="auto"/>
        </w:rPr>
        <w:t xml:space="preserve"> identifying Australian-led research publications, building on arrangements already secured by CSIRO and CAUL</w:t>
      </w:r>
      <w:r w:rsidR="00A57D57" w:rsidRPr="000125A6">
        <w:rPr>
          <w:rStyle w:val="EYBodytextwithparaspaceChar"/>
          <w:color w:val="auto"/>
        </w:rPr>
        <w:t>.</w:t>
      </w:r>
    </w:p>
    <w:p w14:paraId="279D1D1E" w14:textId="2D18490D" w:rsidR="003C09E6" w:rsidRPr="002E53F8" w:rsidRDefault="007D4F83" w:rsidP="004A5AE2">
      <w:pPr>
        <w:pStyle w:val="EYBodytextwithoutparaspace"/>
        <w:rPr>
          <w:rStyle w:val="EYBodytextwithparaspaceChar"/>
          <w:color w:val="auto"/>
        </w:rPr>
      </w:pPr>
      <w:r w:rsidRPr="002E53F8">
        <w:rPr>
          <w:rStyle w:val="EYBodytextwithparaspaceChar"/>
          <w:color w:val="auto"/>
        </w:rPr>
        <w:t xml:space="preserve">As discussed </w:t>
      </w:r>
      <w:r w:rsidR="004A5AE2" w:rsidRPr="002E53F8">
        <w:rPr>
          <w:rStyle w:val="EYBodytextwithparaspaceChar"/>
          <w:color w:val="auto"/>
        </w:rPr>
        <w:t>within</w:t>
      </w:r>
      <w:r w:rsidRPr="002E53F8">
        <w:rPr>
          <w:rStyle w:val="EYBodytextwithparaspaceChar"/>
          <w:color w:val="auto"/>
        </w:rPr>
        <w:t xml:space="preserve"> this </w:t>
      </w:r>
      <w:r w:rsidR="004A5AE2" w:rsidRPr="002E53F8">
        <w:rPr>
          <w:rStyle w:val="EYBodytextwithparaspaceChar"/>
          <w:color w:val="auto"/>
        </w:rPr>
        <w:t xml:space="preserve">briefing </w:t>
      </w:r>
      <w:r w:rsidRPr="002E53F8">
        <w:rPr>
          <w:rStyle w:val="EYBodytextwithparaspaceChar"/>
          <w:color w:val="auto"/>
        </w:rPr>
        <w:t xml:space="preserve">paper, </w:t>
      </w:r>
      <w:r w:rsidR="00B53224" w:rsidRPr="002E53F8">
        <w:rPr>
          <w:rStyle w:val="EYBodytextwithparaspaceChar"/>
          <w:color w:val="auto"/>
        </w:rPr>
        <w:t xml:space="preserve">the delivery of </w:t>
      </w:r>
      <w:r w:rsidRPr="002E53F8">
        <w:rPr>
          <w:rStyle w:val="EYBodytextwithparaspaceChar"/>
          <w:color w:val="auto"/>
        </w:rPr>
        <w:t xml:space="preserve">the </w:t>
      </w:r>
      <w:r w:rsidR="0040729D" w:rsidRPr="002E53F8">
        <w:rPr>
          <w:rStyle w:val="EYBodytextwithparaspaceChar"/>
          <w:color w:val="auto"/>
        </w:rPr>
        <w:t>s</w:t>
      </w:r>
      <w:r w:rsidRPr="002E53F8">
        <w:rPr>
          <w:rStyle w:val="EYBodytextwithparaspaceChar"/>
          <w:color w:val="auto"/>
        </w:rPr>
        <w:t xml:space="preserve">cheme </w:t>
      </w:r>
      <w:r w:rsidR="00E1353C" w:rsidRPr="002E53F8">
        <w:rPr>
          <w:rStyle w:val="EYBodytextwithparaspaceChar"/>
          <w:color w:val="auto"/>
        </w:rPr>
        <w:t>is manage</w:t>
      </w:r>
      <w:r w:rsidR="00FF62E3" w:rsidRPr="002E53F8">
        <w:rPr>
          <w:rStyle w:val="EYBodytextwithparaspaceChar"/>
          <w:color w:val="auto"/>
        </w:rPr>
        <w:t>able</w:t>
      </w:r>
      <w:r w:rsidR="00FC6559" w:rsidRPr="002E53F8">
        <w:rPr>
          <w:rStyle w:val="EYBodytextwithparaspaceChar"/>
          <w:color w:val="auto"/>
        </w:rPr>
        <w:t xml:space="preserve"> and </w:t>
      </w:r>
      <w:r w:rsidR="00E1353C" w:rsidRPr="002E53F8">
        <w:rPr>
          <w:rStyle w:val="EYBodytextwithparaspaceChar"/>
          <w:color w:val="auto"/>
        </w:rPr>
        <w:t>is</w:t>
      </w:r>
      <w:r w:rsidR="00FC6559" w:rsidRPr="002E53F8">
        <w:rPr>
          <w:rStyle w:val="EYBodytextwithparaspaceChar"/>
          <w:color w:val="auto"/>
        </w:rPr>
        <w:t xml:space="preserve"> unlikely to involve excessive </w:t>
      </w:r>
      <w:r w:rsidR="00911DAD" w:rsidRPr="002E53F8">
        <w:rPr>
          <w:rStyle w:val="EYBodytextwithparaspaceChar"/>
          <w:color w:val="auto"/>
        </w:rPr>
        <w:t xml:space="preserve">costs </w:t>
      </w:r>
      <w:r w:rsidR="00FF62E3" w:rsidRPr="002E53F8">
        <w:rPr>
          <w:rStyle w:val="EYBodytextwithparaspaceChar"/>
          <w:color w:val="auto"/>
        </w:rPr>
        <w:t xml:space="preserve">and risks </w:t>
      </w:r>
      <w:r w:rsidR="00911DAD" w:rsidRPr="002E53F8">
        <w:rPr>
          <w:rStyle w:val="EYBodytextwithparaspaceChar"/>
          <w:color w:val="auto"/>
        </w:rPr>
        <w:t>for government</w:t>
      </w:r>
      <w:r w:rsidR="003C09E6" w:rsidRPr="002E53F8">
        <w:rPr>
          <w:rStyle w:val="EYBodytextwithparaspaceChar"/>
          <w:color w:val="auto"/>
        </w:rPr>
        <w:t>.</w:t>
      </w:r>
    </w:p>
    <w:p w14:paraId="66EB7222" w14:textId="513BB46E" w:rsidR="007D4F83" w:rsidRPr="002E53F8" w:rsidRDefault="0000217A" w:rsidP="004A5AE2">
      <w:pPr>
        <w:pStyle w:val="EYBodytextwithoutparaspace"/>
        <w:rPr>
          <w:rStyle w:val="EYBodytextwithparaspaceChar"/>
          <w:color w:val="auto"/>
        </w:rPr>
      </w:pPr>
      <w:r w:rsidRPr="002E53F8">
        <w:rPr>
          <w:rStyle w:val="EYBodytextwithparaspaceChar"/>
          <w:color w:val="auto"/>
        </w:rPr>
        <w:t>Building on strong stakeholder buy-in, and</w:t>
      </w:r>
      <w:r w:rsidR="007D4F83" w:rsidRPr="002E53F8">
        <w:rPr>
          <w:rStyle w:val="EYBodytextwithparaspaceChar"/>
          <w:color w:val="auto"/>
        </w:rPr>
        <w:t xml:space="preserve"> with appropriate resourcing and project management</w:t>
      </w:r>
      <w:r w:rsidRPr="002E53F8">
        <w:rPr>
          <w:rStyle w:val="EYBodytextwithparaspaceChar"/>
          <w:color w:val="auto"/>
        </w:rPr>
        <w:t>, a national open access</w:t>
      </w:r>
      <w:r w:rsidR="007D4F83" w:rsidRPr="002E53F8">
        <w:rPr>
          <w:rStyle w:val="EYBodytextwithparaspaceChar"/>
          <w:color w:val="auto"/>
        </w:rPr>
        <w:t xml:space="preserve"> </w:t>
      </w:r>
      <w:r w:rsidR="00041A76" w:rsidRPr="002E53F8">
        <w:rPr>
          <w:rStyle w:val="EYBodytextwithparaspaceChar"/>
          <w:color w:val="auto"/>
        </w:rPr>
        <w:t>s</w:t>
      </w:r>
      <w:r w:rsidR="007D4F83" w:rsidRPr="002E53F8">
        <w:rPr>
          <w:rStyle w:val="EYBodytextwithparaspaceChar"/>
          <w:color w:val="auto"/>
        </w:rPr>
        <w:t xml:space="preserve">cheme can transform </w:t>
      </w:r>
      <w:r w:rsidR="007B45B3" w:rsidRPr="002E53F8">
        <w:rPr>
          <w:rStyle w:val="EYBodytextwithparaspaceChar"/>
          <w:color w:val="auto"/>
        </w:rPr>
        <w:t>how Australian</w:t>
      </w:r>
      <w:r w:rsidR="0062710A">
        <w:rPr>
          <w:rStyle w:val="EYBodytextwithparaspaceChar"/>
          <w:color w:val="auto"/>
        </w:rPr>
        <w:t>’</w:t>
      </w:r>
      <w:r w:rsidR="007B45B3" w:rsidRPr="002E53F8">
        <w:rPr>
          <w:rStyle w:val="EYBodytextwithparaspaceChar"/>
          <w:color w:val="auto"/>
        </w:rPr>
        <w:t xml:space="preserve">s access and </w:t>
      </w:r>
      <w:r w:rsidR="007B0B80" w:rsidRPr="002E53F8">
        <w:rPr>
          <w:rStyle w:val="EYBodytextwithparaspaceChar"/>
          <w:color w:val="auto"/>
        </w:rPr>
        <w:t xml:space="preserve">capitalise on </w:t>
      </w:r>
      <w:r w:rsidR="00AE613D" w:rsidRPr="002E53F8">
        <w:rPr>
          <w:rStyle w:val="EYBodytextwithparaspaceChar"/>
          <w:color w:val="auto"/>
        </w:rPr>
        <w:t>cutting-edge academic research</w:t>
      </w:r>
      <w:r w:rsidR="00186FF9" w:rsidRPr="002E53F8">
        <w:rPr>
          <w:rStyle w:val="EYBodytextwithparaspaceChar"/>
          <w:color w:val="auto"/>
        </w:rPr>
        <w:t xml:space="preserve"> over the long term</w:t>
      </w:r>
      <w:r w:rsidR="007D4F83" w:rsidRPr="002E53F8">
        <w:rPr>
          <w:rStyle w:val="EYBodytextwithparaspaceChar"/>
          <w:color w:val="auto"/>
        </w:rPr>
        <w:t>.</w:t>
      </w:r>
      <w:r w:rsidR="00AB5BCF" w:rsidRPr="002E53F8">
        <w:rPr>
          <w:rStyle w:val="EYBodytextwithparaspaceChar"/>
          <w:color w:val="auto"/>
        </w:rPr>
        <w:t xml:space="preserve"> It would help drive Australia’s knowledge economy</w:t>
      </w:r>
      <w:r w:rsidR="006E62A4" w:rsidRPr="002E53F8">
        <w:rPr>
          <w:rStyle w:val="EYBodytextwithparaspaceChar"/>
          <w:color w:val="auto"/>
        </w:rPr>
        <w:t>.</w:t>
      </w:r>
    </w:p>
    <w:p w14:paraId="31B683BF" w14:textId="61004BC1" w:rsidR="00084C1C" w:rsidRPr="007D4F83" w:rsidRDefault="007D4F83" w:rsidP="00A577AC">
      <w:pPr>
        <w:pStyle w:val="EYBodytextwithparaspace"/>
      </w:pPr>
      <w:r w:rsidRPr="00F15A83">
        <w:rPr>
          <w:rStyle w:val="EYBodytextwithparaspaceChar"/>
        </w:rPr>
        <w:br w:type="page"/>
      </w:r>
    </w:p>
    <w:p w14:paraId="699B47E9" w14:textId="3C33BA5E" w:rsidR="004B5389" w:rsidRDefault="00AB2DF1" w:rsidP="00400473">
      <w:pPr>
        <w:pStyle w:val="EYAppendix"/>
      </w:pPr>
      <w:bookmarkStart w:id="78" w:name="_Toc115717101"/>
      <w:r>
        <w:lastRenderedPageBreak/>
        <w:t>Multi</w:t>
      </w:r>
      <w:r w:rsidR="00633B80">
        <w:t>-</w:t>
      </w:r>
      <w:r>
        <w:t>criteria analysis</w:t>
      </w:r>
      <w:bookmarkEnd w:id="78"/>
    </w:p>
    <w:p w14:paraId="1695F955" w14:textId="2CCC9D75" w:rsidR="000753E9" w:rsidRPr="006119F9" w:rsidRDefault="000753E9" w:rsidP="000B664A">
      <w:pPr>
        <w:pStyle w:val="EYBodytextwithoutparaspace"/>
      </w:pPr>
      <w:r w:rsidRPr="006119F9">
        <w:t xml:space="preserve">This appendix provides the framework and approach for evaluating the different open access options using multi-criteria analysis (MCA). MCA is a proven methodology used on complex multi-disciplinary problems assisting </w:t>
      </w:r>
      <w:r w:rsidR="00666DD1">
        <w:t>policy</w:t>
      </w:r>
      <w:r w:rsidRPr="006119F9">
        <w:t xml:space="preserve"> decision making and investment pioneering.</w:t>
      </w:r>
    </w:p>
    <w:p w14:paraId="128AF46B" w14:textId="6A63E582" w:rsidR="000753E9" w:rsidRPr="006119F9" w:rsidRDefault="000753E9" w:rsidP="000B664A">
      <w:pPr>
        <w:pStyle w:val="EYBodytextwithoutparaspace"/>
      </w:pPr>
      <w:r w:rsidRPr="006119F9">
        <w:t xml:space="preserve">The MCA establishes preferences between open access options through an assessment against selected evaluation criteria for Australia’s </w:t>
      </w:r>
      <w:r w:rsidR="001967DC">
        <w:t>n</w:t>
      </w:r>
      <w:r w:rsidRPr="006119F9">
        <w:t xml:space="preserve">ational </w:t>
      </w:r>
      <w:r w:rsidR="001967DC">
        <w:t>o</w:t>
      </w:r>
      <w:r w:rsidRPr="006119F9">
        <w:t xml:space="preserve">pen </w:t>
      </w:r>
      <w:r w:rsidR="001967DC">
        <w:t>a</w:t>
      </w:r>
      <w:r w:rsidRPr="006119F9">
        <w:t xml:space="preserve">ccess </w:t>
      </w:r>
      <w:r w:rsidR="001967DC">
        <w:t>s</w:t>
      </w:r>
      <w:r w:rsidRPr="006119F9">
        <w:t>trategy. The evaluation criteria provide a measurable base to assess how each option achieves the Strategy's goals, and the economic wider impact of each option. Chapter 3 outlines the principles and objectives of the open access strategy. Chapter 5 and Chapter 8 provide a detailed description of the open access models assessed in the MCA.</w:t>
      </w:r>
    </w:p>
    <w:p w14:paraId="77CF6BBC" w14:textId="77777777" w:rsidR="000753E9" w:rsidRPr="0062710A" w:rsidRDefault="000753E9" w:rsidP="000753E9">
      <w:pPr>
        <w:keepNext/>
        <w:numPr>
          <w:ilvl w:val="1"/>
          <w:numId w:val="0"/>
        </w:numPr>
        <w:tabs>
          <w:tab w:val="num" w:pos="0"/>
        </w:tabs>
        <w:spacing w:before="120" w:after="120"/>
        <w:ind w:left="851" w:hanging="851"/>
        <w:outlineLvl w:val="1"/>
        <w:rPr>
          <w:b/>
          <w:sz w:val="28"/>
          <w:szCs w:val="24"/>
        </w:rPr>
      </w:pPr>
      <w:bookmarkStart w:id="79" w:name="_Toc105137322"/>
      <w:r w:rsidRPr="0062710A">
        <w:rPr>
          <w:b/>
          <w:sz w:val="28"/>
          <w:szCs w:val="24"/>
        </w:rPr>
        <w:t>Evaluation criteria and rating mechanism</w:t>
      </w:r>
      <w:bookmarkEnd w:id="79"/>
    </w:p>
    <w:p w14:paraId="6B64F458" w14:textId="48C33A79" w:rsidR="000753E9" w:rsidRPr="006119F9" w:rsidRDefault="000753E9" w:rsidP="00F61A5A">
      <w:pPr>
        <w:pStyle w:val="EYBodytextwithoutparaspace"/>
      </w:pPr>
      <w:r w:rsidRPr="006119F9">
        <w:t xml:space="preserve">The evaluation criteria in </w:t>
      </w:r>
      <w:r w:rsidR="002F2507">
        <w:fldChar w:fldCharType="begin"/>
      </w:r>
      <w:r w:rsidR="002F2507">
        <w:instrText xml:space="preserve"> REF _Ref115696110 \h </w:instrText>
      </w:r>
      <w:r w:rsidR="002F2507">
        <w:fldChar w:fldCharType="separate"/>
      </w:r>
      <w:r w:rsidR="008112E6" w:rsidRPr="006119F9">
        <w:t xml:space="preserve">Table </w:t>
      </w:r>
      <w:r w:rsidR="008112E6">
        <w:rPr>
          <w:noProof/>
        </w:rPr>
        <w:t>11</w:t>
      </w:r>
      <w:r w:rsidR="002F2507">
        <w:fldChar w:fldCharType="end"/>
      </w:r>
      <w:r w:rsidRPr="006119F9">
        <w:t xml:space="preserve"> assess the potential long-term impacts of each open access model, the immediate challenges of implementing each open access model, and each open access model’s alignment to guiding principles of the</w:t>
      </w:r>
      <w:r w:rsidR="00F61A5A">
        <w:t xml:space="preserve"> national open access strategy</w:t>
      </w:r>
      <w:r w:rsidRPr="006119F9">
        <w:t>.</w:t>
      </w:r>
    </w:p>
    <w:p w14:paraId="1AFEC749" w14:textId="2535B37B" w:rsidR="000753E9" w:rsidRPr="006119F9" w:rsidRDefault="000753E9" w:rsidP="000753E9">
      <w:pPr>
        <w:pStyle w:val="Caption"/>
        <w:keepNext/>
      </w:pPr>
      <w:bookmarkStart w:id="80" w:name="_Ref115696110"/>
      <w:bookmarkStart w:id="81" w:name="_Ref115696104"/>
      <w:r w:rsidRPr="006119F9">
        <w:t xml:space="preserve">Table </w:t>
      </w:r>
      <w:r w:rsidRPr="006119F9">
        <w:fldChar w:fldCharType="begin"/>
      </w:r>
      <w:r w:rsidRPr="006119F9">
        <w:instrText xml:space="preserve"> SEQ Table \* ARABIC </w:instrText>
      </w:r>
      <w:r w:rsidRPr="006119F9">
        <w:fldChar w:fldCharType="separate"/>
      </w:r>
      <w:r w:rsidR="008112E6">
        <w:rPr>
          <w:noProof/>
        </w:rPr>
        <w:t>11</w:t>
      </w:r>
      <w:r w:rsidRPr="006119F9">
        <w:fldChar w:fldCharType="end"/>
      </w:r>
      <w:bookmarkEnd w:id="80"/>
      <w:r w:rsidRPr="006119F9">
        <w:t xml:space="preserve">: Assessment </w:t>
      </w:r>
      <w:r w:rsidR="00CA2026">
        <w:t>c</w:t>
      </w:r>
      <w:r w:rsidRPr="006119F9">
        <w:t>riteria</w:t>
      </w:r>
      <w:bookmarkEnd w:id="81"/>
    </w:p>
    <w:tbl>
      <w:tblPr>
        <w:tblStyle w:val="TableGrid"/>
        <w:tblW w:w="0" w:type="auto"/>
        <w:tblBorders>
          <w:top w:val="none" w:sz="0" w:space="0" w:color="auto"/>
          <w:left w:val="none" w:sz="0" w:space="0" w:color="auto"/>
          <w:bottom w:val="single" w:sz="4" w:space="0" w:color="787890" w:themeColor="text1" w:themeTint="99"/>
          <w:right w:val="none" w:sz="0" w:space="0" w:color="auto"/>
          <w:insideH w:val="single" w:sz="4" w:space="0" w:color="787890" w:themeColor="text1" w:themeTint="99"/>
          <w:insideV w:val="none" w:sz="0" w:space="0" w:color="auto"/>
        </w:tblBorders>
        <w:tblCellMar>
          <w:top w:w="113" w:type="dxa"/>
          <w:bottom w:w="113" w:type="dxa"/>
        </w:tblCellMar>
        <w:tblLook w:val="04A0" w:firstRow="1" w:lastRow="0" w:firstColumn="1" w:lastColumn="0" w:noHBand="0" w:noVBand="1"/>
      </w:tblPr>
      <w:tblGrid>
        <w:gridCol w:w="2127"/>
        <w:gridCol w:w="6892"/>
      </w:tblGrid>
      <w:tr w:rsidR="000753E9" w:rsidRPr="00711975" w14:paraId="1A2E477A" w14:textId="77777777" w:rsidTr="00711975">
        <w:tc>
          <w:tcPr>
            <w:tcW w:w="2127" w:type="dxa"/>
            <w:shd w:val="clear" w:color="auto" w:fill="787890" w:themeFill="text1" w:themeFillTint="99"/>
          </w:tcPr>
          <w:p w14:paraId="3B3003FA" w14:textId="77777777" w:rsidR="000753E9" w:rsidRPr="00711975" w:rsidRDefault="000753E9" w:rsidP="001605A6">
            <w:pPr>
              <w:rPr>
                <w:rFonts w:ascii="EYInterstate Light" w:hAnsi="EYInterstate Light"/>
                <w:b/>
                <w:color w:val="FFFFFF" w:themeColor="background1"/>
              </w:rPr>
            </w:pPr>
            <w:r w:rsidRPr="00711975">
              <w:rPr>
                <w:rFonts w:ascii="EYInterstate Light" w:hAnsi="EYInterstate Light"/>
                <w:b/>
                <w:color w:val="FFFFFF" w:themeColor="background1"/>
              </w:rPr>
              <w:t>Criteria</w:t>
            </w:r>
          </w:p>
        </w:tc>
        <w:tc>
          <w:tcPr>
            <w:tcW w:w="6892" w:type="dxa"/>
            <w:shd w:val="clear" w:color="auto" w:fill="787890" w:themeFill="text1" w:themeFillTint="99"/>
          </w:tcPr>
          <w:p w14:paraId="3C155A19" w14:textId="77777777" w:rsidR="000753E9" w:rsidRPr="00711975" w:rsidRDefault="000753E9" w:rsidP="001605A6">
            <w:pPr>
              <w:rPr>
                <w:rFonts w:ascii="EYInterstate Light" w:hAnsi="EYInterstate Light"/>
                <w:b/>
                <w:color w:val="FFFFFF" w:themeColor="background1"/>
              </w:rPr>
            </w:pPr>
            <w:r w:rsidRPr="00711975">
              <w:rPr>
                <w:rFonts w:ascii="EYInterstate Light" w:hAnsi="EYInterstate Light"/>
                <w:b/>
                <w:color w:val="FFFFFF" w:themeColor="background1"/>
              </w:rPr>
              <w:t>Details</w:t>
            </w:r>
          </w:p>
        </w:tc>
      </w:tr>
      <w:tr w:rsidR="000753E9" w:rsidRPr="006119F9" w14:paraId="3C6AA8F5" w14:textId="77777777" w:rsidTr="00711975">
        <w:tc>
          <w:tcPr>
            <w:tcW w:w="2127" w:type="dxa"/>
          </w:tcPr>
          <w:p w14:paraId="7C78D75A" w14:textId="77777777" w:rsidR="000753E9" w:rsidRPr="001D4C47" w:rsidRDefault="000753E9" w:rsidP="001605A6">
            <w:pPr>
              <w:rPr>
                <w:rFonts w:ascii="EYInterstate Light" w:hAnsi="EYInterstate Light"/>
                <w:b/>
              </w:rPr>
            </w:pPr>
            <w:r w:rsidRPr="001D4C47">
              <w:rPr>
                <w:rFonts w:ascii="EYInterstate Light" w:hAnsi="EYInterstate Light"/>
                <w:b/>
              </w:rPr>
              <w:t>Australian access to academic journals articles</w:t>
            </w:r>
          </w:p>
        </w:tc>
        <w:tc>
          <w:tcPr>
            <w:tcW w:w="6892" w:type="dxa"/>
          </w:tcPr>
          <w:p w14:paraId="42EA9533" w14:textId="77777777" w:rsidR="000753E9" w:rsidRPr="001D4C47" w:rsidRDefault="000753E9" w:rsidP="001605A6">
            <w:pPr>
              <w:rPr>
                <w:rFonts w:ascii="EYInterstate Light" w:hAnsi="EYInterstate Light"/>
              </w:rPr>
            </w:pPr>
            <w:r w:rsidRPr="001D4C47">
              <w:rPr>
                <w:rFonts w:ascii="EYInterstate Light" w:hAnsi="EYInterstate Light"/>
              </w:rPr>
              <w:t>Measures Australia’s access to academic journal publications</w:t>
            </w:r>
          </w:p>
        </w:tc>
      </w:tr>
      <w:tr w:rsidR="000753E9" w:rsidRPr="006119F9" w14:paraId="3965E264" w14:textId="77777777" w:rsidTr="00711975">
        <w:tc>
          <w:tcPr>
            <w:tcW w:w="2127" w:type="dxa"/>
          </w:tcPr>
          <w:p w14:paraId="62E09A44" w14:textId="77777777" w:rsidR="000753E9" w:rsidRPr="001D4C47" w:rsidRDefault="000753E9" w:rsidP="001605A6">
            <w:pPr>
              <w:rPr>
                <w:rFonts w:ascii="EYInterstate Light" w:hAnsi="EYInterstate Light"/>
                <w:b/>
              </w:rPr>
            </w:pPr>
            <w:r w:rsidRPr="001D4C47">
              <w:rPr>
                <w:rFonts w:ascii="EYInterstate Light" w:hAnsi="EYInterstate Light"/>
                <w:b/>
              </w:rPr>
              <w:t>Australian journal articles published as open access</w:t>
            </w:r>
          </w:p>
        </w:tc>
        <w:tc>
          <w:tcPr>
            <w:tcW w:w="6892" w:type="dxa"/>
          </w:tcPr>
          <w:p w14:paraId="5D8B05AF" w14:textId="41740F19" w:rsidR="000753E9" w:rsidRPr="001D4C47" w:rsidRDefault="000753E9" w:rsidP="001605A6">
            <w:pPr>
              <w:rPr>
                <w:rFonts w:ascii="EYInterstate Light" w:hAnsi="EYInterstate Light"/>
              </w:rPr>
            </w:pPr>
            <w:r w:rsidRPr="001D4C47">
              <w:rPr>
                <w:rFonts w:ascii="EYInterstate Light" w:hAnsi="EYInterstate Light"/>
              </w:rPr>
              <w:t>Measures likely proportion of Australian led research journal articles published in an open access platform (gold, hybrid and green)</w:t>
            </w:r>
          </w:p>
        </w:tc>
      </w:tr>
      <w:tr w:rsidR="000753E9" w:rsidRPr="006119F9" w14:paraId="71EF0C31" w14:textId="77777777" w:rsidTr="00711975">
        <w:trPr>
          <w:trHeight w:val="613"/>
        </w:trPr>
        <w:tc>
          <w:tcPr>
            <w:tcW w:w="2127" w:type="dxa"/>
          </w:tcPr>
          <w:p w14:paraId="14AAEBAD" w14:textId="77777777" w:rsidR="000753E9" w:rsidRPr="001D4C47" w:rsidRDefault="000753E9" w:rsidP="001605A6">
            <w:pPr>
              <w:rPr>
                <w:rFonts w:ascii="EYInterstate Light" w:hAnsi="EYInterstate Light"/>
                <w:b/>
              </w:rPr>
            </w:pPr>
            <w:r w:rsidRPr="001D4C47">
              <w:rPr>
                <w:rFonts w:ascii="EYInterstate Light" w:hAnsi="EYInterstate Light"/>
                <w:b/>
              </w:rPr>
              <w:t>Research integrity and discoverability</w:t>
            </w:r>
          </w:p>
        </w:tc>
        <w:tc>
          <w:tcPr>
            <w:tcW w:w="6892" w:type="dxa"/>
          </w:tcPr>
          <w:p w14:paraId="7C1FFB0D" w14:textId="3BE5831F" w:rsidR="000753E9" w:rsidRPr="001D4C47" w:rsidRDefault="000753E9" w:rsidP="001605A6">
            <w:pPr>
              <w:rPr>
                <w:rFonts w:ascii="EYInterstate Light" w:hAnsi="EYInterstate Light"/>
              </w:rPr>
            </w:pPr>
            <w:r w:rsidRPr="001D4C47">
              <w:rPr>
                <w:rFonts w:ascii="EYInterstate Light" w:hAnsi="EYInterstate Light"/>
              </w:rPr>
              <w:t>Measures the model’s ability to facilitate quality metadata, keeping version of record, and assisting in discoverability</w:t>
            </w:r>
          </w:p>
        </w:tc>
      </w:tr>
      <w:tr w:rsidR="000753E9" w:rsidRPr="006119F9" w14:paraId="26877C44" w14:textId="77777777" w:rsidTr="00711975">
        <w:tc>
          <w:tcPr>
            <w:tcW w:w="2127" w:type="dxa"/>
          </w:tcPr>
          <w:p w14:paraId="7AB3B858" w14:textId="77777777" w:rsidR="000753E9" w:rsidRPr="001D4C47" w:rsidRDefault="000753E9" w:rsidP="001605A6">
            <w:pPr>
              <w:rPr>
                <w:rFonts w:ascii="EYInterstate Light" w:hAnsi="EYInterstate Light"/>
                <w:b/>
              </w:rPr>
            </w:pPr>
            <w:r w:rsidRPr="001D4C47">
              <w:rPr>
                <w:rFonts w:ascii="EYInterstate Light" w:hAnsi="EYInterstate Light"/>
                <w:b/>
              </w:rPr>
              <w:t>Cost</w:t>
            </w:r>
          </w:p>
        </w:tc>
        <w:tc>
          <w:tcPr>
            <w:tcW w:w="6892" w:type="dxa"/>
          </w:tcPr>
          <w:p w14:paraId="5BB4149C" w14:textId="77777777" w:rsidR="000753E9" w:rsidRPr="001D4C47" w:rsidRDefault="000753E9" w:rsidP="001605A6">
            <w:pPr>
              <w:rPr>
                <w:rFonts w:ascii="EYInterstate Light" w:hAnsi="EYInterstate Light"/>
              </w:rPr>
            </w:pPr>
            <w:r w:rsidRPr="001D4C47">
              <w:rPr>
                <w:rFonts w:ascii="EYInterstate Light" w:hAnsi="EYInterstate Light"/>
              </w:rPr>
              <w:t>Measures the likely cost of each open access model</w:t>
            </w:r>
          </w:p>
        </w:tc>
      </w:tr>
      <w:tr w:rsidR="000753E9" w:rsidRPr="006119F9" w14:paraId="78B0A613" w14:textId="77777777" w:rsidTr="00711975">
        <w:trPr>
          <w:trHeight w:val="17"/>
        </w:trPr>
        <w:tc>
          <w:tcPr>
            <w:tcW w:w="2127" w:type="dxa"/>
          </w:tcPr>
          <w:p w14:paraId="36B6FD24" w14:textId="77777777" w:rsidR="000753E9" w:rsidRPr="001D4C47" w:rsidRDefault="000753E9" w:rsidP="001605A6">
            <w:pPr>
              <w:rPr>
                <w:rFonts w:ascii="EYInterstate Light" w:hAnsi="EYInterstate Light"/>
                <w:b/>
              </w:rPr>
            </w:pPr>
            <w:r w:rsidRPr="001D4C47">
              <w:rPr>
                <w:rFonts w:ascii="EYInterstate Light" w:hAnsi="EYInterstate Light"/>
                <w:b/>
              </w:rPr>
              <w:t>Market and competition effect</w:t>
            </w:r>
          </w:p>
        </w:tc>
        <w:tc>
          <w:tcPr>
            <w:tcW w:w="6892" w:type="dxa"/>
          </w:tcPr>
          <w:p w14:paraId="251A3003" w14:textId="77777777" w:rsidR="000753E9" w:rsidRPr="001D4C47" w:rsidRDefault="000753E9" w:rsidP="001605A6">
            <w:pPr>
              <w:rPr>
                <w:rFonts w:ascii="EYInterstate Light" w:hAnsi="EYInterstate Light"/>
              </w:rPr>
            </w:pPr>
            <w:r w:rsidRPr="001D4C47">
              <w:rPr>
                <w:rFonts w:ascii="EYInterstate Light" w:hAnsi="EYInterstate Light"/>
              </w:rPr>
              <w:t>Measures the potential impact on the research market and publishers</w:t>
            </w:r>
          </w:p>
        </w:tc>
      </w:tr>
      <w:tr w:rsidR="000753E9" w:rsidRPr="006119F9" w14:paraId="377C2E47" w14:textId="77777777" w:rsidTr="00711975">
        <w:trPr>
          <w:trHeight w:val="17"/>
        </w:trPr>
        <w:tc>
          <w:tcPr>
            <w:tcW w:w="2127" w:type="dxa"/>
          </w:tcPr>
          <w:p w14:paraId="2BE00F94" w14:textId="77777777" w:rsidR="000753E9" w:rsidRPr="001D4C47" w:rsidRDefault="000753E9" w:rsidP="001605A6">
            <w:pPr>
              <w:rPr>
                <w:rFonts w:ascii="EYInterstate Light" w:hAnsi="EYInterstate Light"/>
                <w:b/>
              </w:rPr>
            </w:pPr>
            <w:r w:rsidRPr="001D4C47">
              <w:rPr>
                <w:rFonts w:ascii="EYInterstate Light" w:hAnsi="EYInterstate Light"/>
                <w:b/>
              </w:rPr>
              <w:t>Economic impact</w:t>
            </w:r>
          </w:p>
        </w:tc>
        <w:tc>
          <w:tcPr>
            <w:tcW w:w="6892" w:type="dxa"/>
          </w:tcPr>
          <w:p w14:paraId="4DC2712A" w14:textId="77777777" w:rsidR="000753E9" w:rsidRPr="001D4C47" w:rsidRDefault="000753E9" w:rsidP="001605A6">
            <w:pPr>
              <w:rPr>
                <w:rFonts w:ascii="EYInterstate Light" w:hAnsi="EYInterstate Light"/>
              </w:rPr>
            </w:pPr>
            <w:r w:rsidRPr="001D4C47">
              <w:rPr>
                <w:rFonts w:ascii="EYInterstate Light" w:hAnsi="EYInterstate Light"/>
              </w:rPr>
              <w:t>Measures the likely economic benefit of each open access model</w:t>
            </w:r>
          </w:p>
        </w:tc>
      </w:tr>
      <w:tr w:rsidR="000753E9" w:rsidRPr="006119F9" w14:paraId="4124C3BF" w14:textId="77777777" w:rsidTr="00711975">
        <w:tc>
          <w:tcPr>
            <w:tcW w:w="2127" w:type="dxa"/>
          </w:tcPr>
          <w:p w14:paraId="3208215A" w14:textId="77777777" w:rsidR="000753E9" w:rsidRPr="001D4C47" w:rsidRDefault="000753E9" w:rsidP="001605A6">
            <w:pPr>
              <w:rPr>
                <w:rFonts w:ascii="EYInterstate Light" w:hAnsi="EYInterstate Light"/>
                <w:b/>
              </w:rPr>
            </w:pPr>
            <w:r w:rsidRPr="001D4C47">
              <w:rPr>
                <w:rFonts w:ascii="EYInterstate Light" w:hAnsi="EYInterstate Light"/>
                <w:b/>
              </w:rPr>
              <w:t>Deliverability</w:t>
            </w:r>
          </w:p>
        </w:tc>
        <w:tc>
          <w:tcPr>
            <w:tcW w:w="6892" w:type="dxa"/>
          </w:tcPr>
          <w:p w14:paraId="7CF43F13" w14:textId="77777777" w:rsidR="000753E9" w:rsidRPr="001D4C47" w:rsidRDefault="000753E9" w:rsidP="001605A6">
            <w:pPr>
              <w:rPr>
                <w:rFonts w:ascii="EYInterstate Light" w:hAnsi="EYInterstate Light"/>
              </w:rPr>
            </w:pPr>
            <w:r w:rsidRPr="001D4C47">
              <w:rPr>
                <w:rFonts w:ascii="EYInterstate Light" w:hAnsi="EYInterstate Light"/>
              </w:rPr>
              <w:t>Measures the deliverability of each open access model</w:t>
            </w:r>
          </w:p>
        </w:tc>
      </w:tr>
      <w:tr w:rsidR="000753E9" w:rsidRPr="006119F9" w14:paraId="5BC95EB3" w14:textId="77777777" w:rsidTr="00711975">
        <w:tc>
          <w:tcPr>
            <w:tcW w:w="2127" w:type="dxa"/>
          </w:tcPr>
          <w:p w14:paraId="3A765C5D" w14:textId="77777777" w:rsidR="000753E9" w:rsidRPr="001D4C47" w:rsidRDefault="000753E9" w:rsidP="001605A6">
            <w:pPr>
              <w:rPr>
                <w:rFonts w:ascii="EYInterstate Light" w:hAnsi="EYInterstate Light"/>
                <w:b/>
              </w:rPr>
            </w:pPr>
            <w:r w:rsidRPr="001D4C47">
              <w:rPr>
                <w:rFonts w:ascii="EYInterstate Light" w:hAnsi="EYInterstate Light"/>
                <w:b/>
              </w:rPr>
              <w:t>Strategic alignment</w:t>
            </w:r>
          </w:p>
        </w:tc>
        <w:tc>
          <w:tcPr>
            <w:tcW w:w="6892" w:type="dxa"/>
          </w:tcPr>
          <w:p w14:paraId="69C23DCA" w14:textId="38B2E125" w:rsidR="000753E9" w:rsidRPr="001D4C47" w:rsidRDefault="000753E9" w:rsidP="001605A6">
            <w:pPr>
              <w:rPr>
                <w:rFonts w:ascii="EYInterstate Light" w:hAnsi="EYInterstate Light"/>
              </w:rPr>
            </w:pPr>
            <w:r w:rsidRPr="001D4C47">
              <w:rPr>
                <w:rFonts w:ascii="EYInterstate Light" w:hAnsi="EYInterstate Light"/>
              </w:rPr>
              <w:t xml:space="preserve">Measures the open access model alignment with the </w:t>
            </w:r>
            <w:r w:rsidR="00BD3258">
              <w:rPr>
                <w:rFonts w:ascii="EYInterstate Light" w:hAnsi="EYInterstate Light"/>
              </w:rPr>
              <w:t>n</w:t>
            </w:r>
            <w:r w:rsidRPr="001D4C47">
              <w:rPr>
                <w:rFonts w:ascii="EYInterstate Light" w:hAnsi="EYInterstate Light"/>
              </w:rPr>
              <w:t xml:space="preserve">ational </w:t>
            </w:r>
            <w:r w:rsidR="00BD3258">
              <w:rPr>
                <w:rFonts w:ascii="EYInterstate Light" w:hAnsi="EYInterstate Light"/>
              </w:rPr>
              <w:t>o</w:t>
            </w:r>
            <w:r w:rsidRPr="001D4C47">
              <w:rPr>
                <w:rFonts w:ascii="EYInterstate Light" w:hAnsi="EYInterstate Light"/>
              </w:rPr>
              <w:t xml:space="preserve">pen </w:t>
            </w:r>
            <w:r w:rsidR="00BD3258">
              <w:rPr>
                <w:rFonts w:ascii="EYInterstate Light" w:hAnsi="EYInterstate Light"/>
              </w:rPr>
              <w:t>a</w:t>
            </w:r>
            <w:r w:rsidRPr="001D4C47">
              <w:rPr>
                <w:rFonts w:ascii="EYInterstate Light" w:hAnsi="EYInterstate Light"/>
              </w:rPr>
              <w:t>ccess guiding principles and objectives</w:t>
            </w:r>
          </w:p>
        </w:tc>
      </w:tr>
    </w:tbl>
    <w:p w14:paraId="3B780C0D" w14:textId="77777777" w:rsidR="00B8163D" w:rsidRDefault="00B8163D" w:rsidP="00F61A5A">
      <w:pPr>
        <w:pStyle w:val="EYBodytextwithoutparaspace"/>
      </w:pPr>
    </w:p>
    <w:p w14:paraId="4C1FD716" w14:textId="7893D849" w:rsidR="006271B5" w:rsidRDefault="000753E9" w:rsidP="006271B5">
      <w:pPr>
        <w:pStyle w:val="EYBodytextwithoutparaspace"/>
      </w:pPr>
      <w:r w:rsidRPr="006119F9">
        <w:t xml:space="preserve">The MCA analysis in this </w:t>
      </w:r>
      <w:r w:rsidR="009121EB">
        <w:t>briefing paper</w:t>
      </w:r>
      <w:r w:rsidRPr="006119F9">
        <w:t xml:space="preserve"> employs a five-level rating system to assess each model against the evaluation criteria, as set out </w:t>
      </w:r>
      <w:r w:rsidR="002F2507">
        <w:t xml:space="preserve">in </w:t>
      </w:r>
      <w:r w:rsidR="002F2507">
        <w:fldChar w:fldCharType="begin"/>
      </w:r>
      <w:r w:rsidR="002F2507">
        <w:instrText xml:space="preserve"> REF _Ref115696144 \h </w:instrText>
      </w:r>
      <w:r w:rsidR="002F2507">
        <w:fldChar w:fldCharType="separate"/>
      </w:r>
      <w:r w:rsidR="008112E6">
        <w:t xml:space="preserve">Table </w:t>
      </w:r>
      <w:r w:rsidR="008112E6">
        <w:rPr>
          <w:noProof/>
        </w:rPr>
        <w:t>12</w:t>
      </w:r>
      <w:r w:rsidR="002F2507">
        <w:fldChar w:fldCharType="end"/>
      </w:r>
      <w:r w:rsidRPr="006119F9">
        <w:t>.</w:t>
      </w:r>
    </w:p>
    <w:p w14:paraId="31CCF4F3" w14:textId="77777777" w:rsidR="006271B5" w:rsidRDefault="006271B5">
      <w:pPr>
        <w:autoSpaceDE/>
        <w:autoSpaceDN/>
        <w:adjustRightInd/>
      </w:pPr>
      <w:r>
        <w:br w:type="page"/>
      </w:r>
    </w:p>
    <w:p w14:paraId="32893395" w14:textId="77777777" w:rsidR="00C3591C" w:rsidRPr="006119F9" w:rsidRDefault="00C3591C" w:rsidP="006271B5">
      <w:pPr>
        <w:pStyle w:val="EYBodytextwithoutparaspace"/>
      </w:pPr>
    </w:p>
    <w:p w14:paraId="4C5304C2" w14:textId="26020434" w:rsidR="00790771" w:rsidRDefault="00790771" w:rsidP="00790771">
      <w:pPr>
        <w:pStyle w:val="Caption"/>
        <w:keepNext/>
      </w:pPr>
      <w:bookmarkStart w:id="82" w:name="_Ref115696144"/>
      <w:r>
        <w:t xml:space="preserve">Table </w:t>
      </w:r>
      <w:r>
        <w:fldChar w:fldCharType="begin"/>
      </w:r>
      <w:r>
        <w:instrText xml:space="preserve"> SEQ Table \* ARABIC </w:instrText>
      </w:r>
      <w:r>
        <w:fldChar w:fldCharType="separate"/>
      </w:r>
      <w:r w:rsidR="008112E6">
        <w:rPr>
          <w:noProof/>
        </w:rPr>
        <w:t>12</w:t>
      </w:r>
      <w:r>
        <w:fldChar w:fldCharType="end"/>
      </w:r>
      <w:bookmarkEnd w:id="82"/>
      <w:r>
        <w:t xml:space="preserve">: MCA analysis ratings </w:t>
      </w:r>
      <w:r w:rsidR="00C0584B">
        <w:t>to assess each model</w:t>
      </w:r>
    </w:p>
    <w:tbl>
      <w:tblPr>
        <w:tblStyle w:val="TableGrid"/>
        <w:tblW w:w="0" w:type="auto"/>
        <w:tblBorders>
          <w:top w:val="none" w:sz="0" w:space="0" w:color="auto"/>
          <w:left w:val="none" w:sz="0" w:space="0" w:color="auto"/>
          <w:right w:val="none" w:sz="0" w:space="0" w:color="auto"/>
          <w:insideH w:val="single" w:sz="4" w:space="0" w:color="787890" w:themeColor="text1" w:themeTint="99"/>
          <w:insideV w:val="none" w:sz="0" w:space="0" w:color="auto"/>
        </w:tblBorders>
        <w:tblCellMar>
          <w:top w:w="113" w:type="dxa"/>
          <w:bottom w:w="113" w:type="dxa"/>
        </w:tblCellMar>
        <w:tblLook w:val="04A0" w:firstRow="1" w:lastRow="0" w:firstColumn="1" w:lastColumn="0" w:noHBand="0" w:noVBand="1"/>
      </w:tblPr>
      <w:tblGrid>
        <w:gridCol w:w="1838"/>
        <w:gridCol w:w="7181"/>
      </w:tblGrid>
      <w:tr w:rsidR="000753E9" w:rsidRPr="00C3591C" w14:paraId="5B1A7405" w14:textId="77777777" w:rsidTr="0062710A">
        <w:trPr>
          <w:trHeight w:val="486"/>
        </w:trPr>
        <w:tc>
          <w:tcPr>
            <w:tcW w:w="1838" w:type="dxa"/>
            <w:shd w:val="clear" w:color="auto" w:fill="787890" w:themeFill="text1" w:themeFillTint="99"/>
          </w:tcPr>
          <w:p w14:paraId="4BD396EE" w14:textId="77777777" w:rsidR="000753E9" w:rsidRPr="00C3591C" w:rsidRDefault="000753E9" w:rsidP="001605A6">
            <w:pPr>
              <w:rPr>
                <w:rFonts w:ascii="EYInterstate Light" w:hAnsi="EYInterstate Light"/>
                <w:color w:val="FFFFFF" w:themeColor="background1"/>
              </w:rPr>
            </w:pPr>
            <w:r w:rsidRPr="00C3591C">
              <w:rPr>
                <w:rFonts w:ascii="EYInterstate Light" w:hAnsi="EYInterstate Light"/>
                <w:color w:val="FFFFFF" w:themeColor="background1"/>
              </w:rPr>
              <w:t>Rating</w:t>
            </w:r>
          </w:p>
        </w:tc>
        <w:tc>
          <w:tcPr>
            <w:tcW w:w="7181" w:type="dxa"/>
            <w:shd w:val="clear" w:color="auto" w:fill="787890" w:themeFill="text1" w:themeFillTint="99"/>
          </w:tcPr>
          <w:p w14:paraId="0F5215C9" w14:textId="77777777" w:rsidR="000753E9" w:rsidRPr="00C3591C" w:rsidRDefault="000753E9" w:rsidP="001605A6">
            <w:pPr>
              <w:rPr>
                <w:rFonts w:ascii="EYInterstate Light" w:hAnsi="EYInterstate Light"/>
                <w:color w:val="FFFFFF" w:themeColor="background1"/>
              </w:rPr>
            </w:pPr>
            <w:r w:rsidRPr="00C3591C">
              <w:rPr>
                <w:rFonts w:ascii="EYInterstate Light" w:hAnsi="EYInterstate Light"/>
                <w:color w:val="FFFFFF" w:themeColor="background1"/>
              </w:rPr>
              <w:t>Meaning</w:t>
            </w:r>
          </w:p>
        </w:tc>
      </w:tr>
      <w:tr w:rsidR="000753E9" w:rsidRPr="006119F9" w14:paraId="04AFE681" w14:textId="77777777" w:rsidTr="009121EB">
        <w:tc>
          <w:tcPr>
            <w:tcW w:w="1838" w:type="dxa"/>
            <w:shd w:val="clear" w:color="auto" w:fill="auto"/>
          </w:tcPr>
          <w:p w14:paraId="20E1BFE8" w14:textId="77777777" w:rsidR="000753E9" w:rsidRPr="001F2CAE" w:rsidRDefault="000753E9" w:rsidP="001605A6">
            <w:pPr>
              <w:rPr>
                <w:rFonts w:ascii="EYInterstate Light" w:hAnsi="EYInterstate Light"/>
                <w:b/>
              </w:rPr>
            </w:pPr>
            <w:r w:rsidRPr="001F2CAE">
              <w:rPr>
                <w:rFonts w:ascii="EYInterstate Light" w:hAnsi="EYInterstate Light"/>
                <w:b/>
              </w:rPr>
              <w:t>High positive</w:t>
            </w:r>
          </w:p>
        </w:tc>
        <w:tc>
          <w:tcPr>
            <w:tcW w:w="7181" w:type="dxa"/>
            <w:shd w:val="clear" w:color="auto" w:fill="auto"/>
          </w:tcPr>
          <w:p w14:paraId="0F8BE3D4" w14:textId="77C01BEA" w:rsidR="000753E9" w:rsidRPr="001F2CAE" w:rsidRDefault="000753E9" w:rsidP="001605A6">
            <w:pPr>
              <w:rPr>
                <w:rFonts w:ascii="EYInterstate Light" w:hAnsi="EYInterstate Light"/>
              </w:rPr>
            </w:pPr>
            <w:r w:rsidRPr="001F2CAE">
              <w:rPr>
                <w:rFonts w:ascii="EYInterstate Light" w:hAnsi="EYInterstate Light"/>
              </w:rPr>
              <w:t>High positive means the proposed open access model rates highly against the base case for the given criterion</w:t>
            </w:r>
          </w:p>
        </w:tc>
      </w:tr>
      <w:tr w:rsidR="000753E9" w:rsidRPr="006119F9" w14:paraId="21CBC0CE" w14:textId="77777777" w:rsidTr="009121EB">
        <w:tc>
          <w:tcPr>
            <w:tcW w:w="1838" w:type="dxa"/>
            <w:shd w:val="clear" w:color="auto" w:fill="auto"/>
          </w:tcPr>
          <w:p w14:paraId="6B2A95F6" w14:textId="77777777" w:rsidR="000753E9" w:rsidRPr="001F2CAE" w:rsidRDefault="000753E9" w:rsidP="001605A6">
            <w:pPr>
              <w:rPr>
                <w:rFonts w:ascii="EYInterstate Light" w:hAnsi="EYInterstate Light"/>
                <w:b/>
              </w:rPr>
            </w:pPr>
            <w:r w:rsidRPr="001F2CAE">
              <w:rPr>
                <w:rFonts w:ascii="EYInterstate Light" w:hAnsi="EYInterstate Light"/>
                <w:b/>
              </w:rPr>
              <w:t>Medium positive</w:t>
            </w:r>
          </w:p>
        </w:tc>
        <w:tc>
          <w:tcPr>
            <w:tcW w:w="7181" w:type="dxa"/>
            <w:shd w:val="clear" w:color="auto" w:fill="auto"/>
          </w:tcPr>
          <w:p w14:paraId="5BC7F9EC" w14:textId="77777777" w:rsidR="000753E9" w:rsidRPr="001F2CAE" w:rsidRDefault="000753E9" w:rsidP="001605A6">
            <w:pPr>
              <w:rPr>
                <w:rFonts w:ascii="EYInterstate Light" w:hAnsi="EYInterstate Light"/>
              </w:rPr>
            </w:pPr>
            <w:r w:rsidRPr="001F2CAE">
              <w:rPr>
                <w:rFonts w:ascii="EYInterstate Light" w:hAnsi="EYInterstate Light"/>
              </w:rPr>
              <w:t>Medium positive means the proposed open access option exceeds the base case for the given criterion</w:t>
            </w:r>
          </w:p>
        </w:tc>
      </w:tr>
      <w:tr w:rsidR="000753E9" w:rsidRPr="006119F9" w14:paraId="39A00938" w14:textId="77777777" w:rsidTr="009121EB">
        <w:tc>
          <w:tcPr>
            <w:tcW w:w="1838" w:type="dxa"/>
            <w:shd w:val="clear" w:color="auto" w:fill="auto"/>
          </w:tcPr>
          <w:p w14:paraId="20B07229" w14:textId="77777777" w:rsidR="000753E9" w:rsidRPr="001F2CAE" w:rsidRDefault="000753E9" w:rsidP="001605A6">
            <w:pPr>
              <w:rPr>
                <w:rFonts w:ascii="EYInterstate Light" w:hAnsi="EYInterstate Light"/>
                <w:b/>
              </w:rPr>
            </w:pPr>
            <w:r w:rsidRPr="001F2CAE">
              <w:rPr>
                <w:rFonts w:ascii="EYInterstate Light" w:hAnsi="EYInterstate Light"/>
                <w:b/>
              </w:rPr>
              <w:t>Neutral</w:t>
            </w:r>
          </w:p>
        </w:tc>
        <w:tc>
          <w:tcPr>
            <w:tcW w:w="7181" w:type="dxa"/>
            <w:shd w:val="clear" w:color="auto" w:fill="auto"/>
          </w:tcPr>
          <w:p w14:paraId="2C1841C6" w14:textId="77777777" w:rsidR="000753E9" w:rsidRPr="001F2CAE" w:rsidRDefault="000753E9" w:rsidP="001605A6">
            <w:pPr>
              <w:rPr>
                <w:rFonts w:ascii="EYInterstate Light" w:hAnsi="EYInterstate Light"/>
              </w:rPr>
            </w:pPr>
            <w:r w:rsidRPr="001F2CAE">
              <w:rPr>
                <w:rFonts w:ascii="EYInterstate Light" w:hAnsi="EYInterstate Light"/>
              </w:rPr>
              <w:t>Neutral means the proposed open access model rates equally against the base case for the given criterion</w:t>
            </w:r>
          </w:p>
        </w:tc>
      </w:tr>
      <w:tr w:rsidR="000753E9" w:rsidRPr="006119F9" w14:paraId="112FFC4F" w14:textId="77777777" w:rsidTr="009121EB">
        <w:tc>
          <w:tcPr>
            <w:tcW w:w="1838" w:type="dxa"/>
            <w:shd w:val="clear" w:color="auto" w:fill="auto"/>
          </w:tcPr>
          <w:p w14:paraId="4B8E7D57" w14:textId="77777777" w:rsidR="000753E9" w:rsidRPr="001F2CAE" w:rsidRDefault="000753E9" w:rsidP="001605A6">
            <w:pPr>
              <w:rPr>
                <w:rFonts w:ascii="EYInterstate Light" w:hAnsi="EYInterstate Light"/>
                <w:b/>
              </w:rPr>
            </w:pPr>
            <w:r w:rsidRPr="001F2CAE">
              <w:rPr>
                <w:rFonts w:ascii="EYInterstate Light" w:hAnsi="EYInterstate Light"/>
                <w:b/>
              </w:rPr>
              <w:t>Medium negative</w:t>
            </w:r>
          </w:p>
        </w:tc>
        <w:tc>
          <w:tcPr>
            <w:tcW w:w="7181" w:type="dxa"/>
            <w:shd w:val="clear" w:color="auto" w:fill="auto"/>
          </w:tcPr>
          <w:p w14:paraId="346B3DD6" w14:textId="77777777" w:rsidR="000753E9" w:rsidRPr="001F2CAE" w:rsidRDefault="000753E9" w:rsidP="001605A6">
            <w:pPr>
              <w:rPr>
                <w:rFonts w:ascii="EYInterstate Light" w:hAnsi="EYInterstate Light"/>
              </w:rPr>
            </w:pPr>
            <w:r w:rsidRPr="001F2CAE">
              <w:rPr>
                <w:rFonts w:ascii="EYInterstate Light" w:hAnsi="EYInterstate Light"/>
              </w:rPr>
              <w:t>Medium negative means the open access model rates lower than the base case for the given criterion</w:t>
            </w:r>
          </w:p>
        </w:tc>
      </w:tr>
      <w:tr w:rsidR="000753E9" w:rsidRPr="006119F9" w14:paraId="026B88E5" w14:textId="77777777" w:rsidTr="009121EB">
        <w:trPr>
          <w:trHeight w:val="17"/>
        </w:trPr>
        <w:tc>
          <w:tcPr>
            <w:tcW w:w="1838" w:type="dxa"/>
            <w:shd w:val="clear" w:color="auto" w:fill="auto"/>
          </w:tcPr>
          <w:p w14:paraId="78EF13B3" w14:textId="77777777" w:rsidR="000753E9" w:rsidRPr="001F2CAE" w:rsidRDefault="000753E9" w:rsidP="001605A6">
            <w:pPr>
              <w:rPr>
                <w:rFonts w:ascii="EYInterstate Light" w:hAnsi="EYInterstate Light"/>
                <w:b/>
              </w:rPr>
            </w:pPr>
            <w:r w:rsidRPr="001F2CAE">
              <w:rPr>
                <w:rFonts w:ascii="EYInterstate Light" w:hAnsi="EYInterstate Light"/>
                <w:b/>
              </w:rPr>
              <w:t>High negative</w:t>
            </w:r>
          </w:p>
        </w:tc>
        <w:tc>
          <w:tcPr>
            <w:tcW w:w="7181" w:type="dxa"/>
            <w:shd w:val="clear" w:color="auto" w:fill="auto"/>
          </w:tcPr>
          <w:p w14:paraId="06D3B24B" w14:textId="77777777" w:rsidR="000753E9" w:rsidRPr="001F2CAE" w:rsidRDefault="000753E9" w:rsidP="001605A6">
            <w:pPr>
              <w:rPr>
                <w:rFonts w:ascii="EYInterstate Light" w:hAnsi="EYInterstate Light"/>
              </w:rPr>
            </w:pPr>
            <w:r w:rsidRPr="001F2CAE">
              <w:rPr>
                <w:rFonts w:ascii="EYInterstate Light" w:hAnsi="EYInterstate Light"/>
              </w:rPr>
              <w:t>High negative means the proposed open access option rates significantly lower than the base case for the given criterion</w:t>
            </w:r>
          </w:p>
        </w:tc>
      </w:tr>
    </w:tbl>
    <w:p w14:paraId="726F5BA8" w14:textId="77777777" w:rsidR="000753E9" w:rsidRPr="006119F9" w:rsidRDefault="000753E9" w:rsidP="000753E9">
      <w:pPr>
        <w:spacing w:after="240"/>
      </w:pPr>
    </w:p>
    <w:p w14:paraId="351C2B27" w14:textId="77777777" w:rsidR="000753E9" w:rsidRPr="006119F9" w:rsidRDefault="000753E9" w:rsidP="009121EB">
      <w:pPr>
        <w:pStyle w:val="EYBodytextwithoutparaspace"/>
      </w:pPr>
      <w:r w:rsidRPr="006119F9">
        <w:t>It is important to note that some of the evaluation criteria have relatively comparable metrics for model evaluation, such as access to journal articles and publishing Australian journal articles as open access. However, other evaluation criteria require qualitative judgements informed by technical and quantitative analysis.</w:t>
      </w:r>
    </w:p>
    <w:p w14:paraId="14B04FF6" w14:textId="77777777" w:rsidR="000753E9" w:rsidRPr="0062710A" w:rsidRDefault="000753E9" w:rsidP="000753E9">
      <w:pPr>
        <w:spacing w:after="240"/>
        <w:rPr>
          <w:rFonts w:ascii="EYInterstate" w:hAnsi="EYInterstate"/>
          <w:bCs/>
          <w:sz w:val="24"/>
          <w:szCs w:val="24"/>
        </w:rPr>
      </w:pPr>
      <w:r w:rsidRPr="0062710A">
        <w:rPr>
          <w:rFonts w:ascii="EYInterstate" w:hAnsi="EYInterstate"/>
          <w:bCs/>
          <w:sz w:val="24"/>
          <w:szCs w:val="24"/>
        </w:rPr>
        <w:t>Assessment considerations</w:t>
      </w:r>
    </w:p>
    <w:p w14:paraId="4AF84D35" w14:textId="10E9B116" w:rsidR="000753E9" w:rsidRPr="006119F9" w:rsidRDefault="000753E9" w:rsidP="000753E9">
      <w:pPr>
        <w:spacing w:after="240"/>
      </w:pPr>
      <w:r w:rsidRPr="006119F9">
        <w:t>The MCA assess</w:t>
      </w:r>
      <w:r>
        <w:t>es</w:t>
      </w:r>
      <w:r w:rsidRPr="006119F9">
        <w:t xml:space="preserve"> each of the open access models against a comparable base case. The base case here, is the ‘do nothing’ approach or choosing not to pursue any of the proposed open access models. In assessing each proposed open access model against the base case, this </w:t>
      </w:r>
      <w:r w:rsidR="00666DD1">
        <w:t>briefing paper</w:t>
      </w:r>
      <w:r w:rsidRPr="006119F9">
        <w:t xml:space="preserve"> made the following considerations</w:t>
      </w:r>
      <w:r w:rsidR="002D2498">
        <w:t xml:space="preserve"> in combination with the MCA criteria</w:t>
      </w:r>
      <w:r w:rsidRPr="006119F9">
        <w:t>:</w:t>
      </w:r>
    </w:p>
    <w:p w14:paraId="32B6D6FA" w14:textId="77777777" w:rsidR="000753E9" w:rsidRPr="006119F9" w:rsidRDefault="000753E9" w:rsidP="0062710A">
      <w:pPr>
        <w:pStyle w:val="EYBulletnoparaspace"/>
        <w:ind w:left="426"/>
      </w:pPr>
      <w:r w:rsidRPr="006119F9">
        <w:t>Current expenditure on subscription fees, and publishing articles as open access (within gold and platinum).</w:t>
      </w:r>
    </w:p>
    <w:p w14:paraId="2B61FDCD" w14:textId="77777777" w:rsidR="000753E9" w:rsidRPr="006119F9" w:rsidRDefault="000753E9" w:rsidP="0062710A">
      <w:pPr>
        <w:pStyle w:val="EYBulletnoparaspace"/>
        <w:ind w:left="426"/>
      </w:pPr>
      <w:r w:rsidRPr="006119F9">
        <w:t>Current expenditure on publishing journal articles as open access (within gold and platinum open access journals).</w:t>
      </w:r>
    </w:p>
    <w:p w14:paraId="6952782A" w14:textId="77777777" w:rsidR="000753E9" w:rsidRPr="006119F9" w:rsidRDefault="000753E9" w:rsidP="0062710A">
      <w:pPr>
        <w:pStyle w:val="EYBulletnoparaspace"/>
        <w:ind w:left="426"/>
      </w:pPr>
      <w:r w:rsidRPr="006119F9">
        <w:t>The number of journal articles currently open access.</w:t>
      </w:r>
    </w:p>
    <w:p w14:paraId="1BD8C32B" w14:textId="3D553EAC" w:rsidR="000753E9" w:rsidRPr="006119F9" w:rsidRDefault="000753E9" w:rsidP="0062710A">
      <w:pPr>
        <w:pStyle w:val="EYBulletnoparaspace"/>
        <w:ind w:left="426"/>
      </w:pPr>
      <w:r w:rsidRPr="006119F9">
        <w:t xml:space="preserve">The </w:t>
      </w:r>
      <w:r w:rsidR="00A306E1">
        <w:t>number</w:t>
      </w:r>
      <w:r w:rsidRPr="006119F9">
        <w:t xml:space="preserve"> of Australian journal articles currently published as open access.</w:t>
      </w:r>
    </w:p>
    <w:p w14:paraId="65C40F47" w14:textId="77777777" w:rsidR="000753E9" w:rsidRPr="006119F9" w:rsidRDefault="000753E9" w:rsidP="0062710A">
      <w:pPr>
        <w:pStyle w:val="EYBulletnoparaspace"/>
        <w:ind w:left="426"/>
      </w:pPr>
      <w:r w:rsidRPr="006119F9">
        <w:t>The economic multiplier of increasing access to academic literature.</w:t>
      </w:r>
    </w:p>
    <w:p w14:paraId="30DFE3FF" w14:textId="77777777" w:rsidR="000753E9" w:rsidRPr="006119F9" w:rsidRDefault="000753E9" w:rsidP="000125A6">
      <w:pPr>
        <w:pStyle w:val="EYBulletedText1"/>
        <w:numPr>
          <w:ilvl w:val="0"/>
          <w:numId w:val="0"/>
        </w:numPr>
      </w:pPr>
    </w:p>
    <w:p w14:paraId="7779905F" w14:textId="77777777" w:rsidR="0069190D" w:rsidRDefault="0069190D">
      <w:pPr>
        <w:autoSpaceDE/>
        <w:autoSpaceDN/>
        <w:adjustRightInd/>
        <w:rPr>
          <w:b/>
          <w:sz w:val="28"/>
          <w:szCs w:val="24"/>
        </w:rPr>
      </w:pPr>
      <w:bookmarkStart w:id="83" w:name="_Toc110545802"/>
      <w:r>
        <w:br w:type="page"/>
      </w:r>
    </w:p>
    <w:p w14:paraId="183A8C93" w14:textId="39451CD6" w:rsidR="000753E9" w:rsidRPr="00794E08" w:rsidRDefault="008A78F3" w:rsidP="00794E08">
      <w:pPr>
        <w:pStyle w:val="EYBodytextwithoutparaspace"/>
        <w:rPr>
          <w:b/>
          <w:bCs/>
          <w:sz w:val="28"/>
          <w:szCs w:val="28"/>
        </w:rPr>
      </w:pPr>
      <w:r w:rsidRPr="00794E08">
        <w:rPr>
          <w:b/>
          <w:bCs/>
          <w:sz w:val="28"/>
          <w:szCs w:val="28"/>
        </w:rPr>
        <w:lastRenderedPageBreak/>
        <w:t>A</w:t>
      </w:r>
      <w:r w:rsidR="000753E9" w:rsidRPr="00794E08">
        <w:rPr>
          <w:b/>
          <w:bCs/>
          <w:sz w:val="28"/>
          <w:szCs w:val="28"/>
        </w:rPr>
        <w:t>ssessment results</w:t>
      </w:r>
      <w:bookmarkEnd w:id="83"/>
    </w:p>
    <w:tbl>
      <w:tblPr>
        <w:tblStyle w:val="TableGrid"/>
        <w:tblW w:w="9488" w:type="dxa"/>
        <w:tblLook w:val="04A0" w:firstRow="1" w:lastRow="0" w:firstColumn="1" w:lastColumn="0" w:noHBand="0" w:noVBand="1"/>
      </w:tblPr>
      <w:tblGrid>
        <w:gridCol w:w="547"/>
        <w:gridCol w:w="1799"/>
        <w:gridCol w:w="2380"/>
        <w:gridCol w:w="2381"/>
        <w:gridCol w:w="2381"/>
      </w:tblGrid>
      <w:tr w:rsidR="006A645E" w:rsidRPr="006A645E" w14:paraId="158E7000" w14:textId="77777777" w:rsidTr="006A645E">
        <w:trPr>
          <w:cantSplit/>
          <w:trHeight w:val="60"/>
        </w:trPr>
        <w:tc>
          <w:tcPr>
            <w:tcW w:w="2346" w:type="dxa"/>
            <w:gridSpan w:val="2"/>
            <w:tcBorders>
              <w:top w:val="nil"/>
              <w:left w:val="nil"/>
              <w:bottom w:val="nil"/>
              <w:right w:val="nil"/>
            </w:tcBorders>
            <w:shd w:val="clear" w:color="auto" w:fill="auto"/>
            <w:vAlign w:val="center"/>
          </w:tcPr>
          <w:p w14:paraId="29207028" w14:textId="77777777" w:rsidR="006A645E" w:rsidRPr="006A645E" w:rsidRDefault="006A645E" w:rsidP="001605A6">
            <w:pPr>
              <w:jc w:val="center"/>
              <w:rPr>
                <w:rFonts w:ascii="EYInterstate Light" w:hAnsi="EYInterstate Light"/>
                <w:color w:val="000000" w:themeColor="background2"/>
              </w:rPr>
            </w:pPr>
          </w:p>
        </w:tc>
        <w:tc>
          <w:tcPr>
            <w:tcW w:w="7142" w:type="dxa"/>
            <w:gridSpan w:val="3"/>
            <w:tcBorders>
              <w:top w:val="nil"/>
              <w:left w:val="nil"/>
              <w:bottom w:val="nil"/>
              <w:right w:val="nil"/>
            </w:tcBorders>
            <w:shd w:val="clear" w:color="auto" w:fill="auto"/>
            <w:vAlign w:val="center"/>
          </w:tcPr>
          <w:p w14:paraId="334FC03B" w14:textId="1B8E4A80" w:rsidR="006A645E" w:rsidRPr="006A645E" w:rsidRDefault="006A645E" w:rsidP="001605A6">
            <w:pPr>
              <w:jc w:val="center"/>
              <w:rPr>
                <w:rFonts w:ascii="EYInterstate Light" w:hAnsi="EYInterstate Light"/>
                <w:color w:val="000000" w:themeColor="background2"/>
              </w:rPr>
            </w:pPr>
            <w:r w:rsidRPr="006A645E">
              <w:rPr>
                <w:rFonts w:ascii="EYInterstate Light" w:hAnsi="EYInterstate Light"/>
                <w:color w:val="000000" w:themeColor="background2"/>
              </w:rPr>
              <w:t>Open access models</w:t>
            </w:r>
          </w:p>
        </w:tc>
      </w:tr>
      <w:tr w:rsidR="000753E9" w:rsidRPr="006119F9" w14:paraId="653FF267" w14:textId="77777777" w:rsidTr="001605A6">
        <w:trPr>
          <w:cantSplit/>
          <w:trHeight w:val="799"/>
        </w:trPr>
        <w:tc>
          <w:tcPr>
            <w:tcW w:w="2346" w:type="dxa"/>
            <w:gridSpan w:val="2"/>
            <w:tcBorders>
              <w:top w:val="nil"/>
              <w:left w:val="nil"/>
              <w:bottom w:val="nil"/>
              <w:right w:val="nil"/>
            </w:tcBorders>
            <w:shd w:val="clear" w:color="auto" w:fill="D2D2DA" w:themeFill="text1" w:themeFillTint="33"/>
            <w:vAlign w:val="center"/>
          </w:tcPr>
          <w:p w14:paraId="53983464" w14:textId="305E4C19" w:rsidR="000753E9" w:rsidRPr="000F2ACD" w:rsidRDefault="000753E9" w:rsidP="001605A6">
            <w:pPr>
              <w:jc w:val="center"/>
              <w:rPr>
                <w:rFonts w:ascii="EYInterstate Light" w:hAnsi="EYInterstate Light"/>
                <w:color w:val="000000" w:themeColor="background2"/>
              </w:rPr>
            </w:pPr>
            <w:r w:rsidRPr="000F2ACD">
              <w:rPr>
                <w:rFonts w:ascii="EYInterstate Light" w:hAnsi="EYInterstate Light"/>
                <w:color w:val="000000" w:themeColor="background2"/>
              </w:rPr>
              <w:t>Criteri</w:t>
            </w:r>
            <w:r w:rsidR="00B15B41">
              <w:rPr>
                <w:rFonts w:ascii="EYInterstate Light" w:hAnsi="EYInterstate Light"/>
                <w:color w:val="000000" w:themeColor="background2"/>
              </w:rPr>
              <w:t>on</w:t>
            </w:r>
          </w:p>
        </w:tc>
        <w:tc>
          <w:tcPr>
            <w:tcW w:w="2380" w:type="dxa"/>
            <w:tcBorders>
              <w:top w:val="nil"/>
              <w:left w:val="nil"/>
              <w:bottom w:val="nil"/>
              <w:right w:val="nil"/>
            </w:tcBorders>
            <w:shd w:val="clear" w:color="auto" w:fill="D2D2DA" w:themeFill="text1" w:themeFillTint="33"/>
            <w:vAlign w:val="center"/>
          </w:tcPr>
          <w:p w14:paraId="111EBE97" w14:textId="77777777" w:rsidR="000753E9" w:rsidRPr="000F2ACD" w:rsidRDefault="000753E9" w:rsidP="001605A6">
            <w:pPr>
              <w:jc w:val="center"/>
              <w:rPr>
                <w:rFonts w:ascii="EYInterstate Light" w:hAnsi="EYInterstate Light"/>
                <w:color w:val="000000" w:themeColor="background2"/>
              </w:rPr>
            </w:pPr>
            <w:r w:rsidRPr="000F2ACD">
              <w:rPr>
                <w:rFonts w:ascii="EYInterstate Light" w:hAnsi="EYInterstate Light"/>
                <w:color w:val="000000" w:themeColor="background2"/>
              </w:rPr>
              <w:t>Rep</w:t>
            </w:r>
            <w:r w:rsidRPr="006119F9">
              <w:rPr>
                <w:rFonts w:ascii="EYInterstate Light" w:hAnsi="EYInterstate Light"/>
                <w:color w:val="000000" w:themeColor="background2"/>
              </w:rPr>
              <w:t>ository</w:t>
            </w:r>
            <w:r w:rsidRPr="000F2ACD">
              <w:rPr>
                <w:rFonts w:ascii="EYInterstate Light" w:hAnsi="EYInterstate Light"/>
                <w:color w:val="000000" w:themeColor="background2"/>
              </w:rPr>
              <w:t xml:space="preserve"> based open access</w:t>
            </w:r>
          </w:p>
        </w:tc>
        <w:tc>
          <w:tcPr>
            <w:tcW w:w="2381" w:type="dxa"/>
            <w:tcBorders>
              <w:top w:val="nil"/>
              <w:left w:val="nil"/>
              <w:bottom w:val="nil"/>
              <w:right w:val="nil"/>
            </w:tcBorders>
            <w:shd w:val="clear" w:color="auto" w:fill="D2D2DA" w:themeFill="text1" w:themeFillTint="33"/>
            <w:vAlign w:val="center"/>
          </w:tcPr>
          <w:p w14:paraId="63826DA9" w14:textId="50A6D3F8" w:rsidR="000753E9" w:rsidRPr="000F2ACD" w:rsidRDefault="000753E9" w:rsidP="001605A6">
            <w:pPr>
              <w:jc w:val="center"/>
              <w:rPr>
                <w:rFonts w:ascii="EYInterstate Light" w:hAnsi="EYInterstate Light"/>
                <w:color w:val="000000" w:themeColor="background2"/>
              </w:rPr>
            </w:pPr>
            <w:r w:rsidRPr="000F2ACD">
              <w:rPr>
                <w:rFonts w:ascii="EYInterstate Light" w:hAnsi="EYInterstate Light"/>
                <w:color w:val="000000" w:themeColor="background2"/>
              </w:rPr>
              <w:t xml:space="preserve">Funding </w:t>
            </w:r>
            <w:r w:rsidR="00B15B41">
              <w:rPr>
                <w:rFonts w:ascii="EYInterstate Light" w:hAnsi="EYInterstate Light"/>
                <w:color w:val="000000" w:themeColor="background2"/>
              </w:rPr>
              <w:t>m</w:t>
            </w:r>
            <w:r w:rsidRPr="000F2ACD">
              <w:rPr>
                <w:rFonts w:ascii="EYInterstate Light" w:hAnsi="EYInterstate Light"/>
                <w:color w:val="000000" w:themeColor="background2"/>
              </w:rPr>
              <w:t>andates</w:t>
            </w:r>
          </w:p>
        </w:tc>
        <w:tc>
          <w:tcPr>
            <w:tcW w:w="2381" w:type="dxa"/>
            <w:tcBorders>
              <w:top w:val="nil"/>
              <w:left w:val="nil"/>
              <w:bottom w:val="nil"/>
              <w:right w:val="nil"/>
            </w:tcBorders>
            <w:shd w:val="clear" w:color="auto" w:fill="D2D2DA"/>
            <w:vAlign w:val="center"/>
          </w:tcPr>
          <w:p w14:paraId="1DB5DF30" w14:textId="2E0E9ECD" w:rsidR="000753E9" w:rsidRPr="000F2ACD" w:rsidRDefault="000753E9" w:rsidP="001605A6">
            <w:pPr>
              <w:jc w:val="center"/>
              <w:rPr>
                <w:rFonts w:ascii="EYInterstate Light" w:hAnsi="EYInterstate Light"/>
                <w:color w:val="000000" w:themeColor="background2"/>
              </w:rPr>
            </w:pPr>
            <w:r w:rsidRPr="000F2ACD">
              <w:rPr>
                <w:rFonts w:ascii="EYInterstate Light" w:hAnsi="EYInterstate Light"/>
                <w:color w:val="000000" w:themeColor="background2"/>
              </w:rPr>
              <w:t xml:space="preserve">Central </w:t>
            </w:r>
            <w:r w:rsidR="00004333">
              <w:rPr>
                <w:rFonts w:ascii="EYInterstate Light" w:hAnsi="EYInterstate Light"/>
                <w:color w:val="000000" w:themeColor="background2"/>
              </w:rPr>
              <w:t>implementation</w:t>
            </w:r>
            <w:r w:rsidRPr="000F2ACD">
              <w:rPr>
                <w:rFonts w:ascii="EYInterstate Light" w:hAnsi="EYInterstate Light"/>
                <w:color w:val="000000" w:themeColor="background2"/>
              </w:rPr>
              <w:t xml:space="preserve"> body</w:t>
            </w:r>
          </w:p>
        </w:tc>
      </w:tr>
      <w:tr w:rsidR="000753E9" w:rsidRPr="006119F9" w14:paraId="3F69E3B9" w14:textId="77777777" w:rsidTr="001605A6">
        <w:trPr>
          <w:trHeight w:val="1273"/>
        </w:trPr>
        <w:tc>
          <w:tcPr>
            <w:tcW w:w="547" w:type="dxa"/>
            <w:vMerge w:val="restart"/>
            <w:tcBorders>
              <w:top w:val="nil"/>
              <w:left w:val="single" w:sz="4" w:space="0" w:color="D2D2DA"/>
              <w:right w:val="single" w:sz="4" w:space="0" w:color="D2D2DA"/>
            </w:tcBorders>
            <w:textDirection w:val="btLr"/>
            <w:vAlign w:val="center"/>
          </w:tcPr>
          <w:p w14:paraId="61433B93" w14:textId="77777777" w:rsidR="000753E9" w:rsidRPr="00EE69D7" w:rsidRDefault="000753E9" w:rsidP="001605A6">
            <w:pPr>
              <w:autoSpaceDE/>
              <w:autoSpaceDN/>
              <w:adjustRightInd/>
              <w:ind w:left="113" w:right="113"/>
              <w:jc w:val="center"/>
              <w:rPr>
                <w:rFonts w:ascii="EYInterstate Light" w:hAnsi="EYInterstate Light"/>
                <w:color w:val="A5A5B5" w:themeColor="text1" w:themeTint="66"/>
                <w:sz w:val="18"/>
                <w:szCs w:val="18"/>
              </w:rPr>
            </w:pPr>
            <w:r w:rsidRPr="00EE69D7">
              <w:rPr>
                <w:rFonts w:ascii="EYInterstate Light" w:hAnsi="EYInterstate Light"/>
                <w:b/>
                <w:sz w:val="18"/>
                <w:szCs w:val="18"/>
              </w:rPr>
              <w:t>Flow of information</w:t>
            </w:r>
          </w:p>
        </w:tc>
        <w:tc>
          <w:tcPr>
            <w:tcW w:w="1799" w:type="dxa"/>
            <w:tcBorders>
              <w:top w:val="nil"/>
              <w:left w:val="single" w:sz="4" w:space="0" w:color="D2D2DA"/>
              <w:bottom w:val="single" w:sz="4" w:space="0" w:color="D2D2DA"/>
              <w:right w:val="single" w:sz="4" w:space="0" w:color="D2D2DA"/>
            </w:tcBorders>
            <w:vAlign w:val="center"/>
          </w:tcPr>
          <w:p w14:paraId="6B514E4A" w14:textId="77777777" w:rsidR="000753E9" w:rsidRPr="00993A88" w:rsidRDefault="000753E9" w:rsidP="001605A6">
            <w:pPr>
              <w:autoSpaceDE/>
              <w:autoSpaceDN/>
              <w:adjustRightInd/>
              <w:rPr>
                <w:rFonts w:ascii="EYInterstate Light" w:hAnsi="EYInterstate Light"/>
              </w:rPr>
            </w:pPr>
            <w:r w:rsidRPr="00993A88">
              <w:rPr>
                <w:rFonts w:ascii="EYInterstate Light" w:hAnsi="EYInterstate Light"/>
              </w:rPr>
              <w:t>Austr</w:t>
            </w:r>
            <w:r>
              <w:rPr>
                <w:rFonts w:ascii="EYInterstate Light" w:hAnsi="EYInterstate Light"/>
              </w:rPr>
              <w:t xml:space="preserve">alian </w:t>
            </w:r>
            <w:r w:rsidRPr="00993A88">
              <w:rPr>
                <w:rFonts w:ascii="EYInterstate Light" w:hAnsi="EYInterstate Light"/>
              </w:rPr>
              <w:t>access to academic journal articles</w:t>
            </w:r>
          </w:p>
        </w:tc>
        <w:tc>
          <w:tcPr>
            <w:tcW w:w="2380" w:type="dxa"/>
            <w:tcBorders>
              <w:top w:val="nil"/>
              <w:left w:val="single" w:sz="4" w:space="0" w:color="D2D2DA"/>
              <w:bottom w:val="single" w:sz="4" w:space="0" w:color="D2D2DA"/>
              <w:right w:val="single" w:sz="4" w:space="0" w:color="D2D2DA"/>
            </w:tcBorders>
            <w:shd w:val="clear" w:color="auto" w:fill="FFA766" w:themeFill="accent6" w:themeFillTint="99"/>
            <w:vAlign w:val="center"/>
          </w:tcPr>
          <w:p w14:paraId="29356F8F" w14:textId="77777777" w:rsidR="000753E9" w:rsidRPr="00993A88" w:rsidRDefault="000753E9" w:rsidP="001605A6">
            <w:pPr>
              <w:autoSpaceDE/>
              <w:autoSpaceDN/>
              <w:adjustRightInd/>
              <w:jc w:val="center"/>
              <w:rPr>
                <w:rFonts w:ascii="EYInterstate Light" w:hAnsi="EYInterstate Light"/>
              </w:rPr>
            </w:pPr>
            <w:r w:rsidRPr="00993A88">
              <w:rPr>
                <w:rFonts w:ascii="EYInterstate Light" w:hAnsi="EYInterstate Light"/>
              </w:rPr>
              <w:t>Neutral</w:t>
            </w:r>
          </w:p>
        </w:tc>
        <w:tc>
          <w:tcPr>
            <w:tcW w:w="2381" w:type="dxa"/>
            <w:tcBorders>
              <w:top w:val="nil"/>
              <w:left w:val="single" w:sz="4" w:space="0" w:color="D2D2DA"/>
              <w:bottom w:val="single" w:sz="4" w:space="0" w:color="D2D2DA"/>
              <w:right w:val="single" w:sz="4" w:space="0" w:color="D2D2DA"/>
            </w:tcBorders>
            <w:shd w:val="clear" w:color="auto" w:fill="92D050"/>
            <w:vAlign w:val="center"/>
          </w:tcPr>
          <w:p w14:paraId="02059266" w14:textId="77777777" w:rsidR="000753E9" w:rsidRPr="00993A88" w:rsidRDefault="000753E9" w:rsidP="001605A6">
            <w:pPr>
              <w:autoSpaceDE/>
              <w:autoSpaceDN/>
              <w:adjustRightInd/>
              <w:jc w:val="center"/>
              <w:rPr>
                <w:rFonts w:ascii="EYInterstate Light" w:hAnsi="EYInterstate Light"/>
              </w:rPr>
            </w:pPr>
            <w:r w:rsidRPr="00993A88">
              <w:rPr>
                <w:rFonts w:ascii="EYInterstate Light" w:hAnsi="EYInterstate Light"/>
              </w:rPr>
              <w:t>Medium positive</w:t>
            </w:r>
          </w:p>
        </w:tc>
        <w:tc>
          <w:tcPr>
            <w:tcW w:w="2381" w:type="dxa"/>
            <w:tcBorders>
              <w:top w:val="nil"/>
              <w:left w:val="single" w:sz="4" w:space="0" w:color="D2D2DA"/>
              <w:bottom w:val="single" w:sz="4" w:space="0" w:color="D2D2DA"/>
              <w:right w:val="single" w:sz="4" w:space="0" w:color="D2D2DA"/>
            </w:tcBorders>
            <w:shd w:val="clear" w:color="auto" w:fill="00B050"/>
            <w:vAlign w:val="center"/>
          </w:tcPr>
          <w:p w14:paraId="2ACE178A" w14:textId="77777777" w:rsidR="000753E9" w:rsidRPr="00993A88" w:rsidRDefault="000753E9" w:rsidP="001605A6">
            <w:pPr>
              <w:autoSpaceDE/>
              <w:autoSpaceDN/>
              <w:adjustRightInd/>
              <w:jc w:val="center"/>
              <w:rPr>
                <w:rFonts w:ascii="EYInterstate Light" w:hAnsi="EYInterstate Light"/>
              </w:rPr>
            </w:pPr>
            <w:r w:rsidRPr="00993A88">
              <w:rPr>
                <w:rFonts w:ascii="EYInterstate Light" w:hAnsi="EYInterstate Light"/>
              </w:rPr>
              <w:t>High positive</w:t>
            </w:r>
          </w:p>
        </w:tc>
      </w:tr>
      <w:tr w:rsidR="000753E9" w:rsidRPr="006119F9" w14:paraId="5E634062" w14:textId="77777777" w:rsidTr="001605A6">
        <w:trPr>
          <w:trHeight w:val="1273"/>
        </w:trPr>
        <w:tc>
          <w:tcPr>
            <w:tcW w:w="547" w:type="dxa"/>
            <w:vMerge/>
            <w:tcBorders>
              <w:left w:val="single" w:sz="4" w:space="0" w:color="D2D2DA"/>
              <w:right w:val="single" w:sz="4" w:space="0" w:color="D2D2DA"/>
            </w:tcBorders>
            <w:vAlign w:val="center"/>
          </w:tcPr>
          <w:p w14:paraId="5C5211D6" w14:textId="77777777" w:rsidR="000753E9" w:rsidRPr="00EE69D7" w:rsidRDefault="000753E9" w:rsidP="001605A6">
            <w:pPr>
              <w:autoSpaceDE/>
              <w:autoSpaceDN/>
              <w:adjustRightInd/>
              <w:jc w:val="center"/>
              <w:rPr>
                <w:rFonts w:ascii="EYInterstate Light" w:hAnsi="EYInterstate Light"/>
                <w:b/>
                <w:sz w:val="18"/>
                <w:szCs w:val="18"/>
              </w:rPr>
            </w:pPr>
          </w:p>
        </w:tc>
        <w:tc>
          <w:tcPr>
            <w:tcW w:w="1799" w:type="dxa"/>
            <w:tcBorders>
              <w:top w:val="single" w:sz="4" w:space="0" w:color="D2D2DA"/>
              <w:left w:val="single" w:sz="4" w:space="0" w:color="D2D2DA"/>
              <w:bottom w:val="single" w:sz="4" w:space="0" w:color="D2D2DA"/>
              <w:right w:val="single" w:sz="4" w:space="0" w:color="D2D2DA"/>
            </w:tcBorders>
            <w:vAlign w:val="center"/>
          </w:tcPr>
          <w:p w14:paraId="53833295" w14:textId="77777777" w:rsidR="000753E9" w:rsidRPr="00993A88" w:rsidRDefault="000753E9" w:rsidP="001605A6">
            <w:pPr>
              <w:autoSpaceDE/>
              <w:autoSpaceDN/>
              <w:adjustRightInd/>
              <w:rPr>
                <w:rFonts w:ascii="EYInterstate Light" w:hAnsi="EYInterstate Light"/>
              </w:rPr>
            </w:pPr>
            <w:r w:rsidRPr="00993A88">
              <w:rPr>
                <w:rFonts w:ascii="EYInterstate Light" w:hAnsi="EYInterstate Light"/>
              </w:rPr>
              <w:t>Australian journal articles published as open access</w:t>
            </w:r>
          </w:p>
        </w:tc>
        <w:tc>
          <w:tcPr>
            <w:tcW w:w="2380" w:type="dxa"/>
            <w:tcBorders>
              <w:top w:val="single" w:sz="4" w:space="0" w:color="D2D2DA"/>
              <w:left w:val="single" w:sz="4" w:space="0" w:color="D2D2DA"/>
              <w:bottom w:val="single" w:sz="4" w:space="0" w:color="D2D2DA"/>
              <w:right w:val="single" w:sz="4" w:space="0" w:color="D2D2DA"/>
            </w:tcBorders>
            <w:shd w:val="clear" w:color="auto" w:fill="FFA766" w:themeFill="accent6" w:themeFillTint="99"/>
            <w:vAlign w:val="center"/>
          </w:tcPr>
          <w:p w14:paraId="6B3850EC" w14:textId="77777777" w:rsidR="000753E9" w:rsidRPr="00993A88" w:rsidRDefault="000753E9" w:rsidP="001605A6">
            <w:pPr>
              <w:autoSpaceDE/>
              <w:autoSpaceDN/>
              <w:adjustRightInd/>
              <w:jc w:val="center"/>
              <w:rPr>
                <w:rFonts w:ascii="EYInterstate Light" w:hAnsi="EYInterstate Light"/>
              </w:rPr>
            </w:pPr>
            <w:r>
              <w:rPr>
                <w:rFonts w:ascii="EYInterstate Light" w:hAnsi="EYInterstate Light"/>
              </w:rPr>
              <w:t>Neutral</w:t>
            </w:r>
          </w:p>
        </w:tc>
        <w:tc>
          <w:tcPr>
            <w:tcW w:w="2381" w:type="dxa"/>
            <w:tcBorders>
              <w:top w:val="single" w:sz="4" w:space="0" w:color="D2D2DA"/>
              <w:left w:val="single" w:sz="4" w:space="0" w:color="D2D2DA"/>
              <w:bottom w:val="single" w:sz="4" w:space="0" w:color="D2D2DA"/>
              <w:right w:val="single" w:sz="4" w:space="0" w:color="D2D2DA"/>
            </w:tcBorders>
            <w:shd w:val="clear" w:color="auto" w:fill="92D050"/>
            <w:vAlign w:val="center"/>
          </w:tcPr>
          <w:p w14:paraId="6A8562EC" w14:textId="77777777" w:rsidR="000753E9" w:rsidRPr="00993A88" w:rsidRDefault="000753E9" w:rsidP="001605A6">
            <w:pPr>
              <w:autoSpaceDE/>
              <w:autoSpaceDN/>
              <w:adjustRightInd/>
              <w:jc w:val="center"/>
              <w:rPr>
                <w:rFonts w:ascii="EYInterstate Light" w:hAnsi="EYInterstate Light"/>
              </w:rPr>
            </w:pPr>
            <w:r w:rsidRPr="00993A88">
              <w:rPr>
                <w:rFonts w:ascii="EYInterstate Light" w:hAnsi="EYInterstate Light"/>
              </w:rPr>
              <w:t>Medium positive</w:t>
            </w:r>
          </w:p>
        </w:tc>
        <w:tc>
          <w:tcPr>
            <w:tcW w:w="2381" w:type="dxa"/>
            <w:tcBorders>
              <w:top w:val="single" w:sz="4" w:space="0" w:color="D2D2DA"/>
              <w:left w:val="single" w:sz="4" w:space="0" w:color="D2D2DA"/>
              <w:bottom w:val="single" w:sz="4" w:space="0" w:color="D2D2DA"/>
              <w:right w:val="single" w:sz="4" w:space="0" w:color="D2D2DA"/>
            </w:tcBorders>
            <w:shd w:val="clear" w:color="auto" w:fill="00B050"/>
            <w:vAlign w:val="center"/>
          </w:tcPr>
          <w:p w14:paraId="1A30D4DF" w14:textId="77777777" w:rsidR="000753E9" w:rsidRPr="00993A88" w:rsidRDefault="000753E9" w:rsidP="001605A6">
            <w:pPr>
              <w:autoSpaceDE/>
              <w:autoSpaceDN/>
              <w:adjustRightInd/>
              <w:jc w:val="center"/>
              <w:rPr>
                <w:rFonts w:ascii="EYInterstate Light" w:hAnsi="EYInterstate Light"/>
              </w:rPr>
            </w:pPr>
            <w:r w:rsidRPr="00993A88">
              <w:rPr>
                <w:rFonts w:ascii="EYInterstate Light" w:hAnsi="EYInterstate Light"/>
              </w:rPr>
              <w:t>High positive</w:t>
            </w:r>
          </w:p>
        </w:tc>
      </w:tr>
      <w:tr w:rsidR="000753E9" w:rsidRPr="006119F9" w14:paraId="4BCF7415" w14:textId="77777777" w:rsidTr="001605A6">
        <w:trPr>
          <w:trHeight w:val="1273"/>
        </w:trPr>
        <w:tc>
          <w:tcPr>
            <w:tcW w:w="547" w:type="dxa"/>
            <w:vMerge/>
            <w:tcBorders>
              <w:left w:val="single" w:sz="4" w:space="0" w:color="D2D2DA"/>
              <w:bottom w:val="single" w:sz="4" w:space="0" w:color="D2D2DA"/>
              <w:right w:val="single" w:sz="4" w:space="0" w:color="D2D2DA"/>
            </w:tcBorders>
            <w:vAlign w:val="center"/>
          </w:tcPr>
          <w:p w14:paraId="20A9D37C" w14:textId="77777777" w:rsidR="000753E9" w:rsidRPr="00EE69D7" w:rsidRDefault="000753E9" w:rsidP="001605A6">
            <w:pPr>
              <w:autoSpaceDE/>
              <w:autoSpaceDN/>
              <w:adjustRightInd/>
              <w:jc w:val="center"/>
              <w:rPr>
                <w:rFonts w:ascii="EYInterstate Light" w:hAnsi="EYInterstate Light"/>
                <w:b/>
                <w:sz w:val="18"/>
                <w:szCs w:val="18"/>
              </w:rPr>
            </w:pPr>
          </w:p>
        </w:tc>
        <w:tc>
          <w:tcPr>
            <w:tcW w:w="1799" w:type="dxa"/>
            <w:tcBorders>
              <w:top w:val="single" w:sz="4" w:space="0" w:color="D2D2DA"/>
              <w:left w:val="single" w:sz="4" w:space="0" w:color="D2D2DA"/>
              <w:bottom w:val="single" w:sz="4" w:space="0" w:color="D2D2DA"/>
              <w:right w:val="single" w:sz="4" w:space="0" w:color="D2D2DA"/>
            </w:tcBorders>
            <w:vAlign w:val="center"/>
          </w:tcPr>
          <w:p w14:paraId="2E22F465" w14:textId="77777777" w:rsidR="000753E9" w:rsidRPr="00993A88" w:rsidRDefault="000753E9" w:rsidP="001605A6">
            <w:pPr>
              <w:autoSpaceDE/>
              <w:autoSpaceDN/>
              <w:adjustRightInd/>
              <w:rPr>
                <w:rFonts w:ascii="EYInterstate Light" w:hAnsi="EYInterstate Light"/>
              </w:rPr>
            </w:pPr>
            <w:r w:rsidRPr="00993A88">
              <w:rPr>
                <w:rFonts w:ascii="EYInterstate Light" w:hAnsi="EYInterstate Light"/>
              </w:rPr>
              <w:t>Research integrity and discoverability</w:t>
            </w:r>
          </w:p>
        </w:tc>
        <w:tc>
          <w:tcPr>
            <w:tcW w:w="2380" w:type="dxa"/>
            <w:tcBorders>
              <w:top w:val="single" w:sz="4" w:space="0" w:color="D2D2DA"/>
              <w:left w:val="single" w:sz="4" w:space="0" w:color="D2D2DA"/>
              <w:bottom w:val="single" w:sz="4" w:space="0" w:color="D2D2DA"/>
              <w:right w:val="single" w:sz="4" w:space="0" w:color="D2D2DA"/>
            </w:tcBorders>
            <w:shd w:val="clear" w:color="auto" w:fill="92D050"/>
            <w:vAlign w:val="center"/>
          </w:tcPr>
          <w:p w14:paraId="0E0690F3" w14:textId="77777777" w:rsidR="000753E9" w:rsidRPr="00993A88" w:rsidRDefault="000753E9" w:rsidP="001605A6">
            <w:pPr>
              <w:autoSpaceDE/>
              <w:autoSpaceDN/>
              <w:adjustRightInd/>
              <w:jc w:val="center"/>
              <w:rPr>
                <w:rFonts w:ascii="EYInterstate Light" w:hAnsi="EYInterstate Light"/>
              </w:rPr>
            </w:pPr>
            <w:r>
              <w:rPr>
                <w:rFonts w:ascii="EYInterstate Light" w:hAnsi="EYInterstate Light"/>
              </w:rPr>
              <w:t>Medium positive</w:t>
            </w:r>
          </w:p>
        </w:tc>
        <w:tc>
          <w:tcPr>
            <w:tcW w:w="2381" w:type="dxa"/>
            <w:tcBorders>
              <w:top w:val="single" w:sz="4" w:space="0" w:color="D2D2DA"/>
              <w:left w:val="single" w:sz="4" w:space="0" w:color="D2D2DA"/>
              <w:bottom w:val="single" w:sz="4" w:space="0" w:color="D2D2DA"/>
              <w:right w:val="single" w:sz="4" w:space="0" w:color="D2D2DA"/>
            </w:tcBorders>
            <w:shd w:val="clear" w:color="auto" w:fill="FFA766" w:themeFill="accent6" w:themeFillTint="99"/>
            <w:vAlign w:val="center"/>
          </w:tcPr>
          <w:p w14:paraId="2CF36DFB" w14:textId="77777777" w:rsidR="000753E9" w:rsidRPr="00993A88" w:rsidRDefault="000753E9" w:rsidP="001605A6">
            <w:pPr>
              <w:autoSpaceDE/>
              <w:autoSpaceDN/>
              <w:adjustRightInd/>
              <w:jc w:val="center"/>
              <w:rPr>
                <w:rFonts w:ascii="EYInterstate Light" w:hAnsi="EYInterstate Light"/>
              </w:rPr>
            </w:pPr>
            <w:r>
              <w:rPr>
                <w:rFonts w:ascii="EYInterstate Light" w:hAnsi="EYInterstate Light"/>
              </w:rPr>
              <w:t>Neutral</w:t>
            </w:r>
          </w:p>
        </w:tc>
        <w:tc>
          <w:tcPr>
            <w:tcW w:w="2381" w:type="dxa"/>
            <w:tcBorders>
              <w:top w:val="single" w:sz="4" w:space="0" w:color="D2D2DA"/>
              <w:left w:val="single" w:sz="4" w:space="0" w:color="D2D2DA"/>
              <w:bottom w:val="single" w:sz="4" w:space="0" w:color="D2D2DA"/>
              <w:right w:val="single" w:sz="4" w:space="0" w:color="D2D2DA"/>
            </w:tcBorders>
            <w:shd w:val="clear" w:color="auto" w:fill="00B050"/>
            <w:vAlign w:val="center"/>
          </w:tcPr>
          <w:p w14:paraId="11CEF666" w14:textId="77777777" w:rsidR="000753E9" w:rsidRPr="00993A88" w:rsidRDefault="000753E9" w:rsidP="001605A6">
            <w:pPr>
              <w:autoSpaceDE/>
              <w:autoSpaceDN/>
              <w:adjustRightInd/>
              <w:jc w:val="center"/>
              <w:rPr>
                <w:rFonts w:ascii="EYInterstate Light" w:hAnsi="EYInterstate Light"/>
              </w:rPr>
            </w:pPr>
            <w:r w:rsidRPr="00993A88">
              <w:rPr>
                <w:rFonts w:ascii="EYInterstate Light" w:hAnsi="EYInterstate Light"/>
              </w:rPr>
              <w:t>High positive</w:t>
            </w:r>
          </w:p>
        </w:tc>
      </w:tr>
      <w:tr w:rsidR="000753E9" w:rsidRPr="006119F9" w14:paraId="6E85F49A" w14:textId="77777777" w:rsidTr="001605A6">
        <w:trPr>
          <w:trHeight w:val="1273"/>
        </w:trPr>
        <w:tc>
          <w:tcPr>
            <w:tcW w:w="547" w:type="dxa"/>
            <w:vMerge w:val="restart"/>
            <w:tcBorders>
              <w:top w:val="single" w:sz="4" w:space="0" w:color="D2D2DA"/>
              <w:left w:val="single" w:sz="4" w:space="0" w:color="D2D2DA"/>
              <w:right w:val="single" w:sz="4" w:space="0" w:color="D2D2DA"/>
            </w:tcBorders>
            <w:textDirection w:val="btLr"/>
            <w:vAlign w:val="center"/>
          </w:tcPr>
          <w:p w14:paraId="70A518FA" w14:textId="77777777" w:rsidR="000753E9" w:rsidRPr="00EE69D7" w:rsidRDefault="000753E9" w:rsidP="001605A6">
            <w:pPr>
              <w:ind w:left="113" w:right="113"/>
              <w:jc w:val="center"/>
              <w:rPr>
                <w:rFonts w:ascii="EYInterstate Light" w:hAnsi="EYInterstate Light"/>
                <w:b/>
                <w:sz w:val="18"/>
                <w:szCs w:val="18"/>
              </w:rPr>
            </w:pPr>
            <w:r w:rsidRPr="00EE69D7">
              <w:rPr>
                <w:rFonts w:ascii="EYInterstate Light" w:hAnsi="EYInterstate Light"/>
                <w:b/>
                <w:sz w:val="18"/>
                <w:szCs w:val="18"/>
              </w:rPr>
              <w:t>Long term impact</w:t>
            </w:r>
          </w:p>
        </w:tc>
        <w:tc>
          <w:tcPr>
            <w:tcW w:w="1799" w:type="dxa"/>
            <w:tcBorders>
              <w:top w:val="single" w:sz="4" w:space="0" w:color="D2D2DA"/>
              <w:left w:val="single" w:sz="4" w:space="0" w:color="D2D2DA"/>
              <w:bottom w:val="single" w:sz="4" w:space="0" w:color="D2D2DA"/>
              <w:right w:val="single" w:sz="4" w:space="0" w:color="D2D2DA"/>
            </w:tcBorders>
            <w:vAlign w:val="center"/>
          </w:tcPr>
          <w:p w14:paraId="08BC1660" w14:textId="77777777" w:rsidR="000753E9" w:rsidRPr="00993A88" w:rsidRDefault="000753E9" w:rsidP="001605A6">
            <w:pPr>
              <w:autoSpaceDE/>
              <w:autoSpaceDN/>
              <w:adjustRightInd/>
              <w:rPr>
                <w:rFonts w:ascii="EYInterstate Light" w:hAnsi="EYInterstate Light"/>
              </w:rPr>
            </w:pPr>
            <w:r w:rsidRPr="00993A88">
              <w:rPr>
                <w:rFonts w:ascii="EYInterstate Light" w:hAnsi="EYInterstate Light"/>
              </w:rPr>
              <w:t xml:space="preserve">Cost </w:t>
            </w:r>
          </w:p>
        </w:tc>
        <w:tc>
          <w:tcPr>
            <w:tcW w:w="2380" w:type="dxa"/>
            <w:tcBorders>
              <w:top w:val="single" w:sz="4" w:space="0" w:color="D2D2DA"/>
              <w:left w:val="single" w:sz="4" w:space="0" w:color="D2D2DA"/>
              <w:bottom w:val="single" w:sz="4" w:space="0" w:color="D2D2DA"/>
              <w:right w:val="single" w:sz="4" w:space="0" w:color="D2D2DA"/>
            </w:tcBorders>
            <w:shd w:val="clear" w:color="auto" w:fill="FF8C86" w:themeFill="accent5" w:themeFillTint="99"/>
            <w:vAlign w:val="center"/>
          </w:tcPr>
          <w:p w14:paraId="32B3158D" w14:textId="77777777" w:rsidR="000753E9" w:rsidRPr="00993A88" w:rsidRDefault="000753E9" w:rsidP="001605A6">
            <w:pPr>
              <w:autoSpaceDE/>
              <w:autoSpaceDN/>
              <w:adjustRightInd/>
              <w:jc w:val="center"/>
              <w:rPr>
                <w:rFonts w:ascii="EYInterstate Light" w:hAnsi="EYInterstate Light"/>
              </w:rPr>
            </w:pPr>
            <w:r>
              <w:rPr>
                <w:rFonts w:ascii="EYInterstate Light" w:hAnsi="EYInterstate Light"/>
              </w:rPr>
              <w:t>Medium negative</w:t>
            </w:r>
          </w:p>
        </w:tc>
        <w:tc>
          <w:tcPr>
            <w:tcW w:w="2381" w:type="dxa"/>
            <w:tcBorders>
              <w:top w:val="single" w:sz="4" w:space="0" w:color="D2D2DA"/>
              <w:left w:val="single" w:sz="4" w:space="0" w:color="D2D2DA"/>
              <w:bottom w:val="single" w:sz="4" w:space="0" w:color="D2D2DA"/>
              <w:right w:val="single" w:sz="4" w:space="0" w:color="D2D2DA"/>
            </w:tcBorders>
            <w:shd w:val="clear" w:color="auto" w:fill="92D050"/>
            <w:vAlign w:val="center"/>
          </w:tcPr>
          <w:p w14:paraId="1B4E904D" w14:textId="77777777" w:rsidR="000753E9" w:rsidRPr="00993A88" w:rsidRDefault="000753E9" w:rsidP="001605A6">
            <w:pPr>
              <w:autoSpaceDE/>
              <w:autoSpaceDN/>
              <w:adjustRightInd/>
              <w:jc w:val="center"/>
              <w:rPr>
                <w:rFonts w:ascii="EYInterstate Light" w:hAnsi="EYInterstate Light"/>
              </w:rPr>
            </w:pPr>
            <w:r w:rsidRPr="00993A88">
              <w:rPr>
                <w:rFonts w:ascii="EYInterstate Light" w:hAnsi="EYInterstate Light"/>
              </w:rPr>
              <w:t xml:space="preserve">Medium positive </w:t>
            </w:r>
          </w:p>
        </w:tc>
        <w:tc>
          <w:tcPr>
            <w:tcW w:w="2381" w:type="dxa"/>
            <w:tcBorders>
              <w:top w:val="single" w:sz="4" w:space="0" w:color="D2D2DA"/>
              <w:left w:val="single" w:sz="4" w:space="0" w:color="D2D2DA"/>
              <w:bottom w:val="single" w:sz="4" w:space="0" w:color="D2D2DA"/>
              <w:right w:val="single" w:sz="4" w:space="0" w:color="D2D2DA"/>
            </w:tcBorders>
            <w:shd w:val="clear" w:color="auto" w:fill="92D050"/>
            <w:vAlign w:val="center"/>
          </w:tcPr>
          <w:p w14:paraId="300297CA" w14:textId="77777777" w:rsidR="000753E9" w:rsidRPr="00993A88" w:rsidRDefault="000753E9" w:rsidP="001605A6">
            <w:pPr>
              <w:autoSpaceDE/>
              <w:autoSpaceDN/>
              <w:adjustRightInd/>
              <w:jc w:val="center"/>
              <w:rPr>
                <w:rFonts w:ascii="EYInterstate Light" w:hAnsi="EYInterstate Light"/>
              </w:rPr>
            </w:pPr>
            <w:r>
              <w:rPr>
                <w:rFonts w:ascii="EYInterstate Light" w:hAnsi="EYInterstate Light"/>
              </w:rPr>
              <w:t>Medium positive</w:t>
            </w:r>
          </w:p>
        </w:tc>
      </w:tr>
      <w:tr w:rsidR="000753E9" w:rsidRPr="006119F9" w14:paraId="35605399" w14:textId="77777777" w:rsidTr="001605A6">
        <w:trPr>
          <w:trHeight w:val="1273"/>
        </w:trPr>
        <w:tc>
          <w:tcPr>
            <w:tcW w:w="547" w:type="dxa"/>
            <w:vMerge/>
            <w:tcBorders>
              <w:left w:val="single" w:sz="4" w:space="0" w:color="D2D2DA"/>
              <w:right w:val="single" w:sz="4" w:space="0" w:color="D2D2DA"/>
            </w:tcBorders>
            <w:textDirection w:val="btLr"/>
            <w:vAlign w:val="center"/>
          </w:tcPr>
          <w:p w14:paraId="24059815" w14:textId="77777777" w:rsidR="000753E9" w:rsidRPr="00EE69D7" w:rsidRDefault="000753E9" w:rsidP="001605A6">
            <w:pPr>
              <w:autoSpaceDE/>
              <w:autoSpaceDN/>
              <w:adjustRightInd/>
              <w:ind w:left="113" w:right="113"/>
              <w:jc w:val="center"/>
              <w:rPr>
                <w:rFonts w:ascii="EYInterstate Light" w:hAnsi="EYInterstate Light"/>
                <w:b/>
                <w:sz w:val="18"/>
                <w:szCs w:val="18"/>
              </w:rPr>
            </w:pPr>
          </w:p>
        </w:tc>
        <w:tc>
          <w:tcPr>
            <w:tcW w:w="1799" w:type="dxa"/>
            <w:tcBorders>
              <w:top w:val="single" w:sz="4" w:space="0" w:color="D2D2DA"/>
              <w:left w:val="single" w:sz="4" w:space="0" w:color="D2D2DA"/>
              <w:bottom w:val="single" w:sz="4" w:space="0" w:color="D2D2DA"/>
              <w:right w:val="single" w:sz="4" w:space="0" w:color="D2D2DA"/>
            </w:tcBorders>
            <w:vAlign w:val="center"/>
          </w:tcPr>
          <w:p w14:paraId="05A812E8" w14:textId="77777777" w:rsidR="000753E9" w:rsidRPr="00993A88" w:rsidRDefault="000753E9" w:rsidP="001605A6">
            <w:pPr>
              <w:autoSpaceDE/>
              <w:autoSpaceDN/>
              <w:adjustRightInd/>
              <w:rPr>
                <w:rFonts w:ascii="EYInterstate Light" w:hAnsi="EYInterstate Light"/>
              </w:rPr>
            </w:pPr>
            <w:r w:rsidRPr="00993A88">
              <w:rPr>
                <w:rFonts w:ascii="EYInterstate Light" w:hAnsi="EYInterstate Light"/>
              </w:rPr>
              <w:t>Market and competition effect</w:t>
            </w:r>
          </w:p>
        </w:tc>
        <w:tc>
          <w:tcPr>
            <w:tcW w:w="2380" w:type="dxa"/>
            <w:tcBorders>
              <w:top w:val="single" w:sz="4" w:space="0" w:color="D2D2DA"/>
              <w:left w:val="single" w:sz="4" w:space="0" w:color="D2D2DA"/>
              <w:bottom w:val="single" w:sz="4" w:space="0" w:color="D2D2DA"/>
              <w:right w:val="single" w:sz="4" w:space="0" w:color="D2D2DA"/>
            </w:tcBorders>
            <w:shd w:val="clear" w:color="auto" w:fill="FF0000"/>
            <w:vAlign w:val="center"/>
          </w:tcPr>
          <w:p w14:paraId="1BEA0761" w14:textId="77777777" w:rsidR="000753E9" w:rsidRPr="00993A88" w:rsidRDefault="000753E9" w:rsidP="001605A6">
            <w:pPr>
              <w:autoSpaceDE/>
              <w:autoSpaceDN/>
              <w:adjustRightInd/>
              <w:jc w:val="center"/>
              <w:rPr>
                <w:rFonts w:ascii="EYInterstate Light" w:hAnsi="EYInterstate Light"/>
              </w:rPr>
            </w:pPr>
            <w:r>
              <w:rPr>
                <w:rFonts w:ascii="EYInterstate Light" w:hAnsi="EYInterstate Light"/>
              </w:rPr>
              <w:t>High negative</w:t>
            </w:r>
          </w:p>
        </w:tc>
        <w:tc>
          <w:tcPr>
            <w:tcW w:w="2381" w:type="dxa"/>
            <w:tcBorders>
              <w:top w:val="single" w:sz="4" w:space="0" w:color="D2D2DA"/>
              <w:left w:val="single" w:sz="4" w:space="0" w:color="D2D2DA"/>
              <w:bottom w:val="single" w:sz="4" w:space="0" w:color="D2D2DA"/>
              <w:right w:val="single" w:sz="4" w:space="0" w:color="D2D2DA"/>
            </w:tcBorders>
            <w:shd w:val="clear" w:color="auto" w:fill="FF8C86"/>
            <w:vAlign w:val="center"/>
          </w:tcPr>
          <w:p w14:paraId="7C29D772" w14:textId="77777777" w:rsidR="000753E9" w:rsidRPr="00993A88" w:rsidRDefault="000753E9" w:rsidP="001605A6">
            <w:pPr>
              <w:autoSpaceDE/>
              <w:autoSpaceDN/>
              <w:adjustRightInd/>
              <w:jc w:val="center"/>
              <w:rPr>
                <w:rFonts w:ascii="EYInterstate Light" w:hAnsi="EYInterstate Light"/>
              </w:rPr>
            </w:pPr>
            <w:r w:rsidRPr="00993A88">
              <w:rPr>
                <w:rFonts w:ascii="EYInterstate Light" w:hAnsi="EYInterstate Light"/>
              </w:rPr>
              <w:t xml:space="preserve">Medium negative </w:t>
            </w:r>
          </w:p>
        </w:tc>
        <w:tc>
          <w:tcPr>
            <w:tcW w:w="2381" w:type="dxa"/>
            <w:tcBorders>
              <w:top w:val="single" w:sz="4" w:space="0" w:color="D2D2DA"/>
              <w:left w:val="single" w:sz="4" w:space="0" w:color="D2D2DA"/>
              <w:bottom w:val="single" w:sz="4" w:space="0" w:color="D2D2DA"/>
              <w:right w:val="single" w:sz="4" w:space="0" w:color="D2D2DA"/>
            </w:tcBorders>
            <w:shd w:val="clear" w:color="auto" w:fill="FF8C86" w:themeFill="accent5" w:themeFillTint="99"/>
            <w:vAlign w:val="center"/>
          </w:tcPr>
          <w:p w14:paraId="6C3B2DFE" w14:textId="77777777" w:rsidR="000753E9" w:rsidRPr="00993A88" w:rsidRDefault="000753E9" w:rsidP="001605A6">
            <w:pPr>
              <w:autoSpaceDE/>
              <w:autoSpaceDN/>
              <w:adjustRightInd/>
              <w:jc w:val="center"/>
              <w:rPr>
                <w:rFonts w:ascii="EYInterstate Light" w:hAnsi="EYInterstate Light"/>
              </w:rPr>
            </w:pPr>
            <w:r w:rsidRPr="00993A88">
              <w:rPr>
                <w:rFonts w:ascii="EYInterstate Light" w:hAnsi="EYInterstate Light"/>
              </w:rPr>
              <w:t>Medium negative</w:t>
            </w:r>
          </w:p>
        </w:tc>
      </w:tr>
      <w:tr w:rsidR="000753E9" w:rsidRPr="006119F9" w14:paraId="210D8AF8" w14:textId="77777777" w:rsidTr="001605A6">
        <w:trPr>
          <w:trHeight w:val="1273"/>
        </w:trPr>
        <w:tc>
          <w:tcPr>
            <w:tcW w:w="547" w:type="dxa"/>
            <w:vMerge/>
            <w:tcBorders>
              <w:left w:val="single" w:sz="4" w:space="0" w:color="D2D2DA"/>
              <w:bottom w:val="single" w:sz="4" w:space="0" w:color="D2D2DA"/>
              <w:right w:val="single" w:sz="4" w:space="0" w:color="D2D2DA"/>
            </w:tcBorders>
            <w:vAlign w:val="center"/>
          </w:tcPr>
          <w:p w14:paraId="4B73E4D4" w14:textId="77777777" w:rsidR="000753E9" w:rsidRPr="00EE69D7" w:rsidRDefault="000753E9" w:rsidP="001605A6">
            <w:pPr>
              <w:autoSpaceDE/>
              <w:autoSpaceDN/>
              <w:adjustRightInd/>
              <w:jc w:val="center"/>
              <w:rPr>
                <w:rFonts w:ascii="EYInterstate Light" w:hAnsi="EYInterstate Light"/>
                <w:b/>
                <w:sz w:val="18"/>
                <w:szCs w:val="18"/>
              </w:rPr>
            </w:pPr>
          </w:p>
        </w:tc>
        <w:tc>
          <w:tcPr>
            <w:tcW w:w="1799" w:type="dxa"/>
            <w:tcBorders>
              <w:top w:val="single" w:sz="4" w:space="0" w:color="D2D2DA"/>
              <w:left w:val="single" w:sz="4" w:space="0" w:color="D2D2DA"/>
              <w:bottom w:val="single" w:sz="4" w:space="0" w:color="D2D2DA"/>
              <w:right w:val="single" w:sz="4" w:space="0" w:color="D2D2DA"/>
            </w:tcBorders>
            <w:vAlign w:val="center"/>
          </w:tcPr>
          <w:p w14:paraId="381E8776" w14:textId="77777777" w:rsidR="000753E9" w:rsidRPr="00993A88" w:rsidRDefault="000753E9" w:rsidP="001605A6">
            <w:pPr>
              <w:autoSpaceDE/>
              <w:autoSpaceDN/>
              <w:adjustRightInd/>
              <w:rPr>
                <w:rFonts w:ascii="EYInterstate Light" w:hAnsi="EYInterstate Light"/>
              </w:rPr>
            </w:pPr>
            <w:r w:rsidRPr="00993A88">
              <w:rPr>
                <w:rFonts w:ascii="EYInterstate Light" w:hAnsi="EYInterstate Light"/>
              </w:rPr>
              <w:t>Economic impact</w:t>
            </w:r>
          </w:p>
        </w:tc>
        <w:tc>
          <w:tcPr>
            <w:tcW w:w="2380" w:type="dxa"/>
            <w:tcBorders>
              <w:top w:val="single" w:sz="4" w:space="0" w:color="D2D2DA"/>
              <w:left w:val="single" w:sz="4" w:space="0" w:color="D2D2DA"/>
              <w:bottom w:val="single" w:sz="4" w:space="0" w:color="D2D2DA"/>
              <w:right w:val="single" w:sz="4" w:space="0" w:color="D2D2DA"/>
            </w:tcBorders>
            <w:shd w:val="clear" w:color="auto" w:fill="FFA766" w:themeFill="accent6" w:themeFillTint="99"/>
            <w:vAlign w:val="center"/>
          </w:tcPr>
          <w:p w14:paraId="063F89AB" w14:textId="77777777" w:rsidR="000753E9" w:rsidRPr="00993A88" w:rsidRDefault="000753E9" w:rsidP="001605A6">
            <w:pPr>
              <w:autoSpaceDE/>
              <w:autoSpaceDN/>
              <w:adjustRightInd/>
              <w:jc w:val="center"/>
              <w:rPr>
                <w:rFonts w:ascii="EYInterstate Light" w:hAnsi="EYInterstate Light"/>
              </w:rPr>
            </w:pPr>
            <w:r w:rsidRPr="00993A88">
              <w:rPr>
                <w:rFonts w:ascii="EYInterstate Light" w:hAnsi="EYInterstate Light"/>
              </w:rPr>
              <w:t xml:space="preserve">Neutral </w:t>
            </w:r>
          </w:p>
        </w:tc>
        <w:tc>
          <w:tcPr>
            <w:tcW w:w="2381" w:type="dxa"/>
            <w:tcBorders>
              <w:top w:val="single" w:sz="4" w:space="0" w:color="D2D2DA"/>
              <w:left w:val="single" w:sz="4" w:space="0" w:color="D2D2DA"/>
              <w:bottom w:val="single" w:sz="4" w:space="0" w:color="D2D2DA"/>
              <w:right w:val="single" w:sz="4" w:space="0" w:color="D2D2DA"/>
            </w:tcBorders>
            <w:shd w:val="clear" w:color="auto" w:fill="FFA766" w:themeFill="accent6" w:themeFillTint="99"/>
            <w:vAlign w:val="center"/>
          </w:tcPr>
          <w:p w14:paraId="4E9129C1" w14:textId="77777777" w:rsidR="000753E9" w:rsidRPr="00993A88" w:rsidRDefault="000753E9" w:rsidP="001605A6">
            <w:pPr>
              <w:autoSpaceDE/>
              <w:autoSpaceDN/>
              <w:adjustRightInd/>
              <w:jc w:val="center"/>
              <w:rPr>
                <w:rFonts w:ascii="EYInterstate Light" w:hAnsi="EYInterstate Light"/>
              </w:rPr>
            </w:pPr>
            <w:r>
              <w:rPr>
                <w:rFonts w:ascii="EYInterstate Light" w:hAnsi="EYInterstate Light"/>
              </w:rPr>
              <w:t>Neutral</w:t>
            </w:r>
          </w:p>
        </w:tc>
        <w:tc>
          <w:tcPr>
            <w:tcW w:w="2381" w:type="dxa"/>
            <w:tcBorders>
              <w:top w:val="single" w:sz="4" w:space="0" w:color="D2D2DA"/>
              <w:left w:val="single" w:sz="4" w:space="0" w:color="D2D2DA"/>
              <w:bottom w:val="single" w:sz="4" w:space="0" w:color="D2D2DA"/>
              <w:right w:val="single" w:sz="4" w:space="0" w:color="D2D2DA"/>
            </w:tcBorders>
            <w:shd w:val="clear" w:color="auto" w:fill="00B050"/>
            <w:vAlign w:val="center"/>
          </w:tcPr>
          <w:p w14:paraId="31FBB9A4" w14:textId="77777777" w:rsidR="000753E9" w:rsidRPr="00993A88" w:rsidRDefault="000753E9" w:rsidP="001605A6">
            <w:pPr>
              <w:autoSpaceDE/>
              <w:autoSpaceDN/>
              <w:adjustRightInd/>
              <w:jc w:val="center"/>
              <w:rPr>
                <w:rFonts w:ascii="EYInterstate Light" w:hAnsi="EYInterstate Light"/>
              </w:rPr>
            </w:pPr>
            <w:r w:rsidRPr="00993A88">
              <w:rPr>
                <w:rFonts w:ascii="EYInterstate Light" w:hAnsi="EYInterstate Light"/>
              </w:rPr>
              <w:t>High positive</w:t>
            </w:r>
          </w:p>
        </w:tc>
      </w:tr>
      <w:tr w:rsidR="000753E9" w:rsidRPr="006119F9" w14:paraId="235CA418" w14:textId="77777777" w:rsidTr="001605A6">
        <w:trPr>
          <w:trHeight w:val="1273"/>
        </w:trPr>
        <w:tc>
          <w:tcPr>
            <w:tcW w:w="547" w:type="dxa"/>
            <w:vMerge w:val="restart"/>
            <w:tcBorders>
              <w:top w:val="single" w:sz="4" w:space="0" w:color="D2D2DA"/>
              <w:left w:val="single" w:sz="4" w:space="0" w:color="D2D2DA"/>
              <w:right w:val="single" w:sz="4" w:space="0" w:color="D2D2DA"/>
            </w:tcBorders>
            <w:textDirection w:val="btLr"/>
            <w:vAlign w:val="center"/>
          </w:tcPr>
          <w:p w14:paraId="1F98FD06" w14:textId="77777777" w:rsidR="000753E9" w:rsidRPr="00EE69D7" w:rsidRDefault="000753E9" w:rsidP="001605A6">
            <w:pPr>
              <w:autoSpaceDE/>
              <w:autoSpaceDN/>
              <w:adjustRightInd/>
              <w:ind w:left="113" w:right="113"/>
              <w:jc w:val="center"/>
              <w:rPr>
                <w:rFonts w:ascii="EYInterstate Light" w:hAnsi="EYInterstate Light"/>
                <w:b/>
                <w:sz w:val="18"/>
                <w:szCs w:val="18"/>
              </w:rPr>
            </w:pPr>
            <w:r w:rsidRPr="00EE69D7">
              <w:rPr>
                <w:rFonts w:ascii="EYInterstate Light" w:hAnsi="EYInterstate Light"/>
                <w:b/>
                <w:sz w:val="18"/>
                <w:szCs w:val="18"/>
              </w:rPr>
              <w:t>Workability</w:t>
            </w:r>
          </w:p>
        </w:tc>
        <w:tc>
          <w:tcPr>
            <w:tcW w:w="1799" w:type="dxa"/>
            <w:tcBorders>
              <w:top w:val="single" w:sz="4" w:space="0" w:color="D2D2DA"/>
              <w:left w:val="single" w:sz="4" w:space="0" w:color="D2D2DA"/>
              <w:bottom w:val="single" w:sz="4" w:space="0" w:color="D2D2DA"/>
              <w:right w:val="single" w:sz="4" w:space="0" w:color="D2D2DA"/>
            </w:tcBorders>
            <w:vAlign w:val="center"/>
          </w:tcPr>
          <w:p w14:paraId="4B2F9A1C" w14:textId="77777777" w:rsidR="000753E9" w:rsidRPr="00993A88" w:rsidRDefault="000753E9" w:rsidP="001605A6">
            <w:pPr>
              <w:autoSpaceDE/>
              <w:autoSpaceDN/>
              <w:adjustRightInd/>
              <w:rPr>
                <w:rFonts w:ascii="EYInterstate Light" w:hAnsi="EYInterstate Light"/>
              </w:rPr>
            </w:pPr>
            <w:r w:rsidRPr="00993A88">
              <w:rPr>
                <w:rFonts w:ascii="EYInterstate Light" w:hAnsi="EYInterstate Light"/>
              </w:rPr>
              <w:t>Deliverability</w:t>
            </w:r>
          </w:p>
        </w:tc>
        <w:tc>
          <w:tcPr>
            <w:tcW w:w="2380" w:type="dxa"/>
            <w:tcBorders>
              <w:top w:val="single" w:sz="4" w:space="0" w:color="D2D2DA"/>
              <w:left w:val="single" w:sz="4" w:space="0" w:color="D2D2DA"/>
              <w:bottom w:val="single" w:sz="4" w:space="0" w:color="D2D2DA"/>
              <w:right w:val="single" w:sz="4" w:space="0" w:color="D2D2DA"/>
            </w:tcBorders>
            <w:shd w:val="clear" w:color="auto" w:fill="FF8C86" w:themeFill="accent5" w:themeFillTint="99"/>
            <w:vAlign w:val="center"/>
          </w:tcPr>
          <w:p w14:paraId="7C37F039" w14:textId="77777777" w:rsidR="000753E9" w:rsidRPr="00993A88" w:rsidRDefault="000753E9" w:rsidP="001605A6">
            <w:pPr>
              <w:autoSpaceDE/>
              <w:autoSpaceDN/>
              <w:adjustRightInd/>
              <w:jc w:val="center"/>
              <w:rPr>
                <w:rFonts w:ascii="EYInterstate Light" w:hAnsi="EYInterstate Light"/>
              </w:rPr>
            </w:pPr>
            <w:r w:rsidRPr="00993A88">
              <w:rPr>
                <w:rFonts w:ascii="EYInterstate Light" w:hAnsi="EYInterstate Light"/>
              </w:rPr>
              <w:t xml:space="preserve">Medium negative </w:t>
            </w:r>
          </w:p>
        </w:tc>
        <w:tc>
          <w:tcPr>
            <w:tcW w:w="2381" w:type="dxa"/>
            <w:tcBorders>
              <w:top w:val="single" w:sz="4" w:space="0" w:color="D2D2DA"/>
              <w:left w:val="single" w:sz="4" w:space="0" w:color="D2D2DA"/>
              <w:bottom w:val="single" w:sz="4" w:space="0" w:color="D2D2DA"/>
              <w:right w:val="single" w:sz="4" w:space="0" w:color="D2D2DA"/>
            </w:tcBorders>
            <w:shd w:val="clear" w:color="auto" w:fill="FFA766" w:themeFill="accent6" w:themeFillTint="99"/>
            <w:vAlign w:val="center"/>
          </w:tcPr>
          <w:p w14:paraId="0907A290" w14:textId="77777777" w:rsidR="000753E9" w:rsidRPr="00993A88" w:rsidRDefault="000753E9" w:rsidP="001605A6">
            <w:pPr>
              <w:autoSpaceDE/>
              <w:autoSpaceDN/>
              <w:adjustRightInd/>
              <w:jc w:val="center"/>
              <w:rPr>
                <w:rFonts w:ascii="EYInterstate Light" w:hAnsi="EYInterstate Light"/>
              </w:rPr>
            </w:pPr>
            <w:r>
              <w:rPr>
                <w:rFonts w:ascii="EYInterstate Light" w:hAnsi="EYInterstate Light"/>
              </w:rPr>
              <w:t>Neutral</w:t>
            </w:r>
          </w:p>
        </w:tc>
        <w:tc>
          <w:tcPr>
            <w:tcW w:w="2381" w:type="dxa"/>
            <w:tcBorders>
              <w:top w:val="single" w:sz="4" w:space="0" w:color="D2D2DA"/>
              <w:left w:val="single" w:sz="4" w:space="0" w:color="D2D2DA"/>
              <w:bottom w:val="single" w:sz="4" w:space="0" w:color="D2D2DA"/>
              <w:right w:val="single" w:sz="4" w:space="0" w:color="D2D2DA"/>
            </w:tcBorders>
            <w:shd w:val="clear" w:color="auto" w:fill="FF0000"/>
            <w:vAlign w:val="center"/>
          </w:tcPr>
          <w:p w14:paraId="04F41880" w14:textId="77777777" w:rsidR="000753E9" w:rsidRPr="00993A88" w:rsidRDefault="000753E9" w:rsidP="001605A6">
            <w:pPr>
              <w:autoSpaceDE/>
              <w:autoSpaceDN/>
              <w:adjustRightInd/>
              <w:jc w:val="center"/>
              <w:rPr>
                <w:rFonts w:ascii="EYInterstate Light" w:hAnsi="EYInterstate Light"/>
              </w:rPr>
            </w:pPr>
            <w:r w:rsidRPr="00993A88">
              <w:rPr>
                <w:rFonts w:ascii="EYInterstate Light" w:hAnsi="EYInterstate Light"/>
              </w:rPr>
              <w:t>High negative</w:t>
            </w:r>
          </w:p>
        </w:tc>
      </w:tr>
      <w:tr w:rsidR="000753E9" w:rsidRPr="006119F9" w14:paraId="7BCC8695" w14:textId="77777777" w:rsidTr="001605A6">
        <w:trPr>
          <w:trHeight w:val="1273"/>
        </w:trPr>
        <w:tc>
          <w:tcPr>
            <w:tcW w:w="547" w:type="dxa"/>
            <w:vMerge/>
            <w:tcBorders>
              <w:left w:val="single" w:sz="4" w:space="0" w:color="D2D2DA"/>
              <w:bottom w:val="single" w:sz="4" w:space="0" w:color="D2D2DA"/>
              <w:right w:val="single" w:sz="4" w:space="0" w:color="D2D2DA"/>
            </w:tcBorders>
          </w:tcPr>
          <w:p w14:paraId="340FEC09" w14:textId="77777777" w:rsidR="000753E9" w:rsidRPr="00EE69D7" w:rsidRDefault="000753E9" w:rsidP="001605A6">
            <w:pPr>
              <w:autoSpaceDE/>
              <w:autoSpaceDN/>
              <w:adjustRightInd/>
              <w:rPr>
                <w:rFonts w:ascii="EYInterstate Light" w:hAnsi="EYInterstate Light"/>
                <w:b/>
                <w:sz w:val="18"/>
                <w:szCs w:val="18"/>
              </w:rPr>
            </w:pPr>
          </w:p>
        </w:tc>
        <w:tc>
          <w:tcPr>
            <w:tcW w:w="1799" w:type="dxa"/>
            <w:tcBorders>
              <w:top w:val="single" w:sz="4" w:space="0" w:color="D2D2DA"/>
              <w:left w:val="single" w:sz="4" w:space="0" w:color="D2D2DA"/>
              <w:bottom w:val="single" w:sz="4" w:space="0" w:color="D2D2DA"/>
              <w:right w:val="single" w:sz="4" w:space="0" w:color="D2D2DA"/>
            </w:tcBorders>
            <w:vAlign w:val="center"/>
          </w:tcPr>
          <w:p w14:paraId="61DEDB67" w14:textId="77777777" w:rsidR="000753E9" w:rsidRPr="00993A88" w:rsidRDefault="000753E9" w:rsidP="001605A6">
            <w:pPr>
              <w:autoSpaceDE/>
              <w:autoSpaceDN/>
              <w:adjustRightInd/>
              <w:rPr>
                <w:rFonts w:ascii="EYInterstate Light" w:hAnsi="EYInterstate Light"/>
              </w:rPr>
            </w:pPr>
            <w:r w:rsidRPr="00993A88">
              <w:rPr>
                <w:rFonts w:ascii="EYInterstate Light" w:hAnsi="EYInterstate Light"/>
              </w:rPr>
              <w:t>Strategic alignment</w:t>
            </w:r>
          </w:p>
        </w:tc>
        <w:tc>
          <w:tcPr>
            <w:tcW w:w="2380" w:type="dxa"/>
            <w:tcBorders>
              <w:top w:val="single" w:sz="4" w:space="0" w:color="D2D2DA"/>
              <w:left w:val="single" w:sz="4" w:space="0" w:color="D2D2DA"/>
              <w:bottom w:val="single" w:sz="4" w:space="0" w:color="D2D2DA"/>
              <w:right w:val="single" w:sz="4" w:space="0" w:color="D2D2DA"/>
            </w:tcBorders>
            <w:shd w:val="clear" w:color="auto" w:fill="92D050"/>
            <w:vAlign w:val="center"/>
          </w:tcPr>
          <w:p w14:paraId="3D93D8DB" w14:textId="77777777" w:rsidR="000753E9" w:rsidRPr="00993A88" w:rsidRDefault="000753E9" w:rsidP="001605A6">
            <w:pPr>
              <w:autoSpaceDE/>
              <w:autoSpaceDN/>
              <w:adjustRightInd/>
              <w:jc w:val="center"/>
              <w:rPr>
                <w:rFonts w:ascii="EYInterstate Light" w:hAnsi="EYInterstate Light"/>
              </w:rPr>
            </w:pPr>
            <w:r>
              <w:rPr>
                <w:rFonts w:ascii="EYInterstate Light" w:hAnsi="EYInterstate Light"/>
              </w:rPr>
              <w:t>Medium positive</w:t>
            </w:r>
          </w:p>
        </w:tc>
        <w:tc>
          <w:tcPr>
            <w:tcW w:w="2381" w:type="dxa"/>
            <w:tcBorders>
              <w:top w:val="single" w:sz="4" w:space="0" w:color="D2D2DA"/>
              <w:left w:val="single" w:sz="4" w:space="0" w:color="D2D2DA"/>
              <w:bottom w:val="single" w:sz="4" w:space="0" w:color="D2D2DA"/>
              <w:right w:val="single" w:sz="4" w:space="0" w:color="D2D2DA"/>
            </w:tcBorders>
            <w:shd w:val="clear" w:color="auto" w:fill="92D050"/>
            <w:vAlign w:val="center"/>
          </w:tcPr>
          <w:p w14:paraId="6BF32C9D" w14:textId="77777777" w:rsidR="000753E9" w:rsidRPr="00993A88" w:rsidRDefault="000753E9" w:rsidP="001605A6">
            <w:pPr>
              <w:autoSpaceDE/>
              <w:autoSpaceDN/>
              <w:adjustRightInd/>
              <w:jc w:val="center"/>
              <w:rPr>
                <w:rFonts w:ascii="EYInterstate Light" w:hAnsi="EYInterstate Light"/>
              </w:rPr>
            </w:pPr>
            <w:r w:rsidRPr="00993A88">
              <w:rPr>
                <w:rFonts w:ascii="EYInterstate Light" w:hAnsi="EYInterstate Light"/>
              </w:rPr>
              <w:t>Medium positive</w:t>
            </w:r>
          </w:p>
        </w:tc>
        <w:tc>
          <w:tcPr>
            <w:tcW w:w="2381" w:type="dxa"/>
            <w:tcBorders>
              <w:top w:val="single" w:sz="4" w:space="0" w:color="D2D2DA"/>
              <w:left w:val="single" w:sz="4" w:space="0" w:color="D2D2DA"/>
              <w:bottom w:val="single" w:sz="4" w:space="0" w:color="D2D2DA"/>
              <w:right w:val="single" w:sz="4" w:space="0" w:color="D2D2DA"/>
            </w:tcBorders>
            <w:shd w:val="clear" w:color="auto" w:fill="00B050"/>
            <w:vAlign w:val="center"/>
          </w:tcPr>
          <w:p w14:paraId="6B0361D1" w14:textId="77777777" w:rsidR="000753E9" w:rsidRPr="00993A88" w:rsidRDefault="000753E9" w:rsidP="001605A6">
            <w:pPr>
              <w:autoSpaceDE/>
              <w:autoSpaceDN/>
              <w:adjustRightInd/>
              <w:jc w:val="center"/>
              <w:rPr>
                <w:rFonts w:ascii="EYInterstate Light" w:hAnsi="EYInterstate Light"/>
              </w:rPr>
            </w:pPr>
            <w:r w:rsidRPr="00993A88">
              <w:rPr>
                <w:rFonts w:ascii="EYInterstate Light" w:hAnsi="EYInterstate Light"/>
              </w:rPr>
              <w:t>High positive</w:t>
            </w:r>
          </w:p>
        </w:tc>
      </w:tr>
    </w:tbl>
    <w:p w14:paraId="62630331" w14:textId="77777777" w:rsidR="000753E9" w:rsidRPr="006119F9" w:rsidRDefault="000753E9" w:rsidP="006271B5">
      <w:pPr>
        <w:pStyle w:val="EYBodytextwithoutparaspace"/>
      </w:pPr>
    </w:p>
    <w:p w14:paraId="0B7E61F8" w14:textId="77777777" w:rsidR="000753E9" w:rsidRPr="006119F9" w:rsidRDefault="000753E9" w:rsidP="000753E9">
      <w:pPr>
        <w:autoSpaceDE/>
        <w:autoSpaceDN/>
        <w:adjustRightInd/>
      </w:pPr>
      <w:r w:rsidRPr="006119F9">
        <w:br w:type="page"/>
      </w:r>
    </w:p>
    <w:tbl>
      <w:tblPr>
        <w:tblStyle w:val="TableGrid"/>
        <w:tblW w:w="0" w:type="auto"/>
        <w:tblBorders>
          <w:top w:val="single" w:sz="4" w:space="0" w:color="FFFFFF" w:themeColor="background1"/>
          <w:left w:val="single" w:sz="4" w:space="0" w:color="FFFFFF" w:themeColor="background1"/>
          <w:right w:val="single" w:sz="4" w:space="0" w:color="FFFFFF" w:themeColor="background1"/>
          <w:insideH w:val="single" w:sz="4" w:space="0" w:color="787890" w:themeColor="text1" w:themeTint="99"/>
          <w:insideV w:val="single" w:sz="4" w:space="0" w:color="FFFFFF" w:themeColor="background1"/>
        </w:tblBorders>
        <w:tblCellMar>
          <w:top w:w="57" w:type="dxa"/>
          <w:bottom w:w="57" w:type="dxa"/>
        </w:tblCellMar>
        <w:tblLook w:val="04A0" w:firstRow="1" w:lastRow="0" w:firstColumn="1" w:lastColumn="0" w:noHBand="0" w:noVBand="1"/>
      </w:tblPr>
      <w:tblGrid>
        <w:gridCol w:w="1523"/>
        <w:gridCol w:w="2401"/>
        <w:gridCol w:w="1494"/>
        <w:gridCol w:w="3601"/>
      </w:tblGrid>
      <w:tr w:rsidR="000753E9" w:rsidRPr="006A645E" w14:paraId="5919FB35" w14:textId="77777777" w:rsidTr="006A645E">
        <w:trPr>
          <w:tblHeader/>
        </w:trPr>
        <w:tc>
          <w:tcPr>
            <w:tcW w:w="1528" w:type="dxa"/>
            <w:shd w:val="clear" w:color="auto" w:fill="787890" w:themeFill="text1" w:themeFillTint="99"/>
          </w:tcPr>
          <w:p w14:paraId="0A81218B" w14:textId="77777777" w:rsidR="000753E9" w:rsidRPr="006A645E" w:rsidRDefault="000753E9" w:rsidP="001605A6">
            <w:pPr>
              <w:rPr>
                <w:rFonts w:ascii="EYInterstate Light" w:hAnsi="EYInterstate Light"/>
                <w:b/>
                <w:color w:val="FFFFFF" w:themeColor="background1"/>
                <w:sz w:val="18"/>
                <w:szCs w:val="18"/>
              </w:rPr>
            </w:pPr>
            <w:r w:rsidRPr="006A645E">
              <w:rPr>
                <w:rFonts w:ascii="EYInterstate Light" w:hAnsi="EYInterstate Light"/>
                <w:b/>
                <w:color w:val="FFFFFF" w:themeColor="background1"/>
                <w:sz w:val="18"/>
                <w:szCs w:val="18"/>
              </w:rPr>
              <w:lastRenderedPageBreak/>
              <w:t xml:space="preserve">Criteria </w:t>
            </w:r>
          </w:p>
        </w:tc>
        <w:tc>
          <w:tcPr>
            <w:tcW w:w="2436" w:type="dxa"/>
            <w:shd w:val="clear" w:color="auto" w:fill="787890" w:themeFill="text1" w:themeFillTint="99"/>
          </w:tcPr>
          <w:p w14:paraId="16F078B0" w14:textId="2D7F3C97" w:rsidR="000753E9" w:rsidRPr="006A645E" w:rsidRDefault="000753E9" w:rsidP="001605A6">
            <w:pPr>
              <w:rPr>
                <w:rFonts w:ascii="EYInterstate Light" w:hAnsi="EYInterstate Light"/>
                <w:b/>
                <w:color w:val="FFFFFF" w:themeColor="background1"/>
                <w:sz w:val="18"/>
                <w:szCs w:val="18"/>
              </w:rPr>
            </w:pPr>
            <w:r w:rsidRPr="006A645E">
              <w:rPr>
                <w:rFonts w:ascii="EYInterstate Light" w:hAnsi="EYInterstate Light"/>
                <w:b/>
                <w:color w:val="FFFFFF" w:themeColor="background1"/>
                <w:sz w:val="18"/>
                <w:szCs w:val="18"/>
              </w:rPr>
              <w:t xml:space="preserve">Description and assessment methodology </w:t>
            </w:r>
          </w:p>
        </w:tc>
        <w:tc>
          <w:tcPr>
            <w:tcW w:w="1418" w:type="dxa"/>
            <w:shd w:val="clear" w:color="auto" w:fill="787890" w:themeFill="text1" w:themeFillTint="99"/>
          </w:tcPr>
          <w:p w14:paraId="2252AB57" w14:textId="77777777" w:rsidR="000753E9" w:rsidRPr="006A645E" w:rsidRDefault="000753E9" w:rsidP="001605A6">
            <w:pPr>
              <w:rPr>
                <w:rFonts w:ascii="EYInterstate Light" w:hAnsi="EYInterstate Light"/>
                <w:b/>
                <w:color w:val="FFFFFF" w:themeColor="background1"/>
                <w:sz w:val="18"/>
                <w:szCs w:val="18"/>
              </w:rPr>
            </w:pPr>
            <w:r w:rsidRPr="006A645E">
              <w:rPr>
                <w:rFonts w:ascii="EYInterstate Light" w:hAnsi="EYInterstate Light"/>
                <w:b/>
                <w:color w:val="FFFFFF" w:themeColor="background1"/>
                <w:sz w:val="18"/>
                <w:szCs w:val="18"/>
              </w:rPr>
              <w:t xml:space="preserve">Preferred model </w:t>
            </w:r>
          </w:p>
        </w:tc>
        <w:tc>
          <w:tcPr>
            <w:tcW w:w="3681" w:type="dxa"/>
            <w:shd w:val="clear" w:color="auto" w:fill="787890" w:themeFill="text1" w:themeFillTint="99"/>
          </w:tcPr>
          <w:p w14:paraId="5883F34F" w14:textId="77777777" w:rsidR="000753E9" w:rsidRPr="006A645E" w:rsidRDefault="000753E9" w:rsidP="001605A6">
            <w:pPr>
              <w:rPr>
                <w:rFonts w:ascii="EYInterstate Light" w:hAnsi="EYInterstate Light"/>
                <w:b/>
                <w:color w:val="FFFFFF" w:themeColor="background1"/>
                <w:sz w:val="18"/>
                <w:szCs w:val="18"/>
              </w:rPr>
            </w:pPr>
            <w:r w:rsidRPr="006A645E">
              <w:rPr>
                <w:rFonts w:ascii="EYInterstate Light" w:hAnsi="EYInterstate Light"/>
                <w:b/>
                <w:color w:val="FFFFFF" w:themeColor="background1"/>
                <w:sz w:val="18"/>
                <w:szCs w:val="18"/>
              </w:rPr>
              <w:t>Summary justification</w:t>
            </w:r>
          </w:p>
        </w:tc>
      </w:tr>
      <w:tr w:rsidR="000753E9" w:rsidRPr="006119F9" w14:paraId="74690EDD" w14:textId="77777777" w:rsidTr="006A645E">
        <w:tc>
          <w:tcPr>
            <w:tcW w:w="9063" w:type="dxa"/>
            <w:gridSpan w:val="4"/>
            <w:shd w:val="clear" w:color="auto" w:fill="D2D2DA" w:themeFill="text1" w:themeFillTint="33"/>
          </w:tcPr>
          <w:p w14:paraId="54C71477" w14:textId="77777777" w:rsidR="000753E9" w:rsidRPr="009854B5" w:rsidRDefault="000753E9" w:rsidP="001605A6">
            <w:pPr>
              <w:autoSpaceDE/>
              <w:autoSpaceDN/>
              <w:adjustRightInd/>
              <w:rPr>
                <w:rFonts w:ascii="EYInterstate Light" w:hAnsi="EYInterstate Light"/>
                <w:color w:val="000000" w:themeColor="background2"/>
                <w:sz w:val="16"/>
                <w:szCs w:val="16"/>
              </w:rPr>
            </w:pPr>
            <w:r w:rsidRPr="009854B5">
              <w:rPr>
                <w:rFonts w:ascii="EYInterstate Light" w:hAnsi="EYInterstate Light"/>
                <w:color w:val="000000" w:themeColor="background2"/>
                <w:sz w:val="16"/>
                <w:szCs w:val="16"/>
              </w:rPr>
              <w:t>Flow of information</w:t>
            </w:r>
          </w:p>
        </w:tc>
      </w:tr>
      <w:tr w:rsidR="000753E9" w:rsidRPr="006119F9" w14:paraId="0D5855CE" w14:textId="77777777" w:rsidTr="006A645E">
        <w:tc>
          <w:tcPr>
            <w:tcW w:w="1528" w:type="dxa"/>
          </w:tcPr>
          <w:p w14:paraId="7D6C3B3A" w14:textId="77777777" w:rsidR="000753E9" w:rsidRPr="009854B5" w:rsidRDefault="000753E9" w:rsidP="001605A6">
            <w:pPr>
              <w:autoSpaceDE/>
              <w:autoSpaceDN/>
              <w:adjustRightInd/>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Australia’s access to academic journal articles</w:t>
            </w:r>
          </w:p>
        </w:tc>
        <w:tc>
          <w:tcPr>
            <w:tcW w:w="2436" w:type="dxa"/>
          </w:tcPr>
          <w:p w14:paraId="0870660E" w14:textId="77777777" w:rsidR="000753E9" w:rsidRPr="009854B5" w:rsidRDefault="000753E9" w:rsidP="001605A6">
            <w:pPr>
              <w:autoSpaceDE/>
              <w:autoSpaceDN/>
              <w:adjustRightInd/>
              <w:spacing w:after="40"/>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 xml:space="preserve">The analysis looks at </w:t>
            </w:r>
            <w:r>
              <w:rPr>
                <w:rFonts w:ascii="EYInterstate Light" w:hAnsi="EYInterstate Light"/>
                <w:color w:val="000000" w:themeColor="background2"/>
                <w:sz w:val="18"/>
                <w:szCs w:val="18"/>
              </w:rPr>
              <w:t>Australia’s</w:t>
            </w:r>
            <w:r w:rsidRPr="009854B5">
              <w:rPr>
                <w:rFonts w:ascii="EYInterstate Light" w:hAnsi="EYInterstate Light"/>
                <w:color w:val="000000" w:themeColor="background2"/>
                <w:sz w:val="18"/>
                <w:szCs w:val="18"/>
              </w:rPr>
              <w:t xml:space="preserve"> access to </w:t>
            </w:r>
            <w:r>
              <w:rPr>
                <w:rFonts w:ascii="EYInterstate Light" w:hAnsi="EYInterstate Light"/>
                <w:color w:val="000000" w:themeColor="background2"/>
                <w:sz w:val="18"/>
                <w:szCs w:val="18"/>
              </w:rPr>
              <w:t xml:space="preserve">peer-reviewed </w:t>
            </w:r>
            <w:r w:rsidRPr="009854B5">
              <w:rPr>
                <w:rFonts w:ascii="EYInterstate Light" w:hAnsi="EYInterstate Light"/>
                <w:color w:val="000000" w:themeColor="background2"/>
                <w:sz w:val="18"/>
                <w:szCs w:val="18"/>
              </w:rPr>
              <w:t xml:space="preserve">journal articles </w:t>
            </w:r>
            <w:r>
              <w:rPr>
                <w:rFonts w:ascii="EYInterstate Light" w:hAnsi="EYInterstate Light"/>
                <w:color w:val="000000" w:themeColor="background2"/>
                <w:sz w:val="18"/>
                <w:szCs w:val="18"/>
              </w:rPr>
              <w:t xml:space="preserve">once </w:t>
            </w:r>
            <w:r w:rsidRPr="009854B5">
              <w:rPr>
                <w:rFonts w:ascii="EYInterstate Light" w:hAnsi="EYInterstate Light"/>
                <w:color w:val="000000" w:themeColor="background2"/>
                <w:sz w:val="18"/>
                <w:szCs w:val="18"/>
              </w:rPr>
              <w:t xml:space="preserve">each </w:t>
            </w:r>
            <w:r>
              <w:rPr>
                <w:rFonts w:ascii="EYInterstate Light" w:hAnsi="EYInterstate Light"/>
                <w:color w:val="000000" w:themeColor="background2"/>
                <w:sz w:val="18"/>
                <w:szCs w:val="18"/>
              </w:rPr>
              <w:t>model is at full operation</w:t>
            </w:r>
          </w:p>
          <w:p w14:paraId="5B07E50D" w14:textId="77777777" w:rsidR="000753E9" w:rsidRPr="009854B5" w:rsidRDefault="000753E9" w:rsidP="001605A6">
            <w:pPr>
              <w:autoSpaceDE/>
              <w:autoSpaceDN/>
              <w:adjustRightInd/>
              <w:spacing w:after="40"/>
              <w:rPr>
                <w:rFonts w:ascii="EYInterstate Light" w:hAnsi="EYInterstate Light"/>
                <w:color w:val="000000" w:themeColor="background2"/>
                <w:sz w:val="18"/>
                <w:szCs w:val="18"/>
              </w:rPr>
            </w:pPr>
          </w:p>
          <w:p w14:paraId="58EB05E1" w14:textId="77777777" w:rsidR="000753E9" w:rsidRPr="009854B5" w:rsidRDefault="000753E9" w:rsidP="001605A6">
            <w:pPr>
              <w:autoSpaceDE/>
              <w:autoSpaceDN/>
              <w:adjustRightInd/>
              <w:spacing w:after="40"/>
              <w:rPr>
                <w:rFonts w:ascii="EYInterstate Light" w:hAnsi="EYInterstate Light"/>
                <w:color w:val="000000" w:themeColor="background2"/>
                <w:sz w:val="18"/>
                <w:szCs w:val="18"/>
              </w:rPr>
            </w:pPr>
          </w:p>
        </w:tc>
        <w:tc>
          <w:tcPr>
            <w:tcW w:w="1418" w:type="dxa"/>
          </w:tcPr>
          <w:p w14:paraId="4B4D60A1" w14:textId="46CD3157" w:rsidR="000753E9" w:rsidRPr="009854B5" w:rsidRDefault="000753E9" w:rsidP="001605A6">
            <w:pPr>
              <w:autoSpaceDE/>
              <w:autoSpaceDN/>
              <w:adjustRightInd/>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 xml:space="preserve">Central </w:t>
            </w:r>
            <w:r w:rsidR="00004333">
              <w:rPr>
                <w:rFonts w:ascii="EYInterstate Light" w:hAnsi="EYInterstate Light"/>
                <w:color w:val="000000" w:themeColor="background2"/>
                <w:sz w:val="18"/>
                <w:szCs w:val="18"/>
              </w:rPr>
              <w:t>implementation</w:t>
            </w:r>
            <w:r w:rsidRPr="009854B5">
              <w:rPr>
                <w:rFonts w:ascii="EYInterstate Light" w:hAnsi="EYInterstate Light"/>
                <w:color w:val="000000" w:themeColor="background2"/>
                <w:sz w:val="18"/>
                <w:szCs w:val="18"/>
              </w:rPr>
              <w:t xml:space="preserve"> body </w:t>
            </w:r>
          </w:p>
        </w:tc>
        <w:tc>
          <w:tcPr>
            <w:tcW w:w="3681" w:type="dxa"/>
          </w:tcPr>
          <w:p w14:paraId="7280DCCC" w14:textId="44B7FCCC" w:rsidR="000753E9" w:rsidRPr="00867E63" w:rsidRDefault="000753E9" w:rsidP="001605A6">
            <w:pPr>
              <w:autoSpaceDE/>
              <w:autoSpaceDN/>
              <w:adjustRightInd/>
              <w:rPr>
                <w:rFonts w:ascii="EYInterstate Light" w:hAnsi="EYInterstate Light"/>
                <w:color w:val="000000" w:themeColor="background2"/>
                <w:sz w:val="18"/>
                <w:szCs w:val="18"/>
              </w:rPr>
            </w:pPr>
            <w:r w:rsidRPr="00867E63">
              <w:rPr>
                <w:rFonts w:ascii="EYInterstate Light" w:hAnsi="EYInterstate Light"/>
                <w:color w:val="000000" w:themeColor="background2"/>
                <w:sz w:val="18"/>
                <w:szCs w:val="18"/>
              </w:rPr>
              <w:t xml:space="preserve">At full </w:t>
            </w:r>
            <w:r w:rsidR="003C53CF">
              <w:rPr>
                <w:rFonts w:ascii="EYInterstate Light" w:hAnsi="EYInterstate Light"/>
                <w:color w:val="000000" w:themeColor="background2"/>
                <w:sz w:val="18"/>
                <w:szCs w:val="18"/>
              </w:rPr>
              <w:t>s</w:t>
            </w:r>
            <w:r w:rsidRPr="00867E63">
              <w:rPr>
                <w:rFonts w:ascii="EYInterstate Light" w:hAnsi="EYInterstate Light"/>
                <w:color w:val="000000" w:themeColor="background2"/>
                <w:sz w:val="18"/>
                <w:szCs w:val="18"/>
              </w:rPr>
              <w:t xml:space="preserve">cheme, the central </w:t>
            </w:r>
            <w:r w:rsidR="00004333">
              <w:rPr>
                <w:rFonts w:ascii="EYInterstate Light" w:hAnsi="EYInterstate Light"/>
                <w:color w:val="000000" w:themeColor="background2"/>
                <w:sz w:val="18"/>
                <w:szCs w:val="18"/>
              </w:rPr>
              <w:t>implementation</w:t>
            </w:r>
            <w:r>
              <w:rPr>
                <w:rFonts w:ascii="EYInterstate Light" w:hAnsi="EYInterstate Light"/>
                <w:color w:val="000000" w:themeColor="background2"/>
                <w:sz w:val="18"/>
                <w:szCs w:val="18"/>
              </w:rPr>
              <w:t xml:space="preserve"> body</w:t>
            </w:r>
            <w:r w:rsidRPr="00867E63">
              <w:rPr>
                <w:rFonts w:ascii="EYInterstate Light" w:hAnsi="EYInterstate Light"/>
                <w:color w:val="000000" w:themeColor="background2"/>
                <w:sz w:val="18"/>
                <w:szCs w:val="18"/>
              </w:rPr>
              <w:t xml:space="preserve"> will enable Australian users to access all academic journals. </w:t>
            </w:r>
          </w:p>
          <w:p w14:paraId="54A375EB" w14:textId="77777777" w:rsidR="000753E9" w:rsidRPr="00867E63" w:rsidRDefault="000753E9" w:rsidP="001605A6">
            <w:pPr>
              <w:autoSpaceDE/>
              <w:autoSpaceDN/>
              <w:adjustRightInd/>
              <w:rPr>
                <w:rFonts w:ascii="EYInterstate Light" w:hAnsi="EYInterstate Light"/>
                <w:color w:val="000000" w:themeColor="background2"/>
                <w:sz w:val="18"/>
                <w:szCs w:val="18"/>
              </w:rPr>
            </w:pPr>
          </w:p>
          <w:p w14:paraId="1DEFA34C" w14:textId="36A91DE3" w:rsidR="000753E9" w:rsidRPr="009854B5" w:rsidRDefault="000753E9" w:rsidP="001605A6">
            <w:pPr>
              <w:autoSpaceDE/>
              <w:autoSpaceDN/>
              <w:adjustRightInd/>
              <w:rPr>
                <w:rFonts w:ascii="EYInterstate Light" w:hAnsi="EYInterstate Light"/>
                <w:color w:val="000000" w:themeColor="background2"/>
                <w:sz w:val="18"/>
                <w:szCs w:val="18"/>
              </w:rPr>
            </w:pPr>
            <w:r w:rsidRPr="00867E63">
              <w:rPr>
                <w:rFonts w:ascii="EYInterstate Light" w:hAnsi="EYInterstate Light"/>
                <w:color w:val="000000" w:themeColor="background2"/>
                <w:sz w:val="18"/>
                <w:szCs w:val="18"/>
              </w:rPr>
              <w:t xml:space="preserve">Compared to the repository-based open access and funding mandates which will likely </w:t>
            </w:r>
            <w:r w:rsidR="00FA47B7">
              <w:rPr>
                <w:rFonts w:ascii="EYInterstate Light" w:hAnsi="EYInterstate Light"/>
                <w:color w:val="000000" w:themeColor="background2"/>
                <w:sz w:val="18"/>
                <w:szCs w:val="18"/>
              </w:rPr>
              <w:t xml:space="preserve">only </w:t>
            </w:r>
            <w:r w:rsidRPr="00867E63">
              <w:rPr>
                <w:rFonts w:ascii="EYInterstate Light" w:hAnsi="EYInterstate Light"/>
                <w:color w:val="000000" w:themeColor="background2"/>
                <w:sz w:val="18"/>
                <w:szCs w:val="18"/>
              </w:rPr>
              <w:t xml:space="preserve">increase Australia’s access to Australian-led research, the central </w:t>
            </w:r>
            <w:r w:rsidR="00004333">
              <w:rPr>
                <w:rFonts w:ascii="EYInterstate Light" w:hAnsi="EYInterstate Light"/>
                <w:color w:val="000000" w:themeColor="background2"/>
                <w:sz w:val="18"/>
                <w:szCs w:val="18"/>
              </w:rPr>
              <w:t>implementation</w:t>
            </w:r>
            <w:r w:rsidRPr="00867E63">
              <w:rPr>
                <w:rFonts w:ascii="EYInterstate Light" w:hAnsi="EYInterstate Light"/>
                <w:color w:val="000000" w:themeColor="background2"/>
                <w:sz w:val="18"/>
                <w:szCs w:val="18"/>
              </w:rPr>
              <w:t xml:space="preserve"> body targets the international community’s research, facilitating the highest level of access.</w:t>
            </w:r>
          </w:p>
        </w:tc>
      </w:tr>
      <w:tr w:rsidR="000753E9" w:rsidRPr="006119F9" w14:paraId="42FDACD6" w14:textId="77777777" w:rsidTr="006A645E">
        <w:trPr>
          <w:trHeight w:val="3995"/>
        </w:trPr>
        <w:tc>
          <w:tcPr>
            <w:tcW w:w="1528" w:type="dxa"/>
          </w:tcPr>
          <w:p w14:paraId="10E08659" w14:textId="77777777" w:rsidR="000753E9" w:rsidRPr="009854B5" w:rsidRDefault="000753E9" w:rsidP="001605A6">
            <w:pPr>
              <w:autoSpaceDE/>
              <w:autoSpaceDN/>
              <w:adjustRightInd/>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Australian-produced journal articles published as open access</w:t>
            </w:r>
          </w:p>
        </w:tc>
        <w:tc>
          <w:tcPr>
            <w:tcW w:w="2436" w:type="dxa"/>
          </w:tcPr>
          <w:p w14:paraId="154D8FAB" w14:textId="77777777" w:rsidR="000753E9" w:rsidRPr="009854B5" w:rsidRDefault="000753E9" w:rsidP="001605A6">
            <w:pPr>
              <w:autoSpaceDE/>
              <w:autoSpaceDN/>
              <w:adjustRightInd/>
              <w:spacing w:after="40"/>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This analysis asses Australian authors' incentives, pathways, and funding arrangements to publish their journal article as open access.</w:t>
            </w:r>
          </w:p>
          <w:p w14:paraId="5B8D52BC" w14:textId="77777777" w:rsidR="000753E9" w:rsidRPr="009854B5" w:rsidRDefault="000753E9" w:rsidP="001605A6">
            <w:pPr>
              <w:autoSpaceDE/>
              <w:autoSpaceDN/>
              <w:adjustRightInd/>
              <w:spacing w:after="40"/>
              <w:rPr>
                <w:rFonts w:ascii="EYInterstate Light" w:hAnsi="EYInterstate Light"/>
                <w:color w:val="000000" w:themeColor="background2"/>
                <w:sz w:val="18"/>
                <w:szCs w:val="18"/>
              </w:rPr>
            </w:pPr>
          </w:p>
        </w:tc>
        <w:tc>
          <w:tcPr>
            <w:tcW w:w="1418" w:type="dxa"/>
          </w:tcPr>
          <w:p w14:paraId="57ABD84D" w14:textId="210AFE6E" w:rsidR="000753E9" w:rsidRPr="009854B5" w:rsidRDefault="000753E9" w:rsidP="001605A6">
            <w:pPr>
              <w:autoSpaceDE/>
              <w:autoSpaceDN/>
              <w:adjustRightInd/>
              <w:rPr>
                <w:rFonts w:ascii="EYInterstate Light" w:hAnsi="EYInterstate Light"/>
                <w:color w:val="000000" w:themeColor="background2"/>
                <w:sz w:val="18"/>
                <w:szCs w:val="18"/>
              </w:rPr>
            </w:pPr>
            <w:r>
              <w:rPr>
                <w:rFonts w:ascii="EYInterstate Light" w:hAnsi="EYInterstate Light"/>
                <w:color w:val="000000" w:themeColor="background2"/>
                <w:sz w:val="18"/>
                <w:szCs w:val="18"/>
              </w:rPr>
              <w:t xml:space="preserve">Central </w:t>
            </w:r>
            <w:r w:rsidR="00004333">
              <w:rPr>
                <w:rFonts w:ascii="EYInterstate Light" w:hAnsi="EYInterstate Light"/>
                <w:color w:val="000000" w:themeColor="background2"/>
                <w:sz w:val="18"/>
                <w:szCs w:val="18"/>
              </w:rPr>
              <w:t>implementation</w:t>
            </w:r>
            <w:r>
              <w:rPr>
                <w:rFonts w:ascii="EYInterstate Light" w:hAnsi="EYInterstate Light"/>
                <w:color w:val="000000" w:themeColor="background2"/>
                <w:sz w:val="18"/>
                <w:szCs w:val="18"/>
              </w:rPr>
              <w:t xml:space="preserve"> body</w:t>
            </w:r>
          </w:p>
        </w:tc>
        <w:tc>
          <w:tcPr>
            <w:tcW w:w="3681" w:type="dxa"/>
          </w:tcPr>
          <w:p w14:paraId="7695F24A" w14:textId="1C9149C6" w:rsidR="000753E9" w:rsidRPr="00A00620" w:rsidRDefault="000753E9" w:rsidP="001605A6">
            <w:pPr>
              <w:autoSpaceDE/>
              <w:autoSpaceDN/>
              <w:adjustRightInd/>
              <w:spacing w:after="40"/>
              <w:rPr>
                <w:rFonts w:ascii="EYInterstate Light" w:hAnsi="EYInterstate Light"/>
                <w:color w:val="000000" w:themeColor="background2"/>
                <w:sz w:val="18"/>
                <w:szCs w:val="18"/>
              </w:rPr>
            </w:pPr>
            <w:r w:rsidRPr="00A00620">
              <w:rPr>
                <w:rFonts w:ascii="EYInterstate Light" w:hAnsi="EYInterstate Light"/>
                <w:color w:val="000000" w:themeColor="background2"/>
                <w:sz w:val="18"/>
                <w:szCs w:val="18"/>
              </w:rPr>
              <w:t xml:space="preserve">At full </w:t>
            </w:r>
            <w:r w:rsidR="00EA3F76">
              <w:rPr>
                <w:rFonts w:ascii="EYInterstate Light" w:hAnsi="EYInterstate Light"/>
                <w:color w:val="000000" w:themeColor="background2"/>
                <w:sz w:val="18"/>
                <w:szCs w:val="18"/>
              </w:rPr>
              <w:t>s</w:t>
            </w:r>
            <w:r w:rsidRPr="00A00620">
              <w:rPr>
                <w:rFonts w:ascii="EYInterstate Light" w:hAnsi="EYInterstate Light"/>
                <w:color w:val="000000" w:themeColor="background2"/>
                <w:sz w:val="18"/>
                <w:szCs w:val="18"/>
              </w:rPr>
              <w:t>cheme, under the central implement</w:t>
            </w:r>
            <w:r w:rsidR="00EA3F76">
              <w:rPr>
                <w:rFonts w:ascii="EYInterstate Light" w:hAnsi="EYInterstate Light"/>
                <w:color w:val="000000" w:themeColor="background2"/>
                <w:sz w:val="18"/>
                <w:szCs w:val="18"/>
              </w:rPr>
              <w:t>ation</w:t>
            </w:r>
            <w:r w:rsidRPr="00A00620">
              <w:rPr>
                <w:rFonts w:ascii="EYInterstate Light" w:hAnsi="EYInterstate Light"/>
                <w:color w:val="000000" w:themeColor="background2"/>
                <w:sz w:val="18"/>
                <w:szCs w:val="18"/>
              </w:rPr>
              <w:t xml:space="preserve"> </w:t>
            </w:r>
            <w:r w:rsidR="00FA47B7">
              <w:rPr>
                <w:rFonts w:ascii="EYInterstate Light" w:hAnsi="EYInterstate Light"/>
                <w:color w:val="000000" w:themeColor="background2"/>
                <w:sz w:val="18"/>
                <w:szCs w:val="18"/>
              </w:rPr>
              <w:t>body</w:t>
            </w:r>
            <w:r w:rsidRPr="00A00620">
              <w:rPr>
                <w:rFonts w:ascii="EYInterstate Light" w:hAnsi="EYInterstate Light"/>
                <w:color w:val="000000" w:themeColor="background2"/>
                <w:sz w:val="18"/>
                <w:szCs w:val="18"/>
              </w:rPr>
              <w:t xml:space="preserve"> model, authors will be able to publish in all participating journals at no extra cost. </w:t>
            </w:r>
          </w:p>
          <w:p w14:paraId="717CE56F" w14:textId="77777777" w:rsidR="000753E9" w:rsidRPr="00A00620" w:rsidRDefault="000753E9" w:rsidP="001605A6">
            <w:pPr>
              <w:autoSpaceDE/>
              <w:autoSpaceDN/>
              <w:adjustRightInd/>
              <w:spacing w:after="40"/>
              <w:rPr>
                <w:rFonts w:ascii="EYInterstate Light" w:hAnsi="EYInterstate Light"/>
                <w:color w:val="000000" w:themeColor="background2"/>
                <w:sz w:val="18"/>
                <w:szCs w:val="18"/>
              </w:rPr>
            </w:pPr>
          </w:p>
          <w:p w14:paraId="5F7ACA89" w14:textId="77777777" w:rsidR="000753E9" w:rsidRPr="00A00620" w:rsidRDefault="000753E9" w:rsidP="001605A6">
            <w:pPr>
              <w:autoSpaceDE/>
              <w:autoSpaceDN/>
              <w:adjustRightInd/>
              <w:spacing w:after="40"/>
              <w:rPr>
                <w:rFonts w:ascii="EYInterstate Light" w:hAnsi="EYInterstate Light"/>
                <w:color w:val="000000" w:themeColor="background2"/>
                <w:sz w:val="18"/>
                <w:szCs w:val="18"/>
              </w:rPr>
            </w:pPr>
            <w:r w:rsidRPr="00A00620">
              <w:rPr>
                <w:rFonts w:ascii="EYInterstate Light" w:hAnsi="EYInterstate Light"/>
                <w:color w:val="000000" w:themeColor="background2"/>
                <w:sz w:val="18"/>
                <w:szCs w:val="18"/>
              </w:rPr>
              <w:t xml:space="preserve">While funding mandates also force all government-funded research to be published in an open access platform, this model does not account for privately funded research. </w:t>
            </w:r>
          </w:p>
          <w:p w14:paraId="04B8C350" w14:textId="77777777" w:rsidR="000753E9" w:rsidRPr="00A00620" w:rsidRDefault="000753E9" w:rsidP="001605A6">
            <w:pPr>
              <w:autoSpaceDE/>
              <w:autoSpaceDN/>
              <w:adjustRightInd/>
              <w:spacing w:after="40"/>
              <w:rPr>
                <w:rFonts w:ascii="EYInterstate Light" w:hAnsi="EYInterstate Light"/>
                <w:color w:val="000000" w:themeColor="background2"/>
                <w:sz w:val="18"/>
                <w:szCs w:val="18"/>
              </w:rPr>
            </w:pPr>
          </w:p>
          <w:p w14:paraId="379AA6CC" w14:textId="331BAE14" w:rsidR="000753E9" w:rsidRPr="009854B5" w:rsidRDefault="000753E9" w:rsidP="001605A6">
            <w:pPr>
              <w:autoSpaceDE/>
              <w:autoSpaceDN/>
              <w:adjustRightInd/>
              <w:spacing w:after="40"/>
              <w:rPr>
                <w:rFonts w:ascii="EYInterstate Light" w:hAnsi="EYInterstate Light"/>
                <w:color w:val="000000" w:themeColor="background2"/>
                <w:sz w:val="18"/>
                <w:szCs w:val="18"/>
              </w:rPr>
            </w:pPr>
            <w:r w:rsidRPr="00A00620">
              <w:rPr>
                <w:rFonts w:ascii="EYInterstate Light" w:hAnsi="EYInterstate Light"/>
                <w:color w:val="000000" w:themeColor="background2"/>
                <w:sz w:val="18"/>
                <w:szCs w:val="18"/>
              </w:rPr>
              <w:t xml:space="preserve">Read-and-publish agreements between the central </w:t>
            </w:r>
            <w:r w:rsidR="00004333">
              <w:rPr>
                <w:rFonts w:ascii="EYInterstate Light" w:hAnsi="EYInterstate Light"/>
                <w:color w:val="000000" w:themeColor="background2"/>
                <w:sz w:val="18"/>
                <w:szCs w:val="18"/>
              </w:rPr>
              <w:t>implementation</w:t>
            </w:r>
            <w:r w:rsidRPr="00A00620">
              <w:rPr>
                <w:rFonts w:ascii="EYInterstate Light" w:hAnsi="EYInterstate Light"/>
                <w:color w:val="000000" w:themeColor="background2"/>
                <w:sz w:val="18"/>
                <w:szCs w:val="18"/>
              </w:rPr>
              <w:t xml:space="preserve"> body don’t differentiate between publicly and privately funded research, </w:t>
            </w:r>
            <w:r w:rsidR="00153F2E">
              <w:rPr>
                <w:rFonts w:ascii="EYInterstate Light" w:hAnsi="EYInterstate Light"/>
                <w:color w:val="000000" w:themeColor="background2"/>
                <w:sz w:val="18"/>
                <w:szCs w:val="18"/>
              </w:rPr>
              <w:t>remov</w:t>
            </w:r>
            <w:r w:rsidR="00FA0425">
              <w:rPr>
                <w:rFonts w:ascii="EYInterstate Light" w:hAnsi="EYInterstate Light"/>
                <w:color w:val="000000" w:themeColor="background2"/>
                <w:sz w:val="18"/>
                <w:szCs w:val="18"/>
              </w:rPr>
              <w:t>ing the price disincentive for</w:t>
            </w:r>
            <w:r w:rsidRPr="00A00620">
              <w:rPr>
                <w:rFonts w:ascii="EYInterstate Light" w:hAnsi="EYInterstate Light"/>
                <w:color w:val="000000" w:themeColor="background2"/>
                <w:sz w:val="18"/>
                <w:szCs w:val="18"/>
              </w:rPr>
              <w:t xml:space="preserve"> authors to publish their article as open access.</w:t>
            </w:r>
          </w:p>
        </w:tc>
      </w:tr>
      <w:tr w:rsidR="000753E9" w:rsidRPr="006119F9" w14:paraId="7A16FA42" w14:textId="77777777" w:rsidTr="006A645E">
        <w:tc>
          <w:tcPr>
            <w:tcW w:w="1528" w:type="dxa"/>
          </w:tcPr>
          <w:p w14:paraId="18DC6795" w14:textId="77777777" w:rsidR="000753E9" w:rsidRPr="009854B5" w:rsidRDefault="000753E9" w:rsidP="001605A6">
            <w:pPr>
              <w:autoSpaceDE/>
              <w:autoSpaceDN/>
              <w:adjustRightInd/>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Research integrity and discoverability</w:t>
            </w:r>
          </w:p>
        </w:tc>
        <w:tc>
          <w:tcPr>
            <w:tcW w:w="2436" w:type="dxa"/>
          </w:tcPr>
          <w:p w14:paraId="5A7E90CD" w14:textId="77777777" w:rsidR="000753E9" w:rsidRDefault="000753E9" w:rsidP="001605A6">
            <w:pPr>
              <w:autoSpaceDE/>
              <w:autoSpaceDN/>
              <w:adjustRightInd/>
              <w:spacing w:after="40"/>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Measures the authors autonomy in choosing where to publish, and the model’s ability to facilitate quality metadata, keeping version of record, and assisting in discoverability</w:t>
            </w:r>
          </w:p>
          <w:p w14:paraId="4485E1DD" w14:textId="77777777" w:rsidR="000753E9" w:rsidRDefault="000753E9" w:rsidP="001605A6">
            <w:pPr>
              <w:autoSpaceDE/>
              <w:autoSpaceDN/>
              <w:adjustRightInd/>
              <w:spacing w:after="40"/>
              <w:rPr>
                <w:rFonts w:ascii="EYInterstate Light" w:hAnsi="EYInterstate Light"/>
                <w:color w:val="000000" w:themeColor="background2"/>
                <w:sz w:val="18"/>
                <w:szCs w:val="18"/>
              </w:rPr>
            </w:pPr>
          </w:p>
          <w:p w14:paraId="5F36A982" w14:textId="77777777" w:rsidR="000753E9" w:rsidRPr="009854B5" w:rsidRDefault="000753E9" w:rsidP="001605A6">
            <w:pPr>
              <w:autoSpaceDE/>
              <w:autoSpaceDN/>
              <w:adjustRightInd/>
              <w:spacing w:after="40"/>
              <w:rPr>
                <w:rFonts w:ascii="EYInterstate Light" w:hAnsi="EYInterstate Light"/>
                <w:color w:val="000000" w:themeColor="background2"/>
                <w:sz w:val="18"/>
                <w:szCs w:val="18"/>
              </w:rPr>
            </w:pPr>
            <w:r>
              <w:rPr>
                <w:rFonts w:ascii="EYInterstate Light" w:hAnsi="EYInterstate Light"/>
                <w:color w:val="000000" w:themeColor="background2"/>
                <w:sz w:val="18"/>
                <w:szCs w:val="18"/>
              </w:rPr>
              <w:t>This analysis looks at which model supports the role of publishers within the research system as the primary factor.</w:t>
            </w:r>
          </w:p>
        </w:tc>
        <w:tc>
          <w:tcPr>
            <w:tcW w:w="1418" w:type="dxa"/>
          </w:tcPr>
          <w:p w14:paraId="4F11D257" w14:textId="77777777" w:rsidR="000753E9" w:rsidRPr="009854B5" w:rsidRDefault="000753E9" w:rsidP="001605A6">
            <w:pPr>
              <w:autoSpaceDE/>
              <w:autoSpaceDN/>
              <w:adjustRightInd/>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Central Implementation body</w:t>
            </w:r>
          </w:p>
        </w:tc>
        <w:tc>
          <w:tcPr>
            <w:tcW w:w="3681" w:type="dxa"/>
          </w:tcPr>
          <w:p w14:paraId="79BF45F1" w14:textId="5C62F1BC" w:rsidR="000753E9" w:rsidRPr="00192376" w:rsidRDefault="000753E9" w:rsidP="001605A6">
            <w:pPr>
              <w:autoSpaceDE/>
              <w:autoSpaceDN/>
              <w:adjustRightInd/>
              <w:rPr>
                <w:rFonts w:ascii="EYInterstate Light" w:hAnsi="EYInterstate Light"/>
                <w:color w:val="000000" w:themeColor="background2"/>
                <w:sz w:val="18"/>
                <w:szCs w:val="18"/>
              </w:rPr>
            </w:pPr>
            <w:r w:rsidRPr="00192376">
              <w:rPr>
                <w:rFonts w:ascii="EYInterstate Light" w:hAnsi="EYInterstate Light"/>
                <w:color w:val="000000" w:themeColor="background2"/>
                <w:sz w:val="18"/>
                <w:szCs w:val="18"/>
              </w:rPr>
              <w:t xml:space="preserve">The central </w:t>
            </w:r>
            <w:r w:rsidR="00004333">
              <w:rPr>
                <w:rFonts w:ascii="EYInterstate Light" w:hAnsi="EYInterstate Light"/>
                <w:color w:val="000000" w:themeColor="background2"/>
                <w:sz w:val="18"/>
                <w:szCs w:val="18"/>
              </w:rPr>
              <w:t>implementation</w:t>
            </w:r>
            <w:r w:rsidRPr="00192376">
              <w:rPr>
                <w:rFonts w:ascii="EYInterstate Light" w:hAnsi="EYInterstate Light"/>
                <w:color w:val="000000" w:themeColor="background2"/>
                <w:sz w:val="18"/>
                <w:szCs w:val="18"/>
              </w:rPr>
              <w:t xml:space="preserve"> body scores the highest as it maintains the role of publishers through read-and-publish agreements funding APC costs. </w:t>
            </w:r>
          </w:p>
          <w:p w14:paraId="39EB35CC" w14:textId="77777777" w:rsidR="000753E9" w:rsidRPr="00192376" w:rsidRDefault="000753E9" w:rsidP="001605A6">
            <w:pPr>
              <w:autoSpaceDE/>
              <w:autoSpaceDN/>
              <w:adjustRightInd/>
              <w:rPr>
                <w:rFonts w:ascii="EYInterstate Light" w:hAnsi="EYInterstate Light"/>
                <w:color w:val="000000" w:themeColor="background2"/>
                <w:sz w:val="18"/>
                <w:szCs w:val="18"/>
              </w:rPr>
            </w:pPr>
          </w:p>
          <w:p w14:paraId="0F7BA7B5" w14:textId="77777777" w:rsidR="000753E9" w:rsidRPr="00192376" w:rsidRDefault="000753E9" w:rsidP="001605A6">
            <w:pPr>
              <w:autoSpaceDE/>
              <w:autoSpaceDN/>
              <w:adjustRightInd/>
              <w:rPr>
                <w:rFonts w:ascii="EYInterstate Light" w:hAnsi="EYInterstate Light"/>
                <w:color w:val="000000" w:themeColor="background2"/>
                <w:sz w:val="18"/>
                <w:szCs w:val="18"/>
              </w:rPr>
            </w:pPr>
            <w:r w:rsidRPr="00192376">
              <w:rPr>
                <w:rFonts w:ascii="EYInterstate Light" w:hAnsi="EYInterstate Light"/>
                <w:color w:val="000000" w:themeColor="background2"/>
                <w:sz w:val="18"/>
                <w:szCs w:val="18"/>
              </w:rPr>
              <w:t>Publishers play a crucial role in the integrity and dissemination of academic research through coordinating peer-review services, typesetting, formatting and maintaining IT infrastructure.</w:t>
            </w:r>
          </w:p>
          <w:p w14:paraId="15DD8101" w14:textId="77777777" w:rsidR="000753E9" w:rsidRPr="00192376" w:rsidRDefault="000753E9" w:rsidP="001605A6">
            <w:pPr>
              <w:autoSpaceDE/>
              <w:autoSpaceDN/>
              <w:adjustRightInd/>
              <w:rPr>
                <w:rFonts w:ascii="EYInterstate Light" w:hAnsi="EYInterstate Light"/>
                <w:color w:val="000000" w:themeColor="background2"/>
                <w:sz w:val="18"/>
                <w:szCs w:val="18"/>
              </w:rPr>
            </w:pPr>
          </w:p>
          <w:p w14:paraId="6DAACA51" w14:textId="60B1B179" w:rsidR="000753E9" w:rsidRDefault="000753E9" w:rsidP="001605A6">
            <w:pPr>
              <w:autoSpaceDE/>
              <w:autoSpaceDN/>
              <w:adjustRightInd/>
              <w:rPr>
                <w:rFonts w:ascii="EYInterstate Light" w:hAnsi="EYInterstate Light"/>
                <w:color w:val="000000" w:themeColor="background2"/>
                <w:sz w:val="18"/>
                <w:szCs w:val="18"/>
              </w:rPr>
            </w:pPr>
            <w:r w:rsidRPr="00192376">
              <w:rPr>
                <w:rFonts w:ascii="EYInterstate Light" w:hAnsi="EYInterstate Light"/>
                <w:color w:val="000000" w:themeColor="background2"/>
                <w:sz w:val="18"/>
                <w:szCs w:val="18"/>
              </w:rPr>
              <w:t>Gold</w:t>
            </w:r>
            <w:r>
              <w:rPr>
                <w:rFonts w:ascii="EYInterstate Light" w:hAnsi="EYInterstate Light"/>
                <w:color w:val="000000" w:themeColor="background2"/>
                <w:sz w:val="18"/>
                <w:szCs w:val="18"/>
              </w:rPr>
              <w:t>, hybrid and platinum</w:t>
            </w:r>
            <w:r w:rsidRPr="00192376">
              <w:rPr>
                <w:rFonts w:ascii="EYInterstate Light" w:hAnsi="EYInterstate Light"/>
                <w:color w:val="000000" w:themeColor="background2"/>
                <w:sz w:val="18"/>
                <w:szCs w:val="18"/>
              </w:rPr>
              <w:t xml:space="preserve"> journals have </w:t>
            </w:r>
            <w:r w:rsidR="00CF03E5">
              <w:rPr>
                <w:rFonts w:ascii="EYInterstate Light" w:hAnsi="EYInterstate Light"/>
                <w:color w:val="000000" w:themeColor="background2"/>
                <w:sz w:val="18"/>
                <w:szCs w:val="18"/>
              </w:rPr>
              <w:t>higher</w:t>
            </w:r>
            <w:r w:rsidRPr="00192376">
              <w:rPr>
                <w:rFonts w:ascii="EYInterstate Light" w:hAnsi="EYInterstate Light"/>
                <w:color w:val="000000" w:themeColor="background2"/>
                <w:sz w:val="18"/>
                <w:szCs w:val="18"/>
              </w:rPr>
              <w:t xml:space="preserve"> discoverability</w:t>
            </w:r>
            <w:r>
              <w:rPr>
                <w:rFonts w:ascii="EYInterstate Light" w:hAnsi="EYInterstate Light"/>
                <w:color w:val="000000" w:themeColor="background2"/>
                <w:sz w:val="18"/>
                <w:szCs w:val="18"/>
              </w:rPr>
              <w:t xml:space="preserve"> compared to repository based open access</w:t>
            </w:r>
            <w:r w:rsidR="00CF03E5">
              <w:rPr>
                <w:rFonts w:ascii="EYInterstate Light" w:hAnsi="EYInterstate Light"/>
                <w:color w:val="000000" w:themeColor="background2"/>
                <w:sz w:val="18"/>
                <w:szCs w:val="18"/>
              </w:rPr>
              <w:t xml:space="preserve"> and </w:t>
            </w:r>
            <w:r>
              <w:rPr>
                <w:rFonts w:ascii="EYInterstate Light" w:hAnsi="EYInterstate Light"/>
                <w:color w:val="000000" w:themeColor="background2"/>
                <w:sz w:val="18"/>
                <w:szCs w:val="18"/>
              </w:rPr>
              <w:t xml:space="preserve">hold </w:t>
            </w:r>
            <w:r w:rsidRPr="00192376">
              <w:rPr>
                <w:rFonts w:ascii="EYInterstate Light" w:hAnsi="EYInterstate Light"/>
                <w:color w:val="000000" w:themeColor="background2"/>
                <w:sz w:val="18"/>
                <w:szCs w:val="18"/>
              </w:rPr>
              <w:t xml:space="preserve">versions of record and metadata. </w:t>
            </w:r>
          </w:p>
          <w:p w14:paraId="4C208627" w14:textId="77777777" w:rsidR="000753E9" w:rsidRDefault="000753E9" w:rsidP="001605A6">
            <w:pPr>
              <w:autoSpaceDE/>
              <w:autoSpaceDN/>
              <w:adjustRightInd/>
              <w:rPr>
                <w:rFonts w:ascii="EYInterstate Light" w:hAnsi="EYInterstate Light"/>
                <w:color w:val="000000" w:themeColor="background2"/>
                <w:sz w:val="18"/>
                <w:szCs w:val="18"/>
              </w:rPr>
            </w:pPr>
          </w:p>
          <w:p w14:paraId="16C76268" w14:textId="0DE5CE0B" w:rsidR="000753E9" w:rsidRPr="009854B5" w:rsidRDefault="000753E9" w:rsidP="001605A6">
            <w:pPr>
              <w:autoSpaceDE/>
              <w:autoSpaceDN/>
              <w:adjustRightInd/>
              <w:rPr>
                <w:rFonts w:ascii="EYInterstate Light" w:hAnsi="EYInterstate Light"/>
                <w:color w:val="000000" w:themeColor="background2"/>
                <w:sz w:val="18"/>
                <w:szCs w:val="18"/>
              </w:rPr>
            </w:pPr>
            <w:r w:rsidRPr="00192376">
              <w:rPr>
                <w:rFonts w:ascii="EYInterstate Light" w:hAnsi="EYInterstate Light"/>
                <w:color w:val="000000" w:themeColor="background2"/>
                <w:sz w:val="18"/>
                <w:szCs w:val="18"/>
              </w:rPr>
              <w:t xml:space="preserve">By funding APC costs associated with gold and hybrid open access, the central implementation body </w:t>
            </w:r>
            <w:r w:rsidR="00253E46">
              <w:rPr>
                <w:rFonts w:ascii="EYInterstate Light" w:hAnsi="EYInterstate Light"/>
                <w:color w:val="000000" w:themeColor="background2"/>
                <w:sz w:val="18"/>
                <w:szCs w:val="18"/>
              </w:rPr>
              <w:t>removes the costs disincentive for</w:t>
            </w:r>
            <w:r w:rsidRPr="00192376">
              <w:rPr>
                <w:rFonts w:ascii="EYInterstate Light" w:hAnsi="EYInterstate Light"/>
                <w:color w:val="000000" w:themeColor="background2"/>
                <w:sz w:val="18"/>
                <w:szCs w:val="18"/>
              </w:rPr>
              <w:t xml:space="preserve"> authors to publish in these journals, making it the preferred option.</w:t>
            </w:r>
          </w:p>
        </w:tc>
      </w:tr>
      <w:tr w:rsidR="000753E9" w:rsidRPr="006119F9" w14:paraId="2E43B234" w14:textId="77777777" w:rsidTr="006A645E">
        <w:tc>
          <w:tcPr>
            <w:tcW w:w="9063" w:type="dxa"/>
            <w:gridSpan w:val="4"/>
            <w:shd w:val="clear" w:color="auto" w:fill="D2D2DA"/>
          </w:tcPr>
          <w:p w14:paraId="5E8BA4F2" w14:textId="77777777" w:rsidR="000753E9" w:rsidRPr="009854B5" w:rsidRDefault="000753E9" w:rsidP="001605A6">
            <w:pPr>
              <w:autoSpaceDE/>
              <w:autoSpaceDN/>
              <w:adjustRightInd/>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 xml:space="preserve">Long term impact </w:t>
            </w:r>
          </w:p>
        </w:tc>
      </w:tr>
      <w:tr w:rsidR="000753E9" w:rsidRPr="006119F9" w14:paraId="067F57DB" w14:textId="77777777" w:rsidTr="006A645E">
        <w:tc>
          <w:tcPr>
            <w:tcW w:w="1528" w:type="dxa"/>
            <w:shd w:val="clear" w:color="auto" w:fill="auto"/>
          </w:tcPr>
          <w:p w14:paraId="76184A02" w14:textId="77777777" w:rsidR="000753E9" w:rsidRPr="009854B5" w:rsidRDefault="000753E9" w:rsidP="001605A6">
            <w:pPr>
              <w:autoSpaceDE/>
              <w:autoSpaceDN/>
              <w:adjustRightInd/>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 xml:space="preserve">Costs </w:t>
            </w:r>
          </w:p>
        </w:tc>
        <w:tc>
          <w:tcPr>
            <w:tcW w:w="2436" w:type="dxa"/>
            <w:shd w:val="clear" w:color="auto" w:fill="auto"/>
          </w:tcPr>
          <w:p w14:paraId="1CDC15C1" w14:textId="77777777" w:rsidR="000753E9" w:rsidRDefault="000753E9" w:rsidP="001605A6">
            <w:pPr>
              <w:autoSpaceDE/>
              <w:autoSpaceDN/>
              <w:adjustRightInd/>
              <w:spacing w:after="40"/>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The total costs associated with accessing and publishing journal articles.</w:t>
            </w:r>
          </w:p>
          <w:p w14:paraId="423B5DA9" w14:textId="77777777" w:rsidR="000753E9" w:rsidRDefault="000753E9" w:rsidP="001605A6">
            <w:pPr>
              <w:autoSpaceDE/>
              <w:autoSpaceDN/>
              <w:adjustRightInd/>
              <w:spacing w:after="40"/>
              <w:rPr>
                <w:rFonts w:ascii="EYInterstate Light" w:hAnsi="EYInterstate Light"/>
                <w:color w:val="000000" w:themeColor="background2"/>
                <w:sz w:val="18"/>
                <w:szCs w:val="18"/>
              </w:rPr>
            </w:pPr>
          </w:p>
          <w:p w14:paraId="7A850058" w14:textId="77777777" w:rsidR="000753E9" w:rsidRPr="009854B5" w:rsidRDefault="000753E9" w:rsidP="001605A6">
            <w:pPr>
              <w:autoSpaceDE/>
              <w:autoSpaceDN/>
              <w:adjustRightInd/>
              <w:spacing w:after="40"/>
              <w:rPr>
                <w:rFonts w:ascii="EYInterstate Light" w:hAnsi="EYInterstate Light"/>
                <w:color w:val="000000" w:themeColor="background2"/>
                <w:sz w:val="18"/>
                <w:szCs w:val="18"/>
              </w:rPr>
            </w:pPr>
            <w:r>
              <w:rPr>
                <w:rFonts w:ascii="EYInterstate Light" w:hAnsi="EYInterstate Light"/>
                <w:color w:val="000000" w:themeColor="background2"/>
                <w:sz w:val="18"/>
                <w:szCs w:val="18"/>
              </w:rPr>
              <w:t>This analysis considers impact on costs each model will have on the entire Australian expenditure on accessing research journal articles</w:t>
            </w:r>
          </w:p>
        </w:tc>
        <w:tc>
          <w:tcPr>
            <w:tcW w:w="1418" w:type="dxa"/>
            <w:shd w:val="clear" w:color="auto" w:fill="auto"/>
          </w:tcPr>
          <w:p w14:paraId="5B6B3C02" w14:textId="785C0AA3" w:rsidR="000753E9" w:rsidRPr="009854B5" w:rsidRDefault="000753E9" w:rsidP="001605A6">
            <w:pPr>
              <w:autoSpaceDE/>
              <w:autoSpaceDN/>
              <w:adjustRightInd/>
              <w:rPr>
                <w:rFonts w:ascii="EYInterstate Light" w:hAnsi="EYInterstate Light"/>
                <w:color w:val="000000" w:themeColor="background2"/>
                <w:sz w:val="18"/>
                <w:szCs w:val="18"/>
              </w:rPr>
            </w:pPr>
            <w:r>
              <w:rPr>
                <w:rFonts w:ascii="EYInterstate Light" w:hAnsi="EYInterstate Light"/>
                <w:color w:val="000000" w:themeColor="background2"/>
                <w:sz w:val="18"/>
                <w:szCs w:val="18"/>
              </w:rPr>
              <w:lastRenderedPageBreak/>
              <w:t xml:space="preserve">Central </w:t>
            </w:r>
            <w:r w:rsidR="00004333">
              <w:rPr>
                <w:rFonts w:ascii="EYInterstate Light" w:hAnsi="EYInterstate Light"/>
                <w:color w:val="000000" w:themeColor="background2"/>
                <w:sz w:val="18"/>
                <w:szCs w:val="18"/>
              </w:rPr>
              <w:t>implementation</w:t>
            </w:r>
            <w:r>
              <w:rPr>
                <w:rFonts w:ascii="EYInterstate Light" w:hAnsi="EYInterstate Light"/>
                <w:color w:val="000000" w:themeColor="background2"/>
                <w:sz w:val="18"/>
                <w:szCs w:val="18"/>
              </w:rPr>
              <w:t xml:space="preserve"> body</w:t>
            </w:r>
            <w:r w:rsidRPr="009854B5">
              <w:rPr>
                <w:rFonts w:ascii="EYInterstate Light" w:hAnsi="EYInterstate Light"/>
                <w:color w:val="000000" w:themeColor="background2"/>
                <w:sz w:val="18"/>
                <w:szCs w:val="18"/>
              </w:rPr>
              <w:t xml:space="preserve"> </w:t>
            </w:r>
          </w:p>
        </w:tc>
        <w:tc>
          <w:tcPr>
            <w:tcW w:w="3681" w:type="dxa"/>
            <w:shd w:val="clear" w:color="auto" w:fill="auto"/>
          </w:tcPr>
          <w:p w14:paraId="3BEA054C" w14:textId="6E80D983" w:rsidR="000753E9" w:rsidRPr="00B42B48" w:rsidRDefault="000753E9" w:rsidP="001605A6">
            <w:pPr>
              <w:autoSpaceDE/>
              <w:autoSpaceDN/>
              <w:adjustRightInd/>
              <w:rPr>
                <w:rFonts w:ascii="EYInterstate Light" w:hAnsi="EYInterstate Light"/>
                <w:color w:val="000000" w:themeColor="background2"/>
                <w:sz w:val="18"/>
                <w:szCs w:val="18"/>
              </w:rPr>
            </w:pPr>
            <w:r w:rsidRPr="00B42B48">
              <w:rPr>
                <w:rFonts w:ascii="EYInterstate Light" w:hAnsi="EYInterstate Light"/>
                <w:color w:val="000000" w:themeColor="background2"/>
                <w:sz w:val="18"/>
                <w:szCs w:val="18"/>
              </w:rPr>
              <w:t xml:space="preserve">While the central </w:t>
            </w:r>
            <w:r w:rsidR="00004333">
              <w:rPr>
                <w:rFonts w:ascii="EYInterstate Light" w:hAnsi="EYInterstate Light"/>
                <w:color w:val="000000" w:themeColor="background2"/>
                <w:sz w:val="18"/>
                <w:szCs w:val="18"/>
              </w:rPr>
              <w:t>implementation</w:t>
            </w:r>
            <w:r w:rsidRPr="00B42B48">
              <w:rPr>
                <w:rFonts w:ascii="EYInterstate Light" w:hAnsi="EYInterstate Light"/>
                <w:color w:val="000000" w:themeColor="background2"/>
                <w:sz w:val="18"/>
                <w:szCs w:val="18"/>
              </w:rPr>
              <w:t xml:space="preserve"> body will have the highest cost compared to other open access models, the other </w:t>
            </w:r>
            <w:r w:rsidRPr="00B42B48">
              <w:rPr>
                <w:rFonts w:ascii="EYInterstate Light" w:hAnsi="EYInterstate Light"/>
                <w:color w:val="000000" w:themeColor="background2"/>
                <w:sz w:val="18"/>
                <w:szCs w:val="18"/>
              </w:rPr>
              <w:lastRenderedPageBreak/>
              <w:t xml:space="preserve">models do not address the rising costs of maintaining access to academic journals. </w:t>
            </w:r>
          </w:p>
          <w:p w14:paraId="1BDA1605" w14:textId="77777777" w:rsidR="000753E9" w:rsidRPr="00B42B48" w:rsidRDefault="000753E9" w:rsidP="001605A6">
            <w:pPr>
              <w:autoSpaceDE/>
              <w:autoSpaceDN/>
              <w:adjustRightInd/>
              <w:rPr>
                <w:rFonts w:ascii="EYInterstate Light" w:hAnsi="EYInterstate Light"/>
                <w:color w:val="000000" w:themeColor="background2"/>
                <w:sz w:val="18"/>
                <w:szCs w:val="18"/>
              </w:rPr>
            </w:pPr>
          </w:p>
          <w:p w14:paraId="188B7664" w14:textId="189B97E0" w:rsidR="000753E9" w:rsidRPr="00B42B48" w:rsidRDefault="000753E9" w:rsidP="001605A6">
            <w:pPr>
              <w:autoSpaceDE/>
              <w:autoSpaceDN/>
              <w:adjustRightInd/>
              <w:rPr>
                <w:rFonts w:ascii="EYInterstate Light" w:hAnsi="EYInterstate Light"/>
                <w:color w:val="000000" w:themeColor="background2"/>
                <w:sz w:val="18"/>
                <w:szCs w:val="18"/>
              </w:rPr>
            </w:pPr>
            <w:r w:rsidRPr="00B42B48">
              <w:rPr>
                <w:rFonts w:ascii="EYInterstate Light" w:hAnsi="EYInterstate Light"/>
                <w:color w:val="000000" w:themeColor="background2"/>
                <w:sz w:val="18"/>
                <w:szCs w:val="18"/>
              </w:rPr>
              <w:t xml:space="preserve">The central </w:t>
            </w:r>
            <w:r w:rsidR="00004333">
              <w:rPr>
                <w:rFonts w:ascii="EYInterstate Light" w:hAnsi="EYInterstate Light"/>
                <w:color w:val="000000" w:themeColor="background2"/>
                <w:sz w:val="18"/>
                <w:szCs w:val="18"/>
              </w:rPr>
              <w:t>implementation</w:t>
            </w:r>
            <w:r w:rsidRPr="00B42B48">
              <w:rPr>
                <w:rFonts w:ascii="EYInterstate Light" w:hAnsi="EYInterstate Light"/>
                <w:color w:val="000000" w:themeColor="background2"/>
                <w:sz w:val="18"/>
                <w:szCs w:val="18"/>
              </w:rPr>
              <w:t xml:space="preserve"> body redistributes funding cost-neutrally, which should reduce the overall expenditure within the system over time. </w:t>
            </w:r>
          </w:p>
          <w:p w14:paraId="39499320" w14:textId="77777777" w:rsidR="000753E9" w:rsidRPr="00B42B48" w:rsidRDefault="000753E9" w:rsidP="001605A6">
            <w:pPr>
              <w:autoSpaceDE/>
              <w:autoSpaceDN/>
              <w:adjustRightInd/>
              <w:rPr>
                <w:rFonts w:ascii="EYInterstate Light" w:hAnsi="EYInterstate Light"/>
                <w:color w:val="000000" w:themeColor="background2"/>
                <w:sz w:val="18"/>
                <w:szCs w:val="18"/>
              </w:rPr>
            </w:pPr>
          </w:p>
          <w:p w14:paraId="569E0053" w14:textId="36D613EB" w:rsidR="000753E9" w:rsidRPr="009854B5" w:rsidRDefault="000753E9" w:rsidP="001605A6">
            <w:pPr>
              <w:autoSpaceDE/>
              <w:autoSpaceDN/>
              <w:adjustRightInd/>
              <w:rPr>
                <w:rFonts w:ascii="EYInterstate Light" w:hAnsi="EYInterstate Light"/>
                <w:color w:val="000000" w:themeColor="background2"/>
                <w:sz w:val="18"/>
                <w:szCs w:val="18"/>
              </w:rPr>
            </w:pPr>
            <w:r w:rsidRPr="00B42B48">
              <w:rPr>
                <w:rFonts w:ascii="EYInterstate Light" w:hAnsi="EYInterstate Light"/>
                <w:color w:val="000000" w:themeColor="background2"/>
                <w:sz w:val="18"/>
                <w:szCs w:val="18"/>
              </w:rPr>
              <w:t xml:space="preserve">However, the effect of the total costs will depend on the successful negotiations with publishers and the additional costs of extended access to stakeholders beyond the </w:t>
            </w:r>
            <w:r>
              <w:rPr>
                <w:rFonts w:ascii="EYInterstate Light" w:hAnsi="EYInterstate Light"/>
                <w:color w:val="000000" w:themeColor="background2"/>
                <w:sz w:val="18"/>
                <w:szCs w:val="18"/>
              </w:rPr>
              <w:t xml:space="preserve">users currently covered by the </w:t>
            </w:r>
            <w:r w:rsidR="003C53CF">
              <w:rPr>
                <w:rFonts w:ascii="EYInterstate Light" w:hAnsi="EYInterstate Light"/>
                <w:color w:val="000000" w:themeColor="background2"/>
                <w:sz w:val="18"/>
                <w:szCs w:val="18"/>
              </w:rPr>
              <w:t>s</w:t>
            </w:r>
            <w:r>
              <w:rPr>
                <w:rFonts w:ascii="EYInterstate Light" w:hAnsi="EYInterstate Light"/>
                <w:color w:val="000000" w:themeColor="background2"/>
                <w:sz w:val="18"/>
                <w:szCs w:val="18"/>
              </w:rPr>
              <w:t>cheme.</w:t>
            </w:r>
          </w:p>
        </w:tc>
      </w:tr>
      <w:tr w:rsidR="000753E9" w:rsidRPr="006119F9" w14:paraId="0407C3BF" w14:textId="77777777" w:rsidTr="006A645E">
        <w:tc>
          <w:tcPr>
            <w:tcW w:w="1528" w:type="dxa"/>
            <w:shd w:val="clear" w:color="auto" w:fill="auto"/>
          </w:tcPr>
          <w:p w14:paraId="5E5A2F05" w14:textId="77777777" w:rsidR="000753E9" w:rsidRPr="009854B5" w:rsidRDefault="000753E9" w:rsidP="001605A6">
            <w:pPr>
              <w:autoSpaceDE/>
              <w:autoSpaceDN/>
              <w:adjustRightInd/>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lastRenderedPageBreak/>
              <w:t>Market and competition effect</w:t>
            </w:r>
          </w:p>
        </w:tc>
        <w:tc>
          <w:tcPr>
            <w:tcW w:w="2436" w:type="dxa"/>
            <w:shd w:val="clear" w:color="auto" w:fill="auto"/>
          </w:tcPr>
          <w:p w14:paraId="44CAB114" w14:textId="77777777" w:rsidR="000753E9" w:rsidRDefault="000753E9" w:rsidP="001605A6">
            <w:pPr>
              <w:autoSpaceDE/>
              <w:autoSpaceDN/>
              <w:adjustRightInd/>
              <w:spacing w:after="40"/>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 xml:space="preserve">The potential to </w:t>
            </w:r>
            <w:r>
              <w:rPr>
                <w:rFonts w:ascii="EYInterstate Light" w:hAnsi="EYInterstate Light"/>
                <w:color w:val="000000" w:themeColor="background2"/>
                <w:sz w:val="18"/>
                <w:szCs w:val="18"/>
              </w:rPr>
              <w:t>have adverse</w:t>
            </w:r>
            <w:r w:rsidRPr="009854B5">
              <w:rPr>
                <w:rFonts w:ascii="EYInterstate Light" w:hAnsi="EYInterstate Light"/>
                <w:color w:val="000000" w:themeColor="background2"/>
                <w:sz w:val="18"/>
                <w:szCs w:val="18"/>
              </w:rPr>
              <w:t xml:space="preserve"> reduce competition within the publishing sector</w:t>
            </w:r>
            <w:r>
              <w:rPr>
                <w:rFonts w:ascii="EYInterstate Light" w:hAnsi="EYInterstate Light"/>
                <w:color w:val="000000" w:themeColor="background2"/>
                <w:sz w:val="18"/>
                <w:szCs w:val="18"/>
              </w:rPr>
              <w:t>.</w:t>
            </w:r>
          </w:p>
          <w:p w14:paraId="2EF81313" w14:textId="77777777" w:rsidR="000753E9" w:rsidRDefault="000753E9" w:rsidP="001605A6">
            <w:pPr>
              <w:autoSpaceDE/>
              <w:autoSpaceDN/>
              <w:adjustRightInd/>
              <w:spacing w:after="40"/>
              <w:rPr>
                <w:rFonts w:ascii="EYInterstate Light" w:hAnsi="EYInterstate Light"/>
                <w:color w:val="000000" w:themeColor="background2"/>
                <w:sz w:val="18"/>
                <w:szCs w:val="18"/>
              </w:rPr>
            </w:pPr>
          </w:p>
          <w:p w14:paraId="7E008C53" w14:textId="77777777" w:rsidR="000753E9" w:rsidRPr="009854B5" w:rsidRDefault="000753E9" w:rsidP="001605A6">
            <w:pPr>
              <w:autoSpaceDE/>
              <w:autoSpaceDN/>
              <w:adjustRightInd/>
              <w:spacing w:after="40"/>
              <w:rPr>
                <w:rFonts w:ascii="EYInterstate Light" w:hAnsi="EYInterstate Light"/>
                <w:color w:val="000000" w:themeColor="background2"/>
                <w:sz w:val="18"/>
                <w:szCs w:val="18"/>
              </w:rPr>
            </w:pPr>
            <w:r>
              <w:rPr>
                <w:rFonts w:ascii="EYInterstate Light" w:hAnsi="EYInterstate Light"/>
                <w:color w:val="000000" w:themeColor="background2"/>
                <w:sz w:val="18"/>
                <w:szCs w:val="18"/>
              </w:rPr>
              <w:t>This analysis considers the models impact on internal competition within the publishing sector.</w:t>
            </w:r>
          </w:p>
        </w:tc>
        <w:tc>
          <w:tcPr>
            <w:tcW w:w="1418" w:type="dxa"/>
            <w:shd w:val="clear" w:color="auto" w:fill="auto"/>
          </w:tcPr>
          <w:p w14:paraId="761456D7" w14:textId="77777777" w:rsidR="000753E9" w:rsidRPr="009854B5" w:rsidRDefault="000753E9" w:rsidP="001605A6">
            <w:pPr>
              <w:autoSpaceDE/>
              <w:autoSpaceDN/>
              <w:adjustRightInd/>
              <w:rPr>
                <w:rFonts w:ascii="EYInterstate Light" w:hAnsi="EYInterstate Light"/>
                <w:color w:val="000000" w:themeColor="background2"/>
                <w:sz w:val="18"/>
                <w:szCs w:val="18"/>
              </w:rPr>
            </w:pPr>
            <w:r>
              <w:rPr>
                <w:rFonts w:ascii="EYInterstate Light" w:hAnsi="EYInterstate Light"/>
                <w:color w:val="000000" w:themeColor="background2"/>
                <w:sz w:val="18"/>
                <w:szCs w:val="18"/>
              </w:rPr>
              <w:t>Central implementation body</w:t>
            </w:r>
          </w:p>
        </w:tc>
        <w:tc>
          <w:tcPr>
            <w:tcW w:w="3681" w:type="dxa"/>
            <w:shd w:val="clear" w:color="auto" w:fill="auto"/>
          </w:tcPr>
          <w:p w14:paraId="05547EB4" w14:textId="77777777" w:rsidR="000753E9" w:rsidRDefault="000753E9" w:rsidP="001605A6">
            <w:pPr>
              <w:autoSpaceDE/>
              <w:autoSpaceDN/>
              <w:adjustRightInd/>
              <w:rPr>
                <w:rFonts w:ascii="EYInterstate Light" w:hAnsi="EYInterstate Light"/>
                <w:color w:val="000000" w:themeColor="background2"/>
                <w:sz w:val="18"/>
                <w:szCs w:val="18"/>
              </w:rPr>
            </w:pPr>
            <w:r>
              <w:rPr>
                <w:rFonts w:ascii="EYInterstate Light" w:hAnsi="EYInterstate Light"/>
                <w:color w:val="000000" w:themeColor="background2"/>
                <w:sz w:val="18"/>
                <w:szCs w:val="18"/>
              </w:rPr>
              <w:t xml:space="preserve">While the central implementation body consolidates all Australian stakeholders into one purchasing desk, this model still enables publishers to function in this newly formed market. </w:t>
            </w:r>
          </w:p>
          <w:p w14:paraId="158D77F7" w14:textId="77777777" w:rsidR="000753E9" w:rsidRDefault="000753E9" w:rsidP="001605A6">
            <w:pPr>
              <w:autoSpaceDE/>
              <w:autoSpaceDN/>
              <w:adjustRightInd/>
              <w:rPr>
                <w:rFonts w:ascii="EYInterstate Light" w:hAnsi="EYInterstate Light"/>
                <w:color w:val="000000" w:themeColor="background2"/>
                <w:sz w:val="18"/>
                <w:szCs w:val="18"/>
              </w:rPr>
            </w:pPr>
          </w:p>
          <w:p w14:paraId="6F3FF786" w14:textId="77777777" w:rsidR="000753E9" w:rsidRPr="009854B5" w:rsidRDefault="000753E9" w:rsidP="001605A6">
            <w:pPr>
              <w:autoSpaceDE/>
              <w:autoSpaceDN/>
              <w:adjustRightInd/>
              <w:rPr>
                <w:rFonts w:ascii="EYInterstate Light" w:hAnsi="EYInterstate Light"/>
                <w:color w:val="000000" w:themeColor="background2"/>
                <w:sz w:val="18"/>
                <w:szCs w:val="18"/>
              </w:rPr>
            </w:pPr>
            <w:r>
              <w:rPr>
                <w:rFonts w:ascii="EYInterstate Light" w:hAnsi="EYInterstate Light"/>
                <w:color w:val="000000" w:themeColor="background2"/>
                <w:sz w:val="18"/>
                <w:szCs w:val="18"/>
              </w:rPr>
              <w:t>Specifically, compared to the other models, the central implementation body still preserves the role of the publisher and competition for Australian-led research articles in their journals.</w:t>
            </w:r>
          </w:p>
        </w:tc>
      </w:tr>
      <w:tr w:rsidR="000753E9" w:rsidRPr="006119F9" w14:paraId="75611E61" w14:textId="77777777" w:rsidTr="006A645E">
        <w:tc>
          <w:tcPr>
            <w:tcW w:w="1528" w:type="dxa"/>
            <w:shd w:val="clear" w:color="auto" w:fill="auto"/>
          </w:tcPr>
          <w:p w14:paraId="38ED37CD" w14:textId="77777777" w:rsidR="000753E9" w:rsidRPr="009854B5" w:rsidRDefault="000753E9" w:rsidP="001605A6">
            <w:pPr>
              <w:autoSpaceDE/>
              <w:autoSpaceDN/>
              <w:adjustRightInd/>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 xml:space="preserve">Economic </w:t>
            </w:r>
            <w:r>
              <w:rPr>
                <w:rFonts w:ascii="EYInterstate Light" w:hAnsi="EYInterstate Light"/>
                <w:color w:val="000000" w:themeColor="background2"/>
                <w:sz w:val="18"/>
                <w:szCs w:val="18"/>
              </w:rPr>
              <w:t xml:space="preserve">and social </w:t>
            </w:r>
            <w:r w:rsidRPr="009854B5">
              <w:rPr>
                <w:rFonts w:ascii="EYInterstate Light" w:hAnsi="EYInterstate Light"/>
                <w:color w:val="000000" w:themeColor="background2"/>
                <w:sz w:val="18"/>
                <w:szCs w:val="18"/>
              </w:rPr>
              <w:t>impact</w:t>
            </w:r>
          </w:p>
        </w:tc>
        <w:tc>
          <w:tcPr>
            <w:tcW w:w="2436" w:type="dxa"/>
            <w:shd w:val="clear" w:color="auto" w:fill="auto"/>
          </w:tcPr>
          <w:p w14:paraId="7F827CE6" w14:textId="77777777" w:rsidR="000753E9" w:rsidRPr="009854B5" w:rsidRDefault="000753E9" w:rsidP="001605A6">
            <w:pPr>
              <w:autoSpaceDE/>
              <w:autoSpaceDN/>
              <w:adjustRightInd/>
              <w:spacing w:after="40"/>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The economic benefits across the Australian economy</w:t>
            </w:r>
          </w:p>
        </w:tc>
        <w:tc>
          <w:tcPr>
            <w:tcW w:w="1418" w:type="dxa"/>
            <w:shd w:val="clear" w:color="auto" w:fill="auto"/>
          </w:tcPr>
          <w:p w14:paraId="4BFE840E" w14:textId="77777777" w:rsidR="000753E9" w:rsidRPr="009854B5" w:rsidRDefault="000753E9" w:rsidP="001605A6">
            <w:pPr>
              <w:autoSpaceDE/>
              <w:autoSpaceDN/>
              <w:adjustRightInd/>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Central implementation body</w:t>
            </w:r>
          </w:p>
        </w:tc>
        <w:tc>
          <w:tcPr>
            <w:tcW w:w="3681" w:type="dxa"/>
            <w:shd w:val="clear" w:color="auto" w:fill="auto"/>
          </w:tcPr>
          <w:p w14:paraId="7E1CFAB4" w14:textId="77777777" w:rsidR="000753E9" w:rsidRPr="003E2A4A" w:rsidRDefault="000753E9" w:rsidP="001605A6">
            <w:pPr>
              <w:autoSpaceDE/>
              <w:autoSpaceDN/>
              <w:adjustRightInd/>
              <w:rPr>
                <w:rFonts w:ascii="EYInterstate Light" w:hAnsi="EYInterstate Light"/>
                <w:color w:val="000000" w:themeColor="background2"/>
                <w:sz w:val="18"/>
                <w:szCs w:val="18"/>
              </w:rPr>
            </w:pPr>
            <w:r w:rsidRPr="003E2A4A">
              <w:rPr>
                <w:rFonts w:ascii="EYInterstate Light" w:hAnsi="EYInterstate Light"/>
                <w:color w:val="000000" w:themeColor="background2"/>
                <w:sz w:val="18"/>
                <w:szCs w:val="18"/>
              </w:rPr>
              <w:t>The model that significantly increases Australia’s access to journal publications is critical to maximising the economic and social benefits.</w:t>
            </w:r>
          </w:p>
          <w:p w14:paraId="38CAC1A1" w14:textId="77777777" w:rsidR="000753E9" w:rsidRPr="003E2A4A" w:rsidRDefault="000753E9" w:rsidP="001605A6">
            <w:pPr>
              <w:autoSpaceDE/>
              <w:autoSpaceDN/>
              <w:adjustRightInd/>
              <w:rPr>
                <w:rFonts w:ascii="EYInterstate Light" w:hAnsi="EYInterstate Light"/>
                <w:color w:val="000000" w:themeColor="background2"/>
                <w:sz w:val="18"/>
                <w:szCs w:val="18"/>
              </w:rPr>
            </w:pPr>
          </w:p>
          <w:p w14:paraId="5573093D" w14:textId="33A75522" w:rsidR="000753E9" w:rsidRPr="009854B5" w:rsidRDefault="000753E9" w:rsidP="001605A6">
            <w:pPr>
              <w:autoSpaceDE/>
              <w:autoSpaceDN/>
              <w:adjustRightInd/>
              <w:rPr>
                <w:rFonts w:ascii="EYInterstate Light" w:hAnsi="EYInterstate Light"/>
                <w:color w:val="000000" w:themeColor="background2"/>
                <w:sz w:val="18"/>
                <w:szCs w:val="18"/>
              </w:rPr>
            </w:pPr>
            <w:r w:rsidRPr="003E2A4A">
              <w:rPr>
                <w:rFonts w:ascii="EYInterstate Light" w:hAnsi="EYInterstate Light"/>
                <w:color w:val="000000" w:themeColor="background2"/>
                <w:sz w:val="18"/>
                <w:szCs w:val="18"/>
              </w:rPr>
              <w:t xml:space="preserve">The central </w:t>
            </w:r>
            <w:r w:rsidR="00004333">
              <w:rPr>
                <w:rFonts w:ascii="EYInterstate Light" w:hAnsi="EYInterstate Light"/>
                <w:color w:val="000000" w:themeColor="background2"/>
                <w:sz w:val="18"/>
                <w:szCs w:val="18"/>
              </w:rPr>
              <w:t>implementation</w:t>
            </w:r>
            <w:r w:rsidRPr="003E2A4A">
              <w:rPr>
                <w:rFonts w:ascii="EYInterstate Light" w:hAnsi="EYInterstate Light"/>
                <w:color w:val="000000" w:themeColor="background2"/>
                <w:sz w:val="18"/>
                <w:szCs w:val="18"/>
              </w:rPr>
              <w:t xml:space="preserve"> body maximises Australia’s access to new research, creating the biggest flow on effect to industry and the public.</w:t>
            </w:r>
          </w:p>
          <w:p w14:paraId="39365B80" w14:textId="77777777" w:rsidR="000753E9" w:rsidRPr="009854B5" w:rsidRDefault="000753E9" w:rsidP="001605A6">
            <w:pPr>
              <w:autoSpaceDE/>
              <w:autoSpaceDN/>
              <w:adjustRightInd/>
              <w:rPr>
                <w:rFonts w:ascii="EYInterstate Light" w:hAnsi="EYInterstate Light"/>
                <w:color w:val="000000" w:themeColor="background2"/>
                <w:sz w:val="18"/>
                <w:szCs w:val="18"/>
              </w:rPr>
            </w:pPr>
          </w:p>
        </w:tc>
      </w:tr>
      <w:tr w:rsidR="000753E9" w:rsidRPr="006119F9" w14:paraId="480EFCE8" w14:textId="77777777" w:rsidTr="006A645E">
        <w:tc>
          <w:tcPr>
            <w:tcW w:w="9063" w:type="dxa"/>
            <w:gridSpan w:val="4"/>
            <w:shd w:val="clear" w:color="auto" w:fill="D2D2DA"/>
          </w:tcPr>
          <w:p w14:paraId="29D76A1F" w14:textId="77777777" w:rsidR="000753E9" w:rsidRPr="009854B5" w:rsidRDefault="000753E9" w:rsidP="001605A6">
            <w:pPr>
              <w:autoSpaceDE/>
              <w:autoSpaceDN/>
              <w:adjustRightInd/>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 xml:space="preserve">Workability </w:t>
            </w:r>
          </w:p>
        </w:tc>
      </w:tr>
      <w:tr w:rsidR="000753E9" w:rsidRPr="006119F9" w14:paraId="705FDBDF" w14:textId="77777777" w:rsidTr="006A645E">
        <w:tc>
          <w:tcPr>
            <w:tcW w:w="1528" w:type="dxa"/>
            <w:shd w:val="clear" w:color="auto" w:fill="auto"/>
          </w:tcPr>
          <w:p w14:paraId="02091B5D" w14:textId="77777777" w:rsidR="000753E9" w:rsidRPr="009854B5" w:rsidRDefault="000753E9" w:rsidP="001605A6">
            <w:pPr>
              <w:autoSpaceDE/>
              <w:autoSpaceDN/>
              <w:adjustRightInd/>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 xml:space="preserve">Deliverability </w:t>
            </w:r>
          </w:p>
        </w:tc>
        <w:tc>
          <w:tcPr>
            <w:tcW w:w="2436" w:type="dxa"/>
            <w:shd w:val="clear" w:color="auto" w:fill="auto"/>
          </w:tcPr>
          <w:p w14:paraId="326B7269" w14:textId="77777777" w:rsidR="000753E9" w:rsidRDefault="000753E9" w:rsidP="001605A6">
            <w:pPr>
              <w:autoSpaceDE/>
              <w:autoSpaceDN/>
              <w:adjustRightInd/>
              <w:spacing w:after="40"/>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T</w:t>
            </w:r>
            <w:r>
              <w:rPr>
                <w:rFonts w:ascii="EYInterstate Light" w:hAnsi="EYInterstate Light"/>
                <w:color w:val="000000" w:themeColor="background2"/>
                <w:sz w:val="18"/>
                <w:szCs w:val="18"/>
              </w:rPr>
              <w:t>he li</w:t>
            </w:r>
            <w:r w:rsidRPr="006119F9">
              <w:rPr>
                <w:rFonts w:ascii="EYInterstate Light" w:hAnsi="EYInterstate Light"/>
                <w:color w:val="000000" w:themeColor="background2"/>
                <w:sz w:val="18"/>
                <w:szCs w:val="18"/>
              </w:rPr>
              <w:t>kelihood</w:t>
            </w:r>
            <w:r>
              <w:rPr>
                <w:rFonts w:ascii="EYInterstate Light" w:hAnsi="EYInterstate Light"/>
                <w:color w:val="000000" w:themeColor="background2"/>
                <w:sz w:val="18"/>
                <w:szCs w:val="18"/>
              </w:rPr>
              <w:t xml:space="preserve"> of successfull</w:t>
            </w:r>
            <w:r w:rsidRPr="006119F9">
              <w:rPr>
                <w:rFonts w:ascii="EYInterstate Light" w:hAnsi="EYInterstate Light"/>
                <w:color w:val="000000" w:themeColor="background2"/>
                <w:sz w:val="18"/>
                <w:szCs w:val="18"/>
              </w:rPr>
              <w:t>y</w:t>
            </w:r>
            <w:r>
              <w:rPr>
                <w:rFonts w:ascii="EYInterstate Light" w:hAnsi="EYInterstate Light"/>
                <w:color w:val="000000" w:themeColor="background2"/>
                <w:sz w:val="18"/>
                <w:szCs w:val="18"/>
              </w:rPr>
              <w:t xml:space="preserve"> delivering each open access model.</w:t>
            </w:r>
          </w:p>
          <w:p w14:paraId="5F1105C1" w14:textId="77777777" w:rsidR="000753E9" w:rsidRDefault="000753E9" w:rsidP="001605A6">
            <w:pPr>
              <w:autoSpaceDE/>
              <w:autoSpaceDN/>
              <w:adjustRightInd/>
              <w:spacing w:after="40"/>
              <w:rPr>
                <w:rFonts w:ascii="EYInterstate Light" w:hAnsi="EYInterstate Light"/>
                <w:color w:val="000000" w:themeColor="background2"/>
                <w:sz w:val="18"/>
                <w:szCs w:val="18"/>
              </w:rPr>
            </w:pPr>
          </w:p>
          <w:p w14:paraId="2B16A544" w14:textId="77777777" w:rsidR="000753E9" w:rsidRPr="009854B5" w:rsidRDefault="000753E9" w:rsidP="001605A6">
            <w:pPr>
              <w:autoSpaceDE/>
              <w:autoSpaceDN/>
              <w:adjustRightInd/>
              <w:spacing w:after="40"/>
              <w:rPr>
                <w:rFonts w:ascii="EYInterstate Light" w:hAnsi="EYInterstate Light"/>
                <w:color w:val="000000" w:themeColor="background2"/>
                <w:sz w:val="18"/>
                <w:szCs w:val="18"/>
              </w:rPr>
            </w:pPr>
            <w:r>
              <w:rPr>
                <w:rFonts w:ascii="EYInterstate Light" w:hAnsi="EYInterstate Light"/>
                <w:color w:val="000000" w:themeColor="background2"/>
                <w:sz w:val="18"/>
                <w:szCs w:val="18"/>
              </w:rPr>
              <w:t>Considers, impleme</w:t>
            </w:r>
            <w:r w:rsidRPr="006119F9">
              <w:rPr>
                <w:rFonts w:ascii="EYInterstate Light" w:hAnsi="EYInterstate Light"/>
                <w:color w:val="000000" w:themeColor="background2"/>
                <w:sz w:val="18"/>
                <w:szCs w:val="18"/>
              </w:rPr>
              <w:t>ntation</w:t>
            </w:r>
            <w:r>
              <w:rPr>
                <w:rFonts w:ascii="EYInterstate Light" w:hAnsi="EYInterstate Light"/>
                <w:color w:val="000000" w:themeColor="background2"/>
                <w:sz w:val="18"/>
                <w:szCs w:val="18"/>
              </w:rPr>
              <w:t xml:space="preserve"> strategy, likely governance structures and delivery methodology.</w:t>
            </w:r>
          </w:p>
        </w:tc>
        <w:tc>
          <w:tcPr>
            <w:tcW w:w="1418" w:type="dxa"/>
            <w:shd w:val="clear" w:color="auto" w:fill="auto"/>
          </w:tcPr>
          <w:p w14:paraId="1ECEE79D" w14:textId="77777777" w:rsidR="000753E9" w:rsidRPr="009854B5" w:rsidRDefault="000753E9" w:rsidP="001605A6">
            <w:pPr>
              <w:autoSpaceDE/>
              <w:autoSpaceDN/>
              <w:adjustRightInd/>
              <w:rPr>
                <w:rFonts w:ascii="EYInterstate Light" w:hAnsi="EYInterstate Light"/>
                <w:color w:val="000000" w:themeColor="background2"/>
                <w:sz w:val="18"/>
                <w:szCs w:val="18"/>
              </w:rPr>
            </w:pPr>
            <w:r>
              <w:rPr>
                <w:rFonts w:ascii="EYInterstate Light" w:hAnsi="EYInterstate Light"/>
                <w:color w:val="000000" w:themeColor="background2"/>
                <w:sz w:val="18"/>
                <w:szCs w:val="18"/>
              </w:rPr>
              <w:t>Funding mandates</w:t>
            </w:r>
          </w:p>
        </w:tc>
        <w:tc>
          <w:tcPr>
            <w:tcW w:w="3681" w:type="dxa"/>
            <w:shd w:val="clear" w:color="auto" w:fill="auto"/>
          </w:tcPr>
          <w:p w14:paraId="02983793" w14:textId="240EF9C1" w:rsidR="000753E9" w:rsidRDefault="000753E9" w:rsidP="001605A6">
            <w:pPr>
              <w:autoSpaceDE/>
              <w:autoSpaceDN/>
              <w:adjustRightInd/>
              <w:rPr>
                <w:rFonts w:ascii="EYInterstate Light" w:hAnsi="EYInterstate Light"/>
                <w:color w:val="000000" w:themeColor="background2"/>
                <w:sz w:val="18"/>
                <w:szCs w:val="18"/>
              </w:rPr>
            </w:pPr>
            <w:r w:rsidRPr="009B4FA5">
              <w:rPr>
                <w:rFonts w:ascii="EYInterstate Light" w:hAnsi="EYInterstate Light"/>
                <w:color w:val="000000" w:themeColor="background2"/>
                <w:sz w:val="18"/>
                <w:szCs w:val="18"/>
              </w:rPr>
              <w:t xml:space="preserve">Compared to the other open access models, the funding mandates model is likely to be the easiest to </w:t>
            </w:r>
            <w:r>
              <w:rPr>
                <w:rFonts w:ascii="EYInterstate Light" w:hAnsi="EYInterstate Light"/>
                <w:color w:val="000000" w:themeColor="background2"/>
                <w:sz w:val="18"/>
                <w:szCs w:val="18"/>
              </w:rPr>
              <w:t xml:space="preserve">implement requiring coordination across government organisations. </w:t>
            </w:r>
            <w:r w:rsidR="00873FA9">
              <w:rPr>
                <w:rFonts w:ascii="EYInterstate Light" w:hAnsi="EYInterstate Light"/>
                <w:color w:val="000000" w:themeColor="background2"/>
                <w:sz w:val="18"/>
                <w:szCs w:val="18"/>
              </w:rPr>
              <w:t>However, such a mandate would require resourcing to ensure compliance.</w:t>
            </w:r>
          </w:p>
          <w:p w14:paraId="0F026763" w14:textId="77777777" w:rsidR="000753E9" w:rsidRPr="009B4FA5" w:rsidRDefault="000753E9" w:rsidP="001605A6">
            <w:pPr>
              <w:autoSpaceDE/>
              <w:autoSpaceDN/>
              <w:adjustRightInd/>
              <w:rPr>
                <w:rFonts w:ascii="EYInterstate Light" w:hAnsi="EYInterstate Light"/>
                <w:color w:val="000000" w:themeColor="background2"/>
                <w:sz w:val="18"/>
                <w:szCs w:val="18"/>
              </w:rPr>
            </w:pPr>
          </w:p>
          <w:p w14:paraId="6A44E707" w14:textId="2292BA4F" w:rsidR="000753E9" w:rsidRPr="009854B5" w:rsidRDefault="000753E9" w:rsidP="001605A6">
            <w:pPr>
              <w:autoSpaceDE/>
              <w:autoSpaceDN/>
              <w:adjustRightInd/>
              <w:rPr>
                <w:rFonts w:ascii="EYInterstate Light" w:hAnsi="EYInterstate Light"/>
                <w:color w:val="000000" w:themeColor="background2"/>
                <w:sz w:val="18"/>
                <w:szCs w:val="18"/>
              </w:rPr>
            </w:pPr>
            <w:r w:rsidRPr="009B4FA5">
              <w:rPr>
                <w:rFonts w:ascii="EYInterstate Light" w:hAnsi="EYInterstate Light"/>
                <w:color w:val="000000" w:themeColor="background2"/>
                <w:sz w:val="18"/>
                <w:szCs w:val="18"/>
              </w:rPr>
              <w:t xml:space="preserve">The central </w:t>
            </w:r>
            <w:r w:rsidR="00004333">
              <w:rPr>
                <w:rFonts w:ascii="EYInterstate Light" w:hAnsi="EYInterstate Light"/>
                <w:color w:val="000000" w:themeColor="background2"/>
                <w:sz w:val="18"/>
                <w:szCs w:val="18"/>
              </w:rPr>
              <w:t>implementation</w:t>
            </w:r>
            <w:r w:rsidRPr="009B4FA5">
              <w:rPr>
                <w:rFonts w:ascii="EYInterstate Light" w:hAnsi="EYInterstate Light"/>
                <w:color w:val="000000" w:themeColor="background2"/>
                <w:sz w:val="18"/>
                <w:szCs w:val="18"/>
              </w:rPr>
              <w:t xml:space="preserve"> body and repository-based open access </w:t>
            </w:r>
            <w:r w:rsidR="005C29DA">
              <w:rPr>
                <w:rFonts w:ascii="EYInterstate Light" w:hAnsi="EYInterstate Light"/>
                <w:color w:val="000000" w:themeColor="background2"/>
                <w:sz w:val="18"/>
                <w:szCs w:val="18"/>
              </w:rPr>
              <w:t>need</w:t>
            </w:r>
            <w:r w:rsidRPr="009B4FA5">
              <w:rPr>
                <w:rFonts w:ascii="EYInterstate Light" w:hAnsi="EYInterstate Light"/>
                <w:color w:val="000000" w:themeColor="background2"/>
                <w:sz w:val="18"/>
                <w:szCs w:val="18"/>
              </w:rPr>
              <w:t xml:space="preserve"> agreement and investment across multiple stakeholder groups and coordination across various departments.</w:t>
            </w:r>
          </w:p>
        </w:tc>
      </w:tr>
      <w:tr w:rsidR="000753E9" w:rsidRPr="006119F9" w14:paraId="65014F0F" w14:textId="77777777" w:rsidTr="006A645E">
        <w:trPr>
          <w:trHeight w:val="642"/>
        </w:trPr>
        <w:tc>
          <w:tcPr>
            <w:tcW w:w="1528" w:type="dxa"/>
            <w:shd w:val="clear" w:color="auto" w:fill="auto"/>
          </w:tcPr>
          <w:p w14:paraId="2882DC2B" w14:textId="77777777" w:rsidR="000753E9" w:rsidRPr="009854B5" w:rsidRDefault="000753E9" w:rsidP="001605A6">
            <w:pPr>
              <w:autoSpaceDE/>
              <w:autoSpaceDN/>
              <w:adjustRightInd/>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 xml:space="preserve">Strategic alignment </w:t>
            </w:r>
          </w:p>
        </w:tc>
        <w:tc>
          <w:tcPr>
            <w:tcW w:w="2436" w:type="dxa"/>
            <w:shd w:val="clear" w:color="auto" w:fill="auto"/>
          </w:tcPr>
          <w:p w14:paraId="3F4535AA" w14:textId="77777777" w:rsidR="000753E9" w:rsidRPr="009854B5" w:rsidRDefault="000753E9" w:rsidP="001605A6">
            <w:pPr>
              <w:autoSpaceDE/>
              <w:autoSpaceDN/>
              <w:adjustRightInd/>
              <w:spacing w:after="40"/>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The models alignment with the strategies goals and objectives</w:t>
            </w:r>
          </w:p>
        </w:tc>
        <w:tc>
          <w:tcPr>
            <w:tcW w:w="1418" w:type="dxa"/>
            <w:shd w:val="clear" w:color="auto" w:fill="auto"/>
          </w:tcPr>
          <w:p w14:paraId="5D287EA4" w14:textId="77777777" w:rsidR="000753E9" w:rsidRPr="009854B5" w:rsidRDefault="000753E9" w:rsidP="001605A6">
            <w:pPr>
              <w:autoSpaceDE/>
              <w:autoSpaceDN/>
              <w:adjustRightInd/>
              <w:rPr>
                <w:rFonts w:ascii="EYInterstate Light" w:hAnsi="EYInterstate Light"/>
                <w:color w:val="000000" w:themeColor="background2"/>
                <w:sz w:val="18"/>
                <w:szCs w:val="18"/>
              </w:rPr>
            </w:pPr>
            <w:r w:rsidRPr="009854B5">
              <w:rPr>
                <w:rFonts w:ascii="EYInterstate Light" w:hAnsi="EYInterstate Light"/>
                <w:color w:val="000000" w:themeColor="background2"/>
                <w:sz w:val="18"/>
                <w:szCs w:val="18"/>
              </w:rPr>
              <w:t>Central implementation body</w:t>
            </w:r>
          </w:p>
        </w:tc>
        <w:tc>
          <w:tcPr>
            <w:tcW w:w="3681" w:type="dxa"/>
            <w:shd w:val="clear" w:color="auto" w:fill="auto"/>
          </w:tcPr>
          <w:p w14:paraId="2DEECF7A" w14:textId="0BB88C62" w:rsidR="00887DFB" w:rsidRPr="007978A1" w:rsidRDefault="00887DFB" w:rsidP="00887DFB">
            <w:pPr>
              <w:autoSpaceDE/>
              <w:autoSpaceDN/>
              <w:adjustRightInd/>
              <w:rPr>
                <w:rFonts w:ascii="EYInterstate Light" w:hAnsi="EYInterstate Light"/>
                <w:color w:val="000000" w:themeColor="background2"/>
                <w:sz w:val="18"/>
                <w:szCs w:val="18"/>
              </w:rPr>
            </w:pPr>
            <w:r w:rsidRPr="007978A1">
              <w:rPr>
                <w:rFonts w:ascii="EYInterstate Light" w:hAnsi="EYInterstate Light"/>
                <w:color w:val="000000" w:themeColor="background2"/>
                <w:sz w:val="18"/>
                <w:szCs w:val="18"/>
              </w:rPr>
              <w:t xml:space="preserve">The central implementing body at full scheme aligns with the </w:t>
            </w:r>
            <w:r>
              <w:rPr>
                <w:rFonts w:ascii="EYInterstate Light" w:hAnsi="EYInterstate Light"/>
                <w:color w:val="000000" w:themeColor="background2"/>
                <w:sz w:val="18"/>
                <w:szCs w:val="18"/>
              </w:rPr>
              <w:t xml:space="preserve">guiding principles </w:t>
            </w:r>
            <w:r w:rsidRPr="007978A1">
              <w:rPr>
                <w:rFonts w:ascii="EYInterstate Light" w:hAnsi="EYInterstate Light"/>
                <w:color w:val="000000" w:themeColor="background2"/>
                <w:sz w:val="18"/>
                <w:szCs w:val="18"/>
              </w:rPr>
              <w:t xml:space="preserve">of </w:t>
            </w:r>
            <w:r w:rsidR="003C53CF">
              <w:rPr>
                <w:rFonts w:ascii="EYInterstate Light" w:hAnsi="EYInterstate Light"/>
                <w:color w:val="000000" w:themeColor="background2"/>
                <w:sz w:val="18"/>
                <w:szCs w:val="18"/>
              </w:rPr>
              <w:t>s</w:t>
            </w:r>
            <w:r w:rsidRPr="007978A1">
              <w:rPr>
                <w:rFonts w:ascii="EYInterstate Light" w:hAnsi="EYInterstate Light"/>
                <w:color w:val="000000" w:themeColor="background2"/>
                <w:sz w:val="18"/>
                <w:szCs w:val="18"/>
              </w:rPr>
              <w:t xml:space="preserve">cheme, by facilitating access to academic journal articles and </w:t>
            </w:r>
            <w:r>
              <w:rPr>
                <w:rFonts w:ascii="EYInterstate Light" w:hAnsi="EYInterstate Light"/>
                <w:color w:val="000000" w:themeColor="background2"/>
                <w:sz w:val="18"/>
                <w:szCs w:val="18"/>
              </w:rPr>
              <w:t>publishing of</w:t>
            </w:r>
            <w:r w:rsidRPr="007978A1">
              <w:rPr>
                <w:rFonts w:ascii="EYInterstate Light" w:hAnsi="EYInterstate Light"/>
                <w:color w:val="000000" w:themeColor="background2"/>
                <w:sz w:val="18"/>
                <w:szCs w:val="18"/>
              </w:rPr>
              <w:t xml:space="preserve"> Australian-led research </w:t>
            </w:r>
            <w:r>
              <w:rPr>
                <w:rFonts w:ascii="EYInterstate Light" w:hAnsi="EYInterstate Light"/>
                <w:color w:val="000000" w:themeColor="background2"/>
                <w:sz w:val="18"/>
                <w:szCs w:val="18"/>
              </w:rPr>
              <w:t>as open access</w:t>
            </w:r>
            <w:r w:rsidRPr="007978A1">
              <w:rPr>
                <w:rFonts w:ascii="EYInterstate Light" w:hAnsi="EYInterstate Light"/>
                <w:color w:val="000000" w:themeColor="background2"/>
                <w:sz w:val="18"/>
                <w:szCs w:val="18"/>
              </w:rPr>
              <w:t xml:space="preserve">. </w:t>
            </w:r>
          </w:p>
          <w:p w14:paraId="3D9A529D" w14:textId="77777777" w:rsidR="00887DFB" w:rsidRPr="007978A1" w:rsidRDefault="00887DFB" w:rsidP="00887DFB">
            <w:pPr>
              <w:autoSpaceDE/>
              <w:autoSpaceDN/>
              <w:adjustRightInd/>
              <w:rPr>
                <w:rFonts w:ascii="EYInterstate Light" w:hAnsi="EYInterstate Light"/>
                <w:color w:val="000000" w:themeColor="background2"/>
                <w:sz w:val="18"/>
                <w:szCs w:val="18"/>
              </w:rPr>
            </w:pPr>
          </w:p>
          <w:p w14:paraId="64601BF6" w14:textId="2F6D273A" w:rsidR="00887DFB" w:rsidRDefault="00887DFB" w:rsidP="00887DFB">
            <w:pPr>
              <w:autoSpaceDE/>
              <w:autoSpaceDN/>
              <w:adjustRightInd/>
              <w:rPr>
                <w:rFonts w:ascii="EYInterstate Light" w:hAnsi="EYInterstate Light"/>
                <w:color w:val="000000" w:themeColor="background2"/>
                <w:sz w:val="18"/>
                <w:szCs w:val="18"/>
              </w:rPr>
            </w:pPr>
            <w:r>
              <w:rPr>
                <w:rFonts w:ascii="EYInterstate Light" w:hAnsi="EYInterstate Light"/>
                <w:color w:val="000000" w:themeColor="background2"/>
                <w:sz w:val="18"/>
                <w:szCs w:val="18"/>
              </w:rPr>
              <w:lastRenderedPageBreak/>
              <w:t xml:space="preserve">This model also enables Australia to leveraging existing expenditure within the system, to generate greater equity across the research. </w:t>
            </w:r>
          </w:p>
          <w:p w14:paraId="23C8AF7F" w14:textId="77777777" w:rsidR="000753E9" w:rsidRPr="009854B5" w:rsidRDefault="000753E9" w:rsidP="00887DFB">
            <w:pPr>
              <w:autoSpaceDE/>
              <w:autoSpaceDN/>
              <w:adjustRightInd/>
              <w:rPr>
                <w:rFonts w:ascii="EYInterstate Light" w:hAnsi="EYInterstate Light"/>
                <w:color w:val="000000" w:themeColor="background2"/>
                <w:sz w:val="18"/>
                <w:szCs w:val="18"/>
              </w:rPr>
            </w:pPr>
          </w:p>
        </w:tc>
      </w:tr>
    </w:tbl>
    <w:p w14:paraId="7E42EDED" w14:textId="77777777" w:rsidR="000753E9" w:rsidRPr="006119F9" w:rsidRDefault="000753E9" w:rsidP="000753E9">
      <w:pPr>
        <w:autoSpaceDE/>
        <w:autoSpaceDN/>
        <w:adjustRightInd/>
      </w:pPr>
    </w:p>
    <w:p w14:paraId="68AEAA7C" w14:textId="77777777" w:rsidR="000753E9" w:rsidRPr="006119F9" w:rsidRDefault="000753E9" w:rsidP="000753E9">
      <w:pPr>
        <w:keepNext/>
        <w:numPr>
          <w:ilvl w:val="1"/>
          <w:numId w:val="0"/>
        </w:numPr>
        <w:tabs>
          <w:tab w:val="num" w:pos="0"/>
        </w:tabs>
        <w:spacing w:before="120" w:after="120"/>
        <w:ind w:left="851" w:hanging="851"/>
        <w:outlineLvl w:val="1"/>
        <w:rPr>
          <w:b/>
          <w:sz w:val="28"/>
          <w:szCs w:val="24"/>
        </w:rPr>
      </w:pPr>
      <w:bookmarkStart w:id="84" w:name="_Toc105137323"/>
      <w:r w:rsidRPr="006119F9">
        <w:rPr>
          <w:b/>
          <w:sz w:val="28"/>
          <w:szCs w:val="24"/>
        </w:rPr>
        <w:t>Summary of MCA findings</w:t>
      </w:r>
      <w:bookmarkEnd w:id="84"/>
    </w:p>
    <w:p w14:paraId="0FCF4DF6" w14:textId="597487C2" w:rsidR="000753E9" w:rsidRPr="006119F9" w:rsidRDefault="000753E9" w:rsidP="00CB64B4">
      <w:pPr>
        <w:pStyle w:val="EYBodytextwithoutparaspace"/>
      </w:pPr>
      <w:r w:rsidRPr="006119F9">
        <w:t xml:space="preserve">The MCA establishes preferences between the </w:t>
      </w:r>
      <w:r w:rsidR="007A70BB">
        <w:t xml:space="preserve">possible </w:t>
      </w:r>
      <w:r w:rsidRPr="006119F9">
        <w:t xml:space="preserve">open access models </w:t>
      </w:r>
      <w:r w:rsidR="007A70BB">
        <w:t>based on</w:t>
      </w:r>
      <w:r w:rsidRPr="006119F9">
        <w:t xml:space="preserve"> eight criteria. The criteria were developed to ensure the objectives of Australia’s Strategy towards open access were captured through analysis to provide a measurable point of differentiation between open access models </w:t>
      </w:r>
      <w:r w:rsidR="00F843FA">
        <w:t>compared to</w:t>
      </w:r>
      <w:r w:rsidRPr="006119F9">
        <w:t xml:space="preserve"> the base case.</w:t>
      </w:r>
    </w:p>
    <w:p w14:paraId="1EEE93F6" w14:textId="7438D451" w:rsidR="000753E9" w:rsidRPr="006119F9" w:rsidRDefault="000753E9" w:rsidP="00CB64B4">
      <w:pPr>
        <w:pStyle w:val="EYBodytextwithoutparaspace"/>
      </w:pPr>
      <w:r w:rsidRPr="006119F9">
        <w:t>These models are not mutually exclusive, and theoretically, Australia could pursue each option concurrently. However, each model is assessed against the base case, excluding the inclusion of other open science and open scholarship pursuits</w:t>
      </w:r>
      <w:r w:rsidR="00FC2263">
        <w:t xml:space="preserve"> as this is common across all models. </w:t>
      </w:r>
      <w:r w:rsidRPr="006119F9">
        <w:t>Formal weighting has not been applied to the criteria, and therefore, the preferred open access model needs careful consideration of other project objectives, benefits and constraints, as well as additional objectives that the government may pursue.</w:t>
      </w:r>
    </w:p>
    <w:p w14:paraId="41AF03AF" w14:textId="35F7C8B7" w:rsidR="000753E9" w:rsidRPr="0062710A" w:rsidRDefault="000753E9" w:rsidP="00A577AC">
      <w:pPr>
        <w:pStyle w:val="EYBodytextwithparaspace"/>
        <w:rPr>
          <w:rFonts w:ascii="EYInterstate" w:hAnsi="EYInterstate"/>
          <w:sz w:val="24"/>
          <w:szCs w:val="24"/>
        </w:rPr>
      </w:pPr>
      <w:r w:rsidRPr="0062710A">
        <w:rPr>
          <w:rFonts w:ascii="EYInterstate" w:hAnsi="EYInterstate"/>
          <w:sz w:val="24"/>
          <w:szCs w:val="24"/>
        </w:rPr>
        <w:t xml:space="preserve">Preferred </w:t>
      </w:r>
      <w:r w:rsidR="00BD3258">
        <w:rPr>
          <w:rFonts w:ascii="EYInterstate" w:hAnsi="EYInterstate"/>
          <w:sz w:val="24"/>
          <w:szCs w:val="24"/>
        </w:rPr>
        <w:t>o</w:t>
      </w:r>
      <w:r w:rsidRPr="0062710A">
        <w:rPr>
          <w:rFonts w:ascii="EYInterstate" w:hAnsi="EYInterstate"/>
          <w:sz w:val="24"/>
          <w:szCs w:val="24"/>
        </w:rPr>
        <w:t xml:space="preserve">pen </w:t>
      </w:r>
      <w:r w:rsidR="00246B10">
        <w:rPr>
          <w:rFonts w:ascii="EYInterstate" w:hAnsi="EYInterstate"/>
          <w:sz w:val="24"/>
          <w:szCs w:val="24"/>
        </w:rPr>
        <w:t>a</w:t>
      </w:r>
      <w:r w:rsidRPr="0062710A">
        <w:rPr>
          <w:rFonts w:ascii="EYInterstate" w:hAnsi="EYInterstate"/>
          <w:sz w:val="24"/>
          <w:szCs w:val="24"/>
        </w:rPr>
        <w:t xml:space="preserve">ccess </w:t>
      </w:r>
      <w:r w:rsidR="00246B10">
        <w:rPr>
          <w:rFonts w:ascii="EYInterstate" w:hAnsi="EYInterstate"/>
          <w:sz w:val="24"/>
          <w:szCs w:val="24"/>
        </w:rPr>
        <w:t>m</w:t>
      </w:r>
      <w:r w:rsidRPr="0062710A">
        <w:rPr>
          <w:rFonts w:ascii="EYInterstate" w:hAnsi="EYInterstate"/>
          <w:sz w:val="24"/>
          <w:szCs w:val="24"/>
        </w:rPr>
        <w:t xml:space="preserve">odel </w:t>
      </w:r>
      <w:r w:rsidR="00246B10">
        <w:rPr>
          <w:rFonts w:ascii="EYInterstate" w:hAnsi="EYInterstate"/>
          <w:sz w:val="24"/>
          <w:szCs w:val="24"/>
        </w:rPr>
        <w:t>—</w:t>
      </w:r>
      <w:r w:rsidRPr="0062710A">
        <w:rPr>
          <w:rFonts w:ascii="EYInterstate" w:hAnsi="EYInterstate"/>
          <w:sz w:val="24"/>
          <w:szCs w:val="24"/>
        </w:rPr>
        <w:t xml:space="preserve"> Central </w:t>
      </w:r>
      <w:r w:rsidR="00246B10">
        <w:rPr>
          <w:rFonts w:ascii="EYInterstate" w:hAnsi="EYInterstate"/>
          <w:sz w:val="24"/>
          <w:szCs w:val="24"/>
        </w:rPr>
        <w:t>i</w:t>
      </w:r>
      <w:r w:rsidRPr="0062710A">
        <w:rPr>
          <w:rFonts w:ascii="EYInterstate" w:hAnsi="EYInterstate"/>
          <w:sz w:val="24"/>
          <w:szCs w:val="24"/>
        </w:rPr>
        <w:t>mplement</w:t>
      </w:r>
      <w:r w:rsidR="001D0CB8" w:rsidRPr="0062710A">
        <w:rPr>
          <w:rFonts w:ascii="EYInterstate" w:hAnsi="EYInterstate"/>
          <w:sz w:val="24"/>
          <w:szCs w:val="24"/>
        </w:rPr>
        <w:t>ation</w:t>
      </w:r>
      <w:r w:rsidRPr="0062710A">
        <w:rPr>
          <w:rFonts w:ascii="EYInterstate" w:hAnsi="EYInterstate"/>
          <w:sz w:val="24"/>
          <w:szCs w:val="24"/>
        </w:rPr>
        <w:t xml:space="preserve"> </w:t>
      </w:r>
      <w:r w:rsidR="00246B10">
        <w:rPr>
          <w:rFonts w:ascii="EYInterstate" w:hAnsi="EYInterstate"/>
          <w:sz w:val="24"/>
          <w:szCs w:val="24"/>
        </w:rPr>
        <w:t>b</w:t>
      </w:r>
      <w:r w:rsidRPr="0062710A">
        <w:rPr>
          <w:rFonts w:ascii="EYInterstate" w:hAnsi="EYInterstate"/>
          <w:sz w:val="24"/>
          <w:szCs w:val="24"/>
        </w:rPr>
        <w:t>ody</w:t>
      </w:r>
    </w:p>
    <w:p w14:paraId="722D16B4" w14:textId="6B8411A4" w:rsidR="000753E9" w:rsidRPr="006119F9" w:rsidRDefault="000753E9" w:rsidP="00FC2263">
      <w:pPr>
        <w:pStyle w:val="EYBodytextwithoutparaspace"/>
      </w:pPr>
      <w:r w:rsidRPr="006119F9">
        <w:t xml:space="preserve">The primary differentiator between each open access model is its ability to increase Australia’s access to </w:t>
      </w:r>
      <w:r w:rsidR="00B91F2B">
        <w:t xml:space="preserve">international </w:t>
      </w:r>
      <w:r w:rsidRPr="006119F9">
        <w:t>academic journals. Australian-led research is only a small portion of total academic content and facilitating access to the international research content is crucial to achieving the greatest economic uplift.</w:t>
      </w:r>
    </w:p>
    <w:p w14:paraId="46CCF831" w14:textId="41BC7809" w:rsidR="000753E9" w:rsidRPr="006119F9" w:rsidRDefault="000753E9" w:rsidP="00FC2263">
      <w:pPr>
        <w:pStyle w:val="EYBodytextwithoutparaspace"/>
      </w:pPr>
      <w:r w:rsidRPr="006119F9">
        <w:t xml:space="preserve">At full </w:t>
      </w:r>
      <w:r w:rsidR="00B36D66">
        <w:t>s</w:t>
      </w:r>
      <w:r w:rsidRPr="006119F9">
        <w:t xml:space="preserve">cheme, the </w:t>
      </w:r>
      <w:r w:rsidR="007C1A4B">
        <w:t>c</w:t>
      </w:r>
      <w:r w:rsidRPr="006119F9">
        <w:t xml:space="preserve">entral </w:t>
      </w:r>
      <w:r w:rsidR="00004333">
        <w:t>Implementation body</w:t>
      </w:r>
      <w:r w:rsidRPr="006119F9">
        <w:t xml:space="preserve"> will enable access to the publisher’s entire journal </w:t>
      </w:r>
      <w:r>
        <w:t>catalogue</w:t>
      </w:r>
      <w:r w:rsidRPr="006119F9">
        <w:t xml:space="preserve"> while facilitating open publishing for Australian-led research. The other models </w:t>
      </w:r>
      <w:r w:rsidR="00C331E4">
        <w:t>impact only</w:t>
      </w:r>
      <w:r w:rsidRPr="006119F9">
        <w:t xml:space="preserve"> Australian-led research. Thus, in terms of meeting the primary goal of Australia’s approach toward open access, the Central </w:t>
      </w:r>
      <w:r w:rsidR="00004333">
        <w:t>Implementation body</w:t>
      </w:r>
      <w:r w:rsidRPr="006119F9">
        <w:t xml:space="preserve"> is the preferred model.</w:t>
      </w:r>
    </w:p>
    <w:p w14:paraId="405A52EE" w14:textId="1E557AD8" w:rsidR="000753E9" w:rsidRDefault="000753E9" w:rsidP="00FC2263">
      <w:pPr>
        <w:pStyle w:val="EYBodytextwithoutparaspace"/>
      </w:pPr>
      <w:r w:rsidRPr="006119F9">
        <w:t xml:space="preserve">The central </w:t>
      </w:r>
      <w:r w:rsidR="00004333">
        <w:t>implementation</w:t>
      </w:r>
      <w:r w:rsidRPr="006119F9">
        <w:t xml:space="preserve"> body will likely cost the most on a direct cost basis. However, </w:t>
      </w:r>
      <w:r>
        <w:t xml:space="preserve">in the case of the other two models, </w:t>
      </w:r>
      <w:r w:rsidRPr="006119F9">
        <w:t xml:space="preserve">individual organisations and universities will still need to maintain ongoing subscriptions with publishers. Thus, on a whole system approach, the </w:t>
      </w:r>
      <w:r w:rsidR="00AD17AC">
        <w:t xml:space="preserve">preferred </w:t>
      </w:r>
      <w:r w:rsidRPr="006119F9">
        <w:t>model will likely drive costs down on accessing and publishing research</w:t>
      </w:r>
      <w:r w:rsidR="00AD17AC">
        <w:t xml:space="preserve"> by centralising backend library functions,</w:t>
      </w:r>
      <w:r w:rsidR="00C06ABA">
        <w:t xml:space="preserve"> drive greater value through volume agreements, and transition publishers to </w:t>
      </w:r>
      <w:r w:rsidR="00043310">
        <w:t>new agreements which drive down costs.</w:t>
      </w:r>
    </w:p>
    <w:p w14:paraId="1E927D96" w14:textId="77777777" w:rsidR="00043310" w:rsidRPr="006119F9" w:rsidRDefault="00043310" w:rsidP="00A577AC">
      <w:pPr>
        <w:pStyle w:val="EYBodytextwithparaspace"/>
      </w:pPr>
    </w:p>
    <w:p w14:paraId="595FA88E" w14:textId="77777777" w:rsidR="006A645E" w:rsidRDefault="006A645E">
      <w:pPr>
        <w:autoSpaceDE/>
        <w:autoSpaceDN/>
        <w:adjustRightInd/>
        <w:rPr>
          <w:b/>
          <w:color w:val="747480"/>
          <w:sz w:val="32"/>
          <w:szCs w:val="24"/>
        </w:rPr>
      </w:pPr>
      <w:r>
        <w:br w:type="page"/>
      </w:r>
    </w:p>
    <w:p w14:paraId="526B0A09" w14:textId="26D5AF8B" w:rsidR="00EE3F48" w:rsidRDefault="00EE3F48" w:rsidP="00EE3F48">
      <w:pPr>
        <w:pStyle w:val="EYAppendix"/>
      </w:pPr>
      <w:bookmarkStart w:id="85" w:name="_Toc115717102"/>
      <w:r>
        <w:lastRenderedPageBreak/>
        <w:t>Stakeholder engagement list</w:t>
      </w:r>
      <w:bookmarkEnd w:id="85"/>
    </w:p>
    <w:p w14:paraId="33108B90" w14:textId="7E4644D8" w:rsidR="00240F2F" w:rsidRDefault="00EE3F48" w:rsidP="00A577AC">
      <w:pPr>
        <w:pStyle w:val="EYBodytextwithparaspace"/>
      </w:pPr>
      <w:r>
        <w:t xml:space="preserve">EY and the office of the Chief Scientist engaged with stakeholders across the publishing industry, universities and research institutions, industry, and government to support the development of this </w:t>
      </w:r>
      <w:r w:rsidR="00666DD1">
        <w:t>briefing paper</w:t>
      </w:r>
      <w:r>
        <w:t xml:space="preserve">. </w:t>
      </w:r>
      <w:r w:rsidR="00240F2F">
        <w:t>Stakeholder engagement was run from May 2022 – August 2022.</w:t>
      </w:r>
    </w:p>
    <w:p w14:paraId="472911A8" w14:textId="3A1AD956" w:rsidR="00EE3F48" w:rsidRDefault="00EE3F48" w:rsidP="00A577AC">
      <w:pPr>
        <w:pStyle w:val="EYBodytextwithparaspace"/>
      </w:pPr>
      <w:r>
        <w:t>The full list of stakeholders is presented in the below table.</w:t>
      </w:r>
    </w:p>
    <w:tbl>
      <w:tblPr>
        <w:tblStyle w:val="TableGrid"/>
        <w:tblW w:w="9401" w:type="dxa"/>
        <w:tblBorders>
          <w:top w:val="none" w:sz="0" w:space="0" w:color="auto"/>
          <w:left w:val="none" w:sz="0" w:space="0" w:color="auto"/>
          <w:right w:val="none" w:sz="0" w:space="0" w:color="auto"/>
          <w:insideH w:val="single" w:sz="4" w:space="0" w:color="787890" w:themeColor="text1" w:themeTint="99"/>
          <w:insideV w:val="none" w:sz="0" w:space="0" w:color="auto"/>
        </w:tblBorders>
        <w:tblCellMar>
          <w:top w:w="113" w:type="dxa"/>
          <w:bottom w:w="113" w:type="dxa"/>
        </w:tblCellMar>
        <w:tblLook w:val="04A0" w:firstRow="1" w:lastRow="0" w:firstColumn="1" w:lastColumn="0" w:noHBand="0" w:noVBand="1"/>
      </w:tblPr>
      <w:tblGrid>
        <w:gridCol w:w="1802"/>
        <w:gridCol w:w="7599"/>
      </w:tblGrid>
      <w:tr w:rsidR="00EE3F48" w:rsidRPr="00943D7E" w14:paraId="2D787F90" w14:textId="77777777" w:rsidTr="00943D7E">
        <w:trPr>
          <w:trHeight w:val="355"/>
        </w:trPr>
        <w:tc>
          <w:tcPr>
            <w:tcW w:w="1802" w:type="dxa"/>
            <w:shd w:val="clear" w:color="auto" w:fill="787890" w:themeFill="text1" w:themeFillTint="99"/>
          </w:tcPr>
          <w:p w14:paraId="72EEDF3C" w14:textId="0662E87B" w:rsidR="00EE3F48" w:rsidRPr="00943D7E" w:rsidRDefault="00EE3F9C" w:rsidP="00013F57">
            <w:pPr>
              <w:rPr>
                <w:rFonts w:ascii="EYInterstate Light" w:hAnsi="EYInterstate Light"/>
                <w:b/>
                <w:color w:val="FFFFFF" w:themeColor="background1"/>
              </w:rPr>
            </w:pPr>
            <w:r w:rsidRPr="00943D7E">
              <w:rPr>
                <w:rFonts w:ascii="EYInterstate Light" w:hAnsi="EYInterstate Light"/>
                <w:b/>
                <w:color w:val="FFFFFF" w:themeColor="background1"/>
              </w:rPr>
              <w:t xml:space="preserve">Sector </w:t>
            </w:r>
          </w:p>
        </w:tc>
        <w:tc>
          <w:tcPr>
            <w:tcW w:w="7599" w:type="dxa"/>
            <w:shd w:val="clear" w:color="auto" w:fill="787890" w:themeFill="text1" w:themeFillTint="99"/>
          </w:tcPr>
          <w:p w14:paraId="50F6F742" w14:textId="1C62EAB9" w:rsidR="00EE3F48" w:rsidRPr="00943D7E" w:rsidRDefault="00EE3F9C" w:rsidP="00013F57">
            <w:pPr>
              <w:rPr>
                <w:rFonts w:ascii="EYInterstate Light" w:hAnsi="EYInterstate Light"/>
                <w:b/>
                <w:color w:val="FFFFFF" w:themeColor="background1"/>
              </w:rPr>
            </w:pPr>
            <w:r w:rsidRPr="00943D7E">
              <w:rPr>
                <w:rFonts w:ascii="EYInterstate Light" w:hAnsi="EYInterstate Light"/>
                <w:b/>
                <w:color w:val="FFFFFF" w:themeColor="background1"/>
              </w:rPr>
              <w:t>Organisation</w:t>
            </w:r>
          </w:p>
        </w:tc>
      </w:tr>
      <w:tr w:rsidR="00EE3F48" w:rsidRPr="00B634BB" w14:paraId="1514283E" w14:textId="77777777" w:rsidTr="00943D7E">
        <w:trPr>
          <w:trHeight w:val="319"/>
        </w:trPr>
        <w:tc>
          <w:tcPr>
            <w:tcW w:w="1802" w:type="dxa"/>
          </w:tcPr>
          <w:p w14:paraId="02C26FF6" w14:textId="5B8211DA" w:rsidR="00EE3F48" w:rsidRPr="00EE3F9C" w:rsidRDefault="00EE3F9C" w:rsidP="00013F57">
            <w:pPr>
              <w:rPr>
                <w:rFonts w:ascii="EYInterstate Light" w:hAnsi="EYInterstate Light"/>
                <w:bCs/>
              </w:rPr>
            </w:pPr>
            <w:r w:rsidRPr="00EE3F9C">
              <w:rPr>
                <w:rFonts w:ascii="EYInterstate Light" w:hAnsi="EYInterstate Light"/>
                <w:bCs/>
              </w:rPr>
              <w:t>Publishers</w:t>
            </w:r>
          </w:p>
        </w:tc>
        <w:tc>
          <w:tcPr>
            <w:tcW w:w="7599" w:type="dxa"/>
          </w:tcPr>
          <w:p w14:paraId="784DF021" w14:textId="6A66047C" w:rsidR="00EE3F9C" w:rsidRPr="00297BB4" w:rsidRDefault="0089271B"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Brill Publi</w:t>
            </w:r>
            <w:r w:rsidR="00C77769">
              <w:rPr>
                <w:rFonts w:ascii="EYInterstate Light" w:hAnsi="EYInterstate Light"/>
              </w:rPr>
              <w:t>shers</w:t>
            </w:r>
          </w:p>
          <w:p w14:paraId="31E96F36" w14:textId="77777777" w:rsidR="00EE3F48" w:rsidRDefault="00C77769"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Elsevier</w:t>
            </w:r>
          </w:p>
          <w:p w14:paraId="51ADC31C" w14:textId="77777777" w:rsidR="00C77769" w:rsidRDefault="00CC667F"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Taylor &amp; Francis</w:t>
            </w:r>
          </w:p>
          <w:p w14:paraId="2776D69E" w14:textId="43167F99" w:rsidR="005349FF" w:rsidRPr="00297BB4" w:rsidRDefault="005349FF"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Springer Nature</w:t>
            </w:r>
          </w:p>
        </w:tc>
      </w:tr>
      <w:tr w:rsidR="00EE3F48" w:rsidRPr="00B634BB" w14:paraId="76B6CCC5" w14:textId="77777777" w:rsidTr="00943D7E">
        <w:trPr>
          <w:trHeight w:val="154"/>
        </w:trPr>
        <w:tc>
          <w:tcPr>
            <w:tcW w:w="1802" w:type="dxa"/>
          </w:tcPr>
          <w:p w14:paraId="415898E2" w14:textId="5C84CF04" w:rsidR="00EE3F48" w:rsidRPr="00297BB4" w:rsidRDefault="00C77769" w:rsidP="00013F57">
            <w:pPr>
              <w:rPr>
                <w:rFonts w:ascii="EYInterstate Light" w:hAnsi="EYInterstate Light"/>
                <w:bCs/>
              </w:rPr>
            </w:pPr>
            <w:r>
              <w:rPr>
                <w:rFonts w:ascii="EYInterstate Light" w:hAnsi="EYInterstate Light"/>
                <w:bCs/>
              </w:rPr>
              <w:t>Universi</w:t>
            </w:r>
            <w:r>
              <w:rPr>
                <w:bCs/>
              </w:rPr>
              <w:t>ties</w:t>
            </w:r>
            <w:r>
              <w:rPr>
                <w:rFonts w:ascii="EYInterstate Light" w:hAnsi="EYInterstate Light"/>
                <w:bCs/>
              </w:rPr>
              <w:t xml:space="preserve"> and </w:t>
            </w:r>
            <w:r w:rsidR="00832EE5">
              <w:rPr>
                <w:rFonts w:ascii="EYInterstate Light" w:hAnsi="EYInterstate Light"/>
                <w:bCs/>
              </w:rPr>
              <w:t>r</w:t>
            </w:r>
            <w:r>
              <w:rPr>
                <w:rFonts w:ascii="EYInterstate Light" w:hAnsi="EYInterstate Light"/>
                <w:bCs/>
              </w:rPr>
              <w:t>esearch institutions</w:t>
            </w:r>
          </w:p>
        </w:tc>
        <w:tc>
          <w:tcPr>
            <w:tcW w:w="7599" w:type="dxa"/>
          </w:tcPr>
          <w:p w14:paraId="7EEDDF14" w14:textId="404A951E" w:rsidR="00C77769" w:rsidRDefault="00C77769"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 xml:space="preserve">Council of </w:t>
            </w:r>
            <w:r w:rsidR="00D617D6">
              <w:rPr>
                <w:rFonts w:ascii="EYInterstate Light" w:hAnsi="EYInterstate Light"/>
              </w:rPr>
              <w:t xml:space="preserve">Australian </w:t>
            </w:r>
            <w:r>
              <w:rPr>
                <w:rFonts w:ascii="EYInterstate Light" w:hAnsi="EYInterstate Light"/>
              </w:rPr>
              <w:t>University Librari</w:t>
            </w:r>
            <w:r w:rsidR="00D617D6">
              <w:rPr>
                <w:rFonts w:ascii="EYInterstate Light" w:hAnsi="EYInterstate Light"/>
              </w:rPr>
              <w:t>ans</w:t>
            </w:r>
          </w:p>
          <w:p w14:paraId="753261E5" w14:textId="77777777" w:rsidR="00A00672" w:rsidRPr="00A00672" w:rsidRDefault="00A00672"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Open Access Austral</w:t>
            </w:r>
            <w:r>
              <w:t>asia</w:t>
            </w:r>
          </w:p>
          <w:p w14:paraId="13B7E398" w14:textId="77777777" w:rsidR="009825BF" w:rsidRDefault="0033712A"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Universities Australia</w:t>
            </w:r>
            <w:r w:rsidR="00A00672">
              <w:rPr>
                <w:rFonts w:ascii="EYInterstate Light" w:hAnsi="EYInterstate Light"/>
              </w:rPr>
              <w:t xml:space="preserve"> </w:t>
            </w:r>
          </w:p>
          <w:p w14:paraId="691A60B0" w14:textId="77777777" w:rsidR="00EE3F48" w:rsidRDefault="009825BF"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Flinders University</w:t>
            </w:r>
            <w:r w:rsidR="00EE3F48">
              <w:rPr>
                <w:rFonts w:ascii="EYInterstate Light" w:hAnsi="EYInterstate Light"/>
              </w:rPr>
              <w:t xml:space="preserve"> </w:t>
            </w:r>
          </w:p>
          <w:p w14:paraId="5C43BD53" w14:textId="77777777" w:rsidR="00434ED5" w:rsidRDefault="00FD3047"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University of New South Wales</w:t>
            </w:r>
          </w:p>
          <w:p w14:paraId="4642151D" w14:textId="77777777" w:rsidR="00FD3047" w:rsidRDefault="00FD3047"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Sydney University</w:t>
            </w:r>
          </w:p>
          <w:p w14:paraId="0C989205" w14:textId="77777777" w:rsidR="00FD3047" w:rsidRDefault="004359A2"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Queensland of University Technology</w:t>
            </w:r>
          </w:p>
          <w:p w14:paraId="0CA0820D" w14:textId="77777777" w:rsidR="004359A2" w:rsidRDefault="004359A2"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University of Technology Sydney</w:t>
            </w:r>
          </w:p>
          <w:p w14:paraId="337AEF37" w14:textId="77777777" w:rsidR="005349FF" w:rsidRDefault="005349FF"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CSIRO</w:t>
            </w:r>
          </w:p>
          <w:p w14:paraId="0693FF53" w14:textId="583248B9" w:rsidR="00921405" w:rsidRPr="00774ADE" w:rsidRDefault="00921405"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 xml:space="preserve">Imperial </w:t>
            </w:r>
            <w:r w:rsidR="00805976">
              <w:rPr>
                <w:rFonts w:ascii="EYInterstate Light" w:hAnsi="EYInterstate Light"/>
              </w:rPr>
              <w:t>College London</w:t>
            </w:r>
          </w:p>
        </w:tc>
      </w:tr>
      <w:tr w:rsidR="00EE3F48" w:rsidRPr="00B634BB" w14:paraId="119F8263" w14:textId="77777777" w:rsidTr="00943D7E">
        <w:trPr>
          <w:trHeight w:val="849"/>
        </w:trPr>
        <w:tc>
          <w:tcPr>
            <w:tcW w:w="1802" w:type="dxa"/>
          </w:tcPr>
          <w:p w14:paraId="5DDA958E" w14:textId="0D69889C" w:rsidR="00EE3F48" w:rsidRPr="00297BB4" w:rsidRDefault="006B7967" w:rsidP="00013F57">
            <w:pPr>
              <w:rPr>
                <w:rFonts w:ascii="EYInterstate Light" w:hAnsi="EYInterstate Light"/>
                <w:bCs/>
              </w:rPr>
            </w:pPr>
            <w:r>
              <w:rPr>
                <w:rFonts w:ascii="EYInterstate Light" w:hAnsi="EYInterstate Light"/>
                <w:bCs/>
              </w:rPr>
              <w:t xml:space="preserve">Industry </w:t>
            </w:r>
          </w:p>
        </w:tc>
        <w:tc>
          <w:tcPr>
            <w:tcW w:w="7599" w:type="dxa"/>
          </w:tcPr>
          <w:p w14:paraId="25A84952" w14:textId="48761226" w:rsidR="006B7967" w:rsidRPr="00377E78" w:rsidRDefault="006B7967"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BHP</w:t>
            </w:r>
          </w:p>
          <w:p w14:paraId="26AF6858" w14:textId="77777777" w:rsidR="00EE3F48" w:rsidRDefault="008A74A8"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Australian Hydrogen Council</w:t>
            </w:r>
          </w:p>
          <w:p w14:paraId="5FEBCF17" w14:textId="77777777" w:rsidR="008A74A8" w:rsidRDefault="0033712A"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V2food</w:t>
            </w:r>
          </w:p>
          <w:p w14:paraId="3ADB783D" w14:textId="77777777" w:rsidR="0033712A" w:rsidRDefault="006B5FB2"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MTP Con</w:t>
            </w:r>
            <w:r w:rsidR="00371255">
              <w:rPr>
                <w:rFonts w:ascii="EYInterstate Light" w:hAnsi="EYInterstate Light"/>
              </w:rPr>
              <w:t>nect</w:t>
            </w:r>
          </w:p>
          <w:p w14:paraId="6BDC008A" w14:textId="77777777" w:rsidR="00371255" w:rsidRDefault="00371255" w:rsidP="001605A6">
            <w:pPr>
              <w:pStyle w:val="ListParagraph"/>
              <w:numPr>
                <w:ilvl w:val="0"/>
                <w:numId w:val="11"/>
              </w:numPr>
              <w:spacing w:line="280" w:lineRule="atLeast"/>
              <w:ind w:left="782" w:hanging="425"/>
              <w:rPr>
                <w:rFonts w:ascii="EYInterstate Light" w:hAnsi="EYInterstate Light"/>
              </w:rPr>
            </w:pPr>
            <w:proofErr w:type="spellStart"/>
            <w:r>
              <w:rPr>
                <w:rFonts w:ascii="EYInterstate Light" w:hAnsi="EYInterstate Light"/>
              </w:rPr>
              <w:t>Emapper</w:t>
            </w:r>
            <w:proofErr w:type="spellEnd"/>
          </w:p>
          <w:p w14:paraId="1CBC7054" w14:textId="77777777" w:rsidR="00080F7A" w:rsidRDefault="00080F7A"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G</w:t>
            </w:r>
            <w:r w:rsidR="00AC0CD2">
              <w:rPr>
                <w:rFonts w:ascii="EYInterstate Light" w:hAnsi="EYInterstate Light"/>
              </w:rPr>
              <w:t>ilmour Space Technologies</w:t>
            </w:r>
          </w:p>
          <w:p w14:paraId="008A7892" w14:textId="77777777" w:rsidR="00AC0CD2" w:rsidRDefault="009825BF"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Quintessence Labs</w:t>
            </w:r>
          </w:p>
          <w:p w14:paraId="33DEA60B" w14:textId="77777777" w:rsidR="008D0675" w:rsidRDefault="008D0675"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Tenacious Ventures</w:t>
            </w:r>
          </w:p>
          <w:p w14:paraId="719C3B65" w14:textId="47960F4B" w:rsidR="008D0675" w:rsidRPr="00377E78" w:rsidRDefault="008D0675" w:rsidP="001605A6">
            <w:pPr>
              <w:pStyle w:val="ListParagraph"/>
              <w:numPr>
                <w:ilvl w:val="0"/>
                <w:numId w:val="11"/>
              </w:numPr>
              <w:spacing w:line="280" w:lineRule="atLeast"/>
              <w:ind w:left="782" w:hanging="425"/>
              <w:rPr>
                <w:rFonts w:ascii="EYInterstate Light" w:hAnsi="EYInterstate Light"/>
              </w:rPr>
            </w:pPr>
            <w:r>
              <w:rPr>
                <w:rFonts w:ascii="EYInterstate Light" w:hAnsi="EYInterstate Light"/>
              </w:rPr>
              <w:t>AULIVE</w:t>
            </w:r>
          </w:p>
        </w:tc>
      </w:tr>
      <w:tr w:rsidR="00EE3F48" w:rsidRPr="00B634BB" w14:paraId="2950231A" w14:textId="77777777" w:rsidTr="00943D7E">
        <w:trPr>
          <w:trHeight w:val="117"/>
        </w:trPr>
        <w:tc>
          <w:tcPr>
            <w:tcW w:w="1802" w:type="dxa"/>
          </w:tcPr>
          <w:p w14:paraId="2F59CAA3" w14:textId="210193F6" w:rsidR="00EE3F48" w:rsidRPr="00297BB4" w:rsidRDefault="006B7967" w:rsidP="00013F57">
            <w:pPr>
              <w:rPr>
                <w:rFonts w:ascii="EYInterstate Light" w:hAnsi="EYInterstate Light"/>
                <w:bCs/>
              </w:rPr>
            </w:pPr>
            <w:r>
              <w:rPr>
                <w:rFonts w:ascii="EYInterstate Light" w:hAnsi="EYInterstate Light"/>
                <w:bCs/>
              </w:rPr>
              <w:t>Government</w:t>
            </w:r>
          </w:p>
        </w:tc>
        <w:tc>
          <w:tcPr>
            <w:tcW w:w="7599" w:type="dxa"/>
          </w:tcPr>
          <w:p w14:paraId="69C1E3B8" w14:textId="5A79D98C" w:rsidR="008A599A" w:rsidRDefault="008A599A" w:rsidP="008A599A">
            <w:pPr>
              <w:pStyle w:val="ListParagraph"/>
              <w:numPr>
                <w:ilvl w:val="0"/>
                <w:numId w:val="12"/>
              </w:numPr>
              <w:rPr>
                <w:rFonts w:ascii="EYInterstate Light" w:hAnsi="EYInterstate Light"/>
              </w:rPr>
            </w:pPr>
            <w:r>
              <w:rPr>
                <w:rFonts w:ascii="EYInterstate Light" w:hAnsi="EYInterstate Light"/>
              </w:rPr>
              <w:t xml:space="preserve">Department of </w:t>
            </w:r>
            <w:r w:rsidR="00832EE5">
              <w:rPr>
                <w:rFonts w:ascii="EYInterstate Light" w:hAnsi="EYInterstate Light"/>
              </w:rPr>
              <w:t xml:space="preserve">the </w:t>
            </w:r>
            <w:r>
              <w:rPr>
                <w:rFonts w:ascii="EYInterstate Light" w:hAnsi="EYInterstate Light"/>
              </w:rPr>
              <w:t>Prime Minister and Cabinet</w:t>
            </w:r>
          </w:p>
          <w:p w14:paraId="5EBFEE55" w14:textId="77777777" w:rsidR="008A599A" w:rsidRDefault="008A599A" w:rsidP="008A599A">
            <w:pPr>
              <w:pStyle w:val="ListParagraph"/>
              <w:numPr>
                <w:ilvl w:val="0"/>
                <w:numId w:val="12"/>
              </w:numPr>
              <w:rPr>
                <w:rFonts w:ascii="EYInterstate Light" w:hAnsi="EYInterstate Light"/>
              </w:rPr>
            </w:pPr>
            <w:r>
              <w:rPr>
                <w:rFonts w:ascii="EYInterstate Light" w:hAnsi="EYInterstate Light"/>
              </w:rPr>
              <w:t xml:space="preserve">Treasury </w:t>
            </w:r>
          </w:p>
          <w:p w14:paraId="2AA26B95" w14:textId="77777777" w:rsidR="00EE3F48" w:rsidRDefault="00080F7A" w:rsidP="001605A6">
            <w:pPr>
              <w:pStyle w:val="ListParagraph"/>
              <w:numPr>
                <w:ilvl w:val="0"/>
                <w:numId w:val="12"/>
              </w:numPr>
              <w:rPr>
                <w:rFonts w:ascii="EYInterstate Light" w:hAnsi="EYInterstate Light"/>
              </w:rPr>
            </w:pPr>
            <w:r>
              <w:rPr>
                <w:rFonts w:ascii="EYInterstate Light" w:hAnsi="EYInterstate Light"/>
              </w:rPr>
              <w:t>Department of Finance</w:t>
            </w:r>
          </w:p>
          <w:p w14:paraId="11187BD6" w14:textId="77777777" w:rsidR="008A599A" w:rsidRDefault="008A599A" w:rsidP="001605A6">
            <w:pPr>
              <w:pStyle w:val="ListParagraph"/>
              <w:numPr>
                <w:ilvl w:val="0"/>
                <w:numId w:val="12"/>
              </w:numPr>
              <w:rPr>
                <w:rFonts w:ascii="EYInterstate Light" w:hAnsi="EYInterstate Light"/>
              </w:rPr>
            </w:pPr>
            <w:r>
              <w:rPr>
                <w:rFonts w:ascii="EYInterstate Light" w:hAnsi="EYInterstate Light"/>
              </w:rPr>
              <w:t>Department of Defence</w:t>
            </w:r>
          </w:p>
          <w:p w14:paraId="01132D13" w14:textId="77777777" w:rsidR="008A599A" w:rsidRDefault="008A599A" w:rsidP="008A599A">
            <w:pPr>
              <w:pStyle w:val="ListParagraph"/>
              <w:numPr>
                <w:ilvl w:val="0"/>
                <w:numId w:val="12"/>
              </w:numPr>
              <w:rPr>
                <w:rFonts w:ascii="EYInterstate Light" w:hAnsi="EYInterstate Light"/>
              </w:rPr>
            </w:pPr>
            <w:r>
              <w:rPr>
                <w:rFonts w:ascii="EYInterstate Light" w:hAnsi="EYInterstate Light"/>
              </w:rPr>
              <w:t>Digital Transformation Agency</w:t>
            </w:r>
          </w:p>
          <w:p w14:paraId="22BF8B4F" w14:textId="4194DA88" w:rsidR="006A5973" w:rsidRPr="004331EE" w:rsidRDefault="00E9417E" w:rsidP="001605A6">
            <w:pPr>
              <w:pStyle w:val="ListParagraph"/>
              <w:numPr>
                <w:ilvl w:val="0"/>
                <w:numId w:val="12"/>
              </w:numPr>
              <w:rPr>
                <w:rFonts w:ascii="EYInterstate Light" w:hAnsi="EYInterstate Light"/>
              </w:rPr>
            </w:pPr>
            <w:r>
              <w:rPr>
                <w:rFonts w:ascii="EYInterstate Light" w:hAnsi="EYInterstate Light"/>
              </w:rPr>
              <w:t>Australian Competition and Consumer Commission</w:t>
            </w:r>
          </w:p>
        </w:tc>
      </w:tr>
    </w:tbl>
    <w:p w14:paraId="1227E2C1" w14:textId="77777777" w:rsidR="00EE3F48" w:rsidRDefault="00EE3F48" w:rsidP="00A577AC">
      <w:pPr>
        <w:pStyle w:val="EYBodytextwithparaspace"/>
      </w:pPr>
    </w:p>
    <w:p w14:paraId="0626E622" w14:textId="77777777" w:rsidR="00991C7F" w:rsidRPr="00991C7F" w:rsidRDefault="00991C7F" w:rsidP="00A577AC">
      <w:pPr>
        <w:pStyle w:val="EYBodytextwithparaspace"/>
      </w:pPr>
    </w:p>
    <w:p w14:paraId="16326966" w14:textId="05F5A268" w:rsidR="00FD68D6" w:rsidRPr="00FD68D6" w:rsidRDefault="00FD68D6" w:rsidP="00823A09">
      <w:pPr>
        <w:pStyle w:val="EYAppendixHeading2"/>
        <w:sectPr w:rsidR="00FD68D6" w:rsidRPr="00FD68D6" w:rsidSect="0088105F">
          <w:pgSz w:w="11909" w:h="16834" w:code="9"/>
          <w:pgMar w:top="1440" w:right="1440" w:bottom="1440" w:left="1440" w:header="720" w:footer="720" w:gutter="0"/>
          <w:cols w:space="720"/>
          <w:docGrid w:linePitch="360"/>
        </w:sectPr>
      </w:pPr>
    </w:p>
    <w:p w14:paraId="2702286D" w14:textId="5A63F325" w:rsidR="00F84400" w:rsidRPr="00477AFA" w:rsidRDefault="000822EB" w:rsidP="00477AFA">
      <w:r>
        <w:rPr>
          <w:noProof/>
          <w:lang w:eastAsia="en-AU"/>
        </w:rPr>
        <w:lastRenderedPageBreak/>
        <mc:AlternateContent>
          <mc:Choice Requires="wps">
            <w:drawing>
              <wp:anchor distT="0" distB="0" distL="114300" distR="114300" simplePos="0" relativeHeight="251658241" behindDoc="0" locked="0" layoutInCell="1" allowOverlap="1" wp14:anchorId="6224EB60" wp14:editId="3B2A5783">
                <wp:simplePos x="0" y="0"/>
                <wp:positionH relativeFrom="column">
                  <wp:posOffset>-892175</wp:posOffset>
                </wp:positionH>
                <wp:positionV relativeFrom="paragraph">
                  <wp:posOffset>-892175</wp:posOffset>
                </wp:positionV>
                <wp:extent cx="4320000" cy="107280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1072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2543E" w14:textId="77777777" w:rsidR="001F6E0E" w:rsidRPr="005719CD" w:rsidRDefault="001F6E0E" w:rsidP="005719CD">
                            <w:pPr>
                              <w:spacing w:after="240"/>
                              <w:rPr>
                                <w:rFonts w:ascii="EYInterstate" w:hAnsi="EYInterstate" w:cs="Arial"/>
                                <w:color w:val="000000" w:themeColor="background2"/>
                                <w:sz w:val="24"/>
                                <w:szCs w:val="24"/>
                              </w:rPr>
                            </w:pPr>
                            <w:proofErr w:type="gramStart"/>
                            <w:r w:rsidRPr="005719CD">
                              <w:rPr>
                                <w:rFonts w:ascii="EYInterstate" w:hAnsi="EYInterstate" w:cstheme="minorBidi"/>
                                <w:b/>
                                <w:bCs/>
                                <w:color w:val="000000" w:themeColor="background2"/>
                                <w:sz w:val="24"/>
                                <w:szCs w:val="24"/>
                              </w:rPr>
                              <w:t xml:space="preserve">EY  </w:t>
                            </w:r>
                            <w:r w:rsidRPr="005719CD">
                              <w:rPr>
                                <w:rFonts w:ascii="EYInterstate" w:hAnsi="EYInterstate" w:cs="Arial"/>
                                <w:color w:val="000000" w:themeColor="background2"/>
                                <w:sz w:val="24"/>
                                <w:szCs w:val="24"/>
                              </w:rPr>
                              <w:t>|</w:t>
                            </w:r>
                            <w:proofErr w:type="gramEnd"/>
                            <w:r w:rsidRPr="005719CD">
                              <w:rPr>
                                <w:rFonts w:ascii="EYInterstate" w:hAnsi="EYInterstate" w:cs="Arial"/>
                                <w:color w:val="000000" w:themeColor="background2"/>
                                <w:sz w:val="24"/>
                                <w:szCs w:val="24"/>
                              </w:rPr>
                              <w:t xml:space="preserve">  Building a better working world</w:t>
                            </w:r>
                          </w:p>
                          <w:p w14:paraId="5266C3DC" w14:textId="77777777" w:rsidR="001F6E0E" w:rsidRPr="00EC65C4" w:rsidRDefault="001F6E0E" w:rsidP="005719CD">
                            <w:pPr>
                              <w:spacing w:after="240"/>
                              <w:rPr>
                                <w:rFonts w:ascii="EYInterstate" w:hAnsi="EYInterstate" w:cstheme="minorBidi"/>
                                <w:color w:val="000000" w:themeColor="background2"/>
                                <w:sz w:val="22"/>
                                <w:szCs w:val="22"/>
                              </w:rPr>
                            </w:pPr>
                            <w:r w:rsidRPr="00EC65C4">
                              <w:rPr>
                                <w:rFonts w:ascii="EYInterstate" w:hAnsi="EYInterstate" w:cstheme="minorBidi"/>
                                <w:color w:val="000000" w:themeColor="background2"/>
                                <w:sz w:val="22"/>
                                <w:szCs w:val="22"/>
                              </w:rPr>
                              <w:t>EY exists to build a better working world, helping to create long-term value for clients, people and society and build trust in the capital markets.</w:t>
                            </w:r>
                          </w:p>
                          <w:p w14:paraId="4B74BA25" w14:textId="77777777" w:rsidR="001F6E0E" w:rsidRPr="00EC65C4" w:rsidRDefault="001F6E0E" w:rsidP="005719CD">
                            <w:pPr>
                              <w:spacing w:after="240"/>
                              <w:rPr>
                                <w:rFonts w:ascii="EYInterstate" w:hAnsi="EYInterstate" w:cstheme="minorBidi"/>
                                <w:color w:val="000000" w:themeColor="background2"/>
                                <w:sz w:val="22"/>
                                <w:szCs w:val="22"/>
                              </w:rPr>
                            </w:pPr>
                            <w:r w:rsidRPr="00EC65C4">
                              <w:rPr>
                                <w:rFonts w:ascii="EYInterstate" w:hAnsi="EYInterstate" w:cstheme="minorBidi"/>
                                <w:color w:val="000000" w:themeColor="background2"/>
                                <w:sz w:val="22"/>
                                <w:szCs w:val="22"/>
                              </w:rPr>
                              <w:t>Enabled by data and technology, diverse EY teams in over 150 countries provide trust through assurance and help clients grow, transform and operate.</w:t>
                            </w:r>
                          </w:p>
                          <w:p w14:paraId="5815F482" w14:textId="77777777" w:rsidR="001F6E0E" w:rsidRPr="00421DCE" w:rsidRDefault="001F6E0E" w:rsidP="005719CD">
                            <w:pPr>
                              <w:spacing w:after="360"/>
                              <w:rPr>
                                <w:rFonts w:ascii="EYInterstate" w:hAnsi="EYInterstate" w:cstheme="minorBidi"/>
                                <w:color w:val="000000" w:themeColor="background2"/>
                                <w:sz w:val="22"/>
                                <w:szCs w:val="22"/>
                              </w:rPr>
                            </w:pPr>
                            <w:r w:rsidRPr="00EC65C4">
                              <w:rPr>
                                <w:rFonts w:ascii="EYInterstate" w:hAnsi="EYInterstate" w:cstheme="minorBidi"/>
                                <w:color w:val="000000" w:themeColor="background2"/>
                                <w:sz w:val="22"/>
                                <w:szCs w:val="22"/>
                              </w:rPr>
                              <w:t>Working across assurance, consulting, law, strategy, tax and transactions, EY teams ask better questions to find new answers for the complex issues facing our world today.</w:t>
                            </w:r>
                          </w:p>
                          <w:p w14:paraId="558553B2" w14:textId="4035BA44" w:rsidR="008B5BA4" w:rsidRPr="007A37B3" w:rsidRDefault="001F6E0E" w:rsidP="007A37B3">
                            <w:pPr>
                              <w:spacing w:after="160"/>
                              <w:rPr>
                                <w:rFonts w:cs="Arial"/>
                                <w:sz w:val="16"/>
                              </w:rPr>
                            </w:pPr>
                            <w:r w:rsidRPr="005719CD">
                              <w:rPr>
                                <w:rFonts w:cs="Arial"/>
                                <w:sz w:val="16"/>
                              </w:rPr>
                              <w:t xml:space="preserve">EY refers to the global organization, and may refer to one or more, of the member firms of Ernst &amp; Young Global Limited, each of which is a separate legal entity. Ernst &amp; Young Global Limited, a UK company limited by guarantee, does not provide services to clients. Information about how EY collects and uses personal </w:t>
                            </w:r>
                            <w:proofErr w:type="gramStart"/>
                            <w:r w:rsidRPr="005719CD">
                              <w:rPr>
                                <w:rFonts w:cs="Arial"/>
                                <w:sz w:val="16"/>
                              </w:rPr>
                              <w:t>data</w:t>
                            </w:r>
                            <w:proofErr w:type="gramEnd"/>
                            <w:r w:rsidRPr="005719CD">
                              <w:rPr>
                                <w:rFonts w:cs="Arial"/>
                                <w:sz w:val="16"/>
                              </w:rPr>
                              <w:t xml:space="preserve"> and a description of the rights individuals have under data protection legislation are available via ey.com/privacy. EY member firms do not practice law </w:t>
                            </w:r>
                            <w:proofErr w:type="gramStart"/>
                            <w:r w:rsidRPr="005719CD">
                              <w:rPr>
                                <w:rFonts w:cs="Arial"/>
                                <w:sz w:val="16"/>
                              </w:rPr>
                              <w:t>where</w:t>
                            </w:r>
                            <w:proofErr w:type="gramEnd"/>
                            <w:r w:rsidRPr="005719CD">
                              <w:rPr>
                                <w:rFonts w:cs="Arial"/>
                                <w:sz w:val="16"/>
                              </w:rPr>
                              <w:t xml:space="preserve"> prohibited by local laws. For more information about our organization, please visit ey.com.</w:t>
                            </w:r>
                          </w:p>
                          <w:p w14:paraId="4E710123" w14:textId="54BC2F6E" w:rsidR="0024287C" w:rsidRPr="003A5E6F" w:rsidRDefault="008B5BA4" w:rsidP="000822EB">
                            <w:pPr>
                              <w:rPr>
                                <w:rFonts w:cs="Arial"/>
                                <w:sz w:val="16"/>
                              </w:rPr>
                            </w:pPr>
                            <w:r w:rsidRPr="00B22C43">
                              <w:rPr>
                                <w:rFonts w:cs="Arial"/>
                                <w:sz w:val="16"/>
                              </w:rPr>
                              <w:t xml:space="preserve">© </w:t>
                            </w:r>
                            <w:r>
                              <w:rPr>
                                <w:rFonts w:cs="Arial"/>
                                <w:sz w:val="16"/>
                              </w:rPr>
                              <w:t xml:space="preserve">Commonwealth of </w:t>
                            </w:r>
                            <w:r w:rsidRPr="00B22C43">
                              <w:rPr>
                                <w:rFonts w:cs="Arial"/>
                                <w:sz w:val="16"/>
                              </w:rPr>
                              <w:t>Australia</w:t>
                            </w:r>
                            <w:r>
                              <w:rPr>
                                <w:rFonts w:cs="Arial"/>
                                <w:sz w:val="16"/>
                              </w:rPr>
                              <w:t xml:space="preserve"> 2024</w:t>
                            </w:r>
                          </w:p>
                          <w:p w14:paraId="4816F17F" w14:textId="527479A8" w:rsidR="002C46B7" w:rsidRDefault="003A5E6F" w:rsidP="002C46B7">
                            <w:pPr>
                              <w:rPr>
                                <w:b/>
                                <w:bCs/>
                                <w:sz w:val="14"/>
                                <w:szCs w:val="14"/>
                              </w:rPr>
                            </w:pPr>
                            <w:r>
                              <w:rPr>
                                <w:b/>
                                <w:bCs/>
                                <w:sz w:val="14"/>
                                <w:szCs w:val="14"/>
                              </w:rPr>
                              <w:br/>
                            </w:r>
                            <w:r w:rsidR="002C46B7" w:rsidRPr="002C46B7">
                              <w:rPr>
                                <w:b/>
                                <w:bCs/>
                                <w:sz w:val="14"/>
                                <w:szCs w:val="14"/>
                              </w:rPr>
                              <w:t>Ownership of intellectual property rights</w:t>
                            </w:r>
                          </w:p>
                          <w:p w14:paraId="640EF681" w14:textId="77777777" w:rsidR="0024287C" w:rsidRPr="002C46B7" w:rsidRDefault="0024287C" w:rsidP="002C46B7">
                            <w:pPr>
                              <w:rPr>
                                <w:b/>
                                <w:bCs/>
                                <w:sz w:val="14"/>
                                <w:szCs w:val="14"/>
                              </w:rPr>
                            </w:pPr>
                          </w:p>
                          <w:p w14:paraId="333B7160" w14:textId="0406AB1A" w:rsidR="002C46B7" w:rsidRDefault="002C46B7" w:rsidP="002C46B7">
                            <w:pPr>
                              <w:rPr>
                                <w:sz w:val="14"/>
                                <w:szCs w:val="14"/>
                              </w:rPr>
                            </w:pPr>
                            <w:r w:rsidRPr="002C46B7">
                              <w:rPr>
                                <w:sz w:val="14"/>
                                <w:szCs w:val="14"/>
                              </w:rPr>
                              <w:t>Unless otherwise noted, copyright (and any other intellectual property rights, if any) in this publication is owned by the Commonwealth of Australia.</w:t>
                            </w:r>
                            <w:r w:rsidR="00FE4705">
                              <w:rPr>
                                <w:sz w:val="14"/>
                                <w:szCs w:val="14"/>
                              </w:rPr>
                              <w:br/>
                            </w:r>
                          </w:p>
                          <w:p w14:paraId="2D96DB12" w14:textId="77777777" w:rsidR="0024287C" w:rsidRPr="002C46B7" w:rsidRDefault="0024287C" w:rsidP="0024287C">
                            <w:pPr>
                              <w:rPr>
                                <w:sz w:val="14"/>
                                <w:szCs w:val="14"/>
                              </w:rPr>
                            </w:pPr>
                            <w:r w:rsidRPr="002C46B7">
                              <w:rPr>
                                <w:rStyle w:val="Hyperlink"/>
                                <w:b/>
                                <w:bCs/>
                                <w:sz w:val="14"/>
                                <w:szCs w:val="14"/>
                              </w:rPr>
                              <w:drawing>
                                <wp:inline distT="0" distB="0" distL="0" distR="0" wp14:anchorId="2FD7CC82" wp14:editId="04CD6A67">
                                  <wp:extent cx="838200" cy="295275"/>
                                  <wp:effectExtent l="0" t="0" r="0" b="9525"/>
                                  <wp:docPr id="1292746991" name="Picture 2"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hyperlink r:id="rId51" w:history="1">
                              <w:r w:rsidRPr="002C46B7">
                                <w:rPr>
                                  <w:rStyle w:val="Hyperlink"/>
                                  <w:b/>
                                  <w:bCs/>
                                  <w:sz w:val="14"/>
                                  <w:szCs w:val="14"/>
                                </w:rPr>
                                <w:t> Creative Commons Attribution 4.0 International Licence CC BY 4.0</w:t>
                              </w:r>
                            </w:hyperlink>
                          </w:p>
                          <w:p w14:paraId="670E8D40" w14:textId="77777777" w:rsidR="0024287C" w:rsidRPr="002C46B7" w:rsidRDefault="0024287C" w:rsidP="002C46B7">
                            <w:pPr>
                              <w:rPr>
                                <w:sz w:val="14"/>
                                <w:szCs w:val="14"/>
                              </w:rPr>
                            </w:pPr>
                          </w:p>
                          <w:p w14:paraId="67C07DA9" w14:textId="77777777" w:rsidR="002C46B7" w:rsidRPr="002C46B7" w:rsidRDefault="002C46B7" w:rsidP="002C46B7">
                            <w:pPr>
                              <w:rPr>
                                <w:sz w:val="14"/>
                                <w:szCs w:val="14"/>
                              </w:rPr>
                            </w:pPr>
                            <w:r w:rsidRPr="002C46B7">
                              <w:rPr>
                                <w:sz w:val="14"/>
                                <w:szCs w:val="14"/>
                              </w:rPr>
                              <w:t xml:space="preserve">All material in this publication is licensed under a Creative Commons Attribution 4.0 International Licence, </w:t>
                            </w:r>
                            <w:proofErr w:type="gramStart"/>
                            <w:r w:rsidRPr="002C46B7">
                              <w:rPr>
                                <w:sz w:val="14"/>
                                <w:szCs w:val="14"/>
                              </w:rPr>
                              <w:t>with the exception of</w:t>
                            </w:r>
                            <w:proofErr w:type="gramEnd"/>
                            <w:r w:rsidRPr="002C46B7">
                              <w:rPr>
                                <w:sz w:val="14"/>
                                <w:szCs w:val="14"/>
                              </w:rPr>
                              <w:t>:</w:t>
                            </w:r>
                          </w:p>
                          <w:p w14:paraId="5EA1BCF8" w14:textId="77777777" w:rsidR="002C46B7" w:rsidRPr="002C46B7" w:rsidRDefault="002C46B7" w:rsidP="002C46B7">
                            <w:pPr>
                              <w:numPr>
                                <w:ilvl w:val="0"/>
                                <w:numId w:val="47"/>
                              </w:numPr>
                              <w:rPr>
                                <w:sz w:val="14"/>
                                <w:szCs w:val="14"/>
                              </w:rPr>
                            </w:pPr>
                            <w:r w:rsidRPr="002C46B7">
                              <w:rPr>
                                <w:sz w:val="14"/>
                                <w:szCs w:val="14"/>
                              </w:rPr>
                              <w:t>the Commonwealth Coat of Arms</w:t>
                            </w:r>
                          </w:p>
                          <w:p w14:paraId="7DDB6A9B" w14:textId="77777777" w:rsidR="002C46B7" w:rsidRPr="002C46B7" w:rsidRDefault="002C46B7" w:rsidP="002C46B7">
                            <w:pPr>
                              <w:numPr>
                                <w:ilvl w:val="0"/>
                                <w:numId w:val="47"/>
                              </w:numPr>
                              <w:rPr>
                                <w:sz w:val="14"/>
                                <w:szCs w:val="14"/>
                              </w:rPr>
                            </w:pPr>
                            <w:r w:rsidRPr="002C46B7">
                              <w:rPr>
                                <w:sz w:val="14"/>
                                <w:szCs w:val="14"/>
                              </w:rPr>
                              <w:t>content supplied by third parties</w:t>
                            </w:r>
                          </w:p>
                          <w:p w14:paraId="6595A774" w14:textId="77777777" w:rsidR="002C46B7" w:rsidRPr="002C46B7" w:rsidRDefault="002C46B7" w:rsidP="002C46B7">
                            <w:pPr>
                              <w:numPr>
                                <w:ilvl w:val="0"/>
                                <w:numId w:val="47"/>
                              </w:numPr>
                              <w:rPr>
                                <w:sz w:val="14"/>
                                <w:szCs w:val="14"/>
                              </w:rPr>
                            </w:pPr>
                            <w:r w:rsidRPr="002C46B7">
                              <w:rPr>
                                <w:sz w:val="14"/>
                                <w:szCs w:val="14"/>
                              </w:rPr>
                              <w:t>logos</w:t>
                            </w:r>
                          </w:p>
                          <w:p w14:paraId="394603C1" w14:textId="77777777" w:rsidR="002C46B7" w:rsidRPr="002C46B7" w:rsidRDefault="002C46B7" w:rsidP="002C46B7">
                            <w:pPr>
                              <w:numPr>
                                <w:ilvl w:val="0"/>
                                <w:numId w:val="47"/>
                              </w:numPr>
                              <w:rPr>
                                <w:sz w:val="14"/>
                                <w:szCs w:val="14"/>
                              </w:rPr>
                            </w:pPr>
                            <w:r w:rsidRPr="002C46B7">
                              <w:rPr>
                                <w:sz w:val="14"/>
                                <w:szCs w:val="14"/>
                              </w:rPr>
                              <w:t>any material protected by trademark or otherwise noted in this publication.</w:t>
                            </w:r>
                          </w:p>
                          <w:p w14:paraId="4E0ACB32" w14:textId="77777777" w:rsidR="002C46B7" w:rsidRPr="002C46B7" w:rsidRDefault="002C46B7" w:rsidP="002C46B7">
                            <w:pPr>
                              <w:rPr>
                                <w:sz w:val="14"/>
                                <w:szCs w:val="14"/>
                              </w:rPr>
                            </w:pPr>
                          </w:p>
                          <w:p w14:paraId="0F220CF7" w14:textId="77777777" w:rsidR="002C46B7" w:rsidRPr="002C46B7" w:rsidRDefault="002C46B7" w:rsidP="002C46B7">
                            <w:pPr>
                              <w:rPr>
                                <w:sz w:val="14"/>
                                <w:szCs w:val="14"/>
                              </w:rPr>
                            </w:pPr>
                            <w:r w:rsidRPr="002C46B7">
                              <w:rPr>
                                <w:sz w:val="14"/>
                                <w:szCs w:val="14"/>
                              </w:rPr>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52" w:history="1">
                              <w:r w:rsidRPr="002C46B7">
                                <w:rPr>
                                  <w:rStyle w:val="Hyperlink"/>
                                  <w:sz w:val="14"/>
                                  <w:szCs w:val="14"/>
                                </w:rPr>
                                <w:t>https://creativecommons.org/licenses/by/4.0/</w:t>
                              </w:r>
                            </w:hyperlink>
                            <w:r w:rsidRPr="002C46B7">
                              <w:rPr>
                                <w:sz w:val="14"/>
                                <w:szCs w:val="14"/>
                              </w:rPr>
                              <w:t xml:space="preserve">. The full licence terms are available from </w:t>
                            </w:r>
                            <w:hyperlink r:id="rId53" w:history="1">
                              <w:r w:rsidRPr="002C46B7">
                                <w:rPr>
                                  <w:rStyle w:val="Hyperlink"/>
                                  <w:sz w:val="14"/>
                                  <w:szCs w:val="14"/>
                                </w:rPr>
                                <w:t>https://creativecommons.org/licenses/by/4.0/legalcode</w:t>
                              </w:r>
                            </w:hyperlink>
                            <w:r w:rsidRPr="002C46B7">
                              <w:rPr>
                                <w:sz w:val="14"/>
                                <w:szCs w:val="14"/>
                              </w:rPr>
                              <w:t>.</w:t>
                            </w:r>
                          </w:p>
                          <w:p w14:paraId="2858245E" w14:textId="77777777" w:rsidR="002C46B7" w:rsidRPr="002C46B7" w:rsidRDefault="002C46B7" w:rsidP="002C46B7">
                            <w:pPr>
                              <w:rPr>
                                <w:sz w:val="14"/>
                                <w:szCs w:val="14"/>
                              </w:rPr>
                            </w:pPr>
                            <w:r w:rsidRPr="002C46B7">
                              <w:rPr>
                                <w:rFonts w:ascii="Times New Roman" w:hAnsi="Times New Roman"/>
                                <w:sz w:val="14"/>
                                <w:szCs w:val="14"/>
                              </w:rPr>
                              <w:t>​​​​​​​​​​​​​​​​​​​​​​​​​​​​</w:t>
                            </w:r>
                          </w:p>
                          <w:p w14:paraId="5877EC4F" w14:textId="77777777" w:rsidR="002C46B7" w:rsidRPr="002C46B7" w:rsidRDefault="002C46B7" w:rsidP="002C46B7">
                            <w:pPr>
                              <w:rPr>
                                <w:sz w:val="14"/>
                                <w:szCs w:val="14"/>
                              </w:rPr>
                            </w:pPr>
                            <w:r w:rsidRPr="002C46B7">
                              <w:rPr>
                                <w:sz w:val="14"/>
                                <w:szCs w:val="14"/>
                              </w:rPr>
                              <w:t xml:space="preserve">Content contained herein should be attributed as Ernst &amp; Young (2022), A national strategy for open access: briefing paper. A report to the Office of the Chief Scientist, Australian Government, Canberra. </w:t>
                            </w:r>
                          </w:p>
                          <w:p w14:paraId="0BB17B74" w14:textId="77777777" w:rsidR="002C46B7" w:rsidRPr="002C46B7" w:rsidRDefault="002C46B7" w:rsidP="002C46B7">
                            <w:pPr>
                              <w:rPr>
                                <w:sz w:val="14"/>
                                <w:szCs w:val="14"/>
                              </w:rPr>
                            </w:pPr>
                          </w:p>
                          <w:p w14:paraId="32D9C212" w14:textId="77777777" w:rsidR="002C46B7" w:rsidRPr="002C46B7" w:rsidRDefault="002C46B7" w:rsidP="002C46B7">
                            <w:pPr>
                              <w:rPr>
                                <w:sz w:val="14"/>
                                <w:szCs w:val="14"/>
                              </w:rPr>
                            </w:pPr>
                            <w:r w:rsidRPr="002C46B7">
                              <w:rPr>
                                <w:sz w:val="14"/>
                                <w:szCs w:val="14"/>
                              </w:rPr>
                              <w:t>This notice excludes the Commonwealth Coat of Arms, any logos and any material protected by trademark or otherwise noted in the publication, from the application of the Creative Commons licence. These are all forms of property which the Commonwealth cannot or usually would not licence others to use.</w:t>
                            </w:r>
                          </w:p>
                          <w:p w14:paraId="71D65F67" w14:textId="77777777" w:rsidR="002C46B7" w:rsidRPr="00B43C4F" w:rsidRDefault="002C46B7" w:rsidP="000822EB">
                            <w:pPr>
                              <w:rPr>
                                <w:sz w:val="22"/>
                                <w:szCs w:val="22"/>
                              </w:rPr>
                            </w:pPr>
                          </w:p>
                        </w:txbxContent>
                      </wps:txbx>
                      <wps:bodyPr rot="0" vert="horz" wrap="square" lIns="900000" tIns="90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4EB60" id="Text Box 5" o:spid="_x0000_s1033" type="#_x0000_t202" style="position:absolute;margin-left:-70.25pt;margin-top:-70.25pt;width:340.15pt;height:844.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" filled="f" stroked="f">
                <v:textbox inset="25mm,25mm">
                  <w:txbxContent>
                    <w:p w14:paraId="7602543E" w14:textId="77777777" w:rsidR="001F6E0E" w:rsidRPr="005719CD" w:rsidRDefault="001F6E0E" w:rsidP="005719CD">
                      <w:pPr>
                        <w:spacing w:after="240"/>
                        <w:rPr>
                          <w:rFonts w:ascii="EYInterstate" w:hAnsi="EYInterstate" w:cs="Arial"/>
                          <w:color w:val="000000" w:themeColor="background2"/>
                          <w:sz w:val="24"/>
                          <w:szCs w:val="24"/>
                        </w:rPr>
                      </w:pPr>
                      <w:proofErr w:type="gramStart"/>
                      <w:r w:rsidRPr="005719CD">
                        <w:rPr>
                          <w:rFonts w:ascii="EYInterstate" w:hAnsi="EYInterstate" w:cstheme="minorBidi"/>
                          <w:b/>
                          <w:bCs/>
                          <w:color w:val="000000" w:themeColor="background2"/>
                          <w:sz w:val="24"/>
                          <w:szCs w:val="24"/>
                        </w:rPr>
                        <w:t xml:space="preserve">EY  </w:t>
                      </w:r>
                      <w:r w:rsidRPr="005719CD">
                        <w:rPr>
                          <w:rFonts w:ascii="EYInterstate" w:hAnsi="EYInterstate" w:cs="Arial"/>
                          <w:color w:val="000000" w:themeColor="background2"/>
                          <w:sz w:val="24"/>
                          <w:szCs w:val="24"/>
                        </w:rPr>
                        <w:t>|</w:t>
                      </w:r>
                      <w:proofErr w:type="gramEnd"/>
                      <w:r w:rsidRPr="005719CD">
                        <w:rPr>
                          <w:rFonts w:ascii="EYInterstate" w:hAnsi="EYInterstate" w:cs="Arial"/>
                          <w:color w:val="000000" w:themeColor="background2"/>
                          <w:sz w:val="24"/>
                          <w:szCs w:val="24"/>
                        </w:rPr>
                        <w:t xml:space="preserve">  Building a better working world</w:t>
                      </w:r>
                    </w:p>
                    <w:p w14:paraId="5266C3DC" w14:textId="77777777" w:rsidR="001F6E0E" w:rsidRPr="00EC65C4" w:rsidRDefault="001F6E0E" w:rsidP="005719CD">
                      <w:pPr>
                        <w:spacing w:after="240"/>
                        <w:rPr>
                          <w:rFonts w:ascii="EYInterstate" w:hAnsi="EYInterstate" w:cstheme="minorBidi"/>
                          <w:color w:val="000000" w:themeColor="background2"/>
                          <w:sz w:val="22"/>
                          <w:szCs w:val="22"/>
                        </w:rPr>
                      </w:pPr>
                      <w:r w:rsidRPr="00EC65C4">
                        <w:rPr>
                          <w:rFonts w:ascii="EYInterstate" w:hAnsi="EYInterstate" w:cstheme="minorBidi"/>
                          <w:color w:val="000000" w:themeColor="background2"/>
                          <w:sz w:val="22"/>
                          <w:szCs w:val="22"/>
                        </w:rPr>
                        <w:t>EY exists to build a better working world, helping to create long-term value for clients, people and society and build trust in the capital markets.</w:t>
                      </w:r>
                    </w:p>
                    <w:p w14:paraId="4B74BA25" w14:textId="77777777" w:rsidR="001F6E0E" w:rsidRPr="00EC65C4" w:rsidRDefault="001F6E0E" w:rsidP="005719CD">
                      <w:pPr>
                        <w:spacing w:after="240"/>
                        <w:rPr>
                          <w:rFonts w:ascii="EYInterstate" w:hAnsi="EYInterstate" w:cstheme="minorBidi"/>
                          <w:color w:val="000000" w:themeColor="background2"/>
                          <w:sz w:val="22"/>
                          <w:szCs w:val="22"/>
                        </w:rPr>
                      </w:pPr>
                      <w:r w:rsidRPr="00EC65C4">
                        <w:rPr>
                          <w:rFonts w:ascii="EYInterstate" w:hAnsi="EYInterstate" w:cstheme="minorBidi"/>
                          <w:color w:val="000000" w:themeColor="background2"/>
                          <w:sz w:val="22"/>
                          <w:szCs w:val="22"/>
                        </w:rPr>
                        <w:t>Enabled by data and technology, diverse EY teams in over 150 countries provide trust through assurance and help clients grow, transform and operate.</w:t>
                      </w:r>
                    </w:p>
                    <w:p w14:paraId="5815F482" w14:textId="77777777" w:rsidR="001F6E0E" w:rsidRPr="00421DCE" w:rsidRDefault="001F6E0E" w:rsidP="005719CD">
                      <w:pPr>
                        <w:spacing w:after="360"/>
                        <w:rPr>
                          <w:rFonts w:ascii="EYInterstate" w:hAnsi="EYInterstate" w:cstheme="minorBidi"/>
                          <w:color w:val="000000" w:themeColor="background2"/>
                          <w:sz w:val="22"/>
                          <w:szCs w:val="22"/>
                        </w:rPr>
                      </w:pPr>
                      <w:r w:rsidRPr="00EC65C4">
                        <w:rPr>
                          <w:rFonts w:ascii="EYInterstate" w:hAnsi="EYInterstate" w:cstheme="minorBidi"/>
                          <w:color w:val="000000" w:themeColor="background2"/>
                          <w:sz w:val="22"/>
                          <w:szCs w:val="22"/>
                        </w:rPr>
                        <w:t>Working across assurance, consulting, law, strategy, tax and transactions, EY teams ask better questions to find new answers for the complex issues facing our world today.</w:t>
                      </w:r>
                    </w:p>
                    <w:p w14:paraId="558553B2" w14:textId="4035BA44" w:rsidR="008B5BA4" w:rsidRPr="007A37B3" w:rsidRDefault="001F6E0E" w:rsidP="007A37B3">
                      <w:pPr>
                        <w:spacing w:after="160"/>
                        <w:rPr>
                          <w:rFonts w:cs="Arial"/>
                          <w:sz w:val="16"/>
                        </w:rPr>
                      </w:pPr>
                      <w:r w:rsidRPr="005719CD">
                        <w:rPr>
                          <w:rFonts w:cs="Arial"/>
                          <w:sz w:val="16"/>
                        </w:rPr>
                        <w:t xml:space="preserve">EY refers to the global organization, and may refer to one or more, of the member firms of Ernst &amp; Young Global Limited, each of which is a separate legal entity. Ernst &amp; Young Global Limited, a UK company limited by guarantee, does not provide services to clients. Information about how EY collects and uses personal </w:t>
                      </w:r>
                      <w:proofErr w:type="gramStart"/>
                      <w:r w:rsidRPr="005719CD">
                        <w:rPr>
                          <w:rFonts w:cs="Arial"/>
                          <w:sz w:val="16"/>
                        </w:rPr>
                        <w:t>data</w:t>
                      </w:r>
                      <w:proofErr w:type="gramEnd"/>
                      <w:r w:rsidRPr="005719CD">
                        <w:rPr>
                          <w:rFonts w:cs="Arial"/>
                          <w:sz w:val="16"/>
                        </w:rPr>
                        <w:t xml:space="preserve"> and a description of the rights individuals have under data protection legislation are available via ey.com/privacy. EY member firms do not practice law </w:t>
                      </w:r>
                      <w:proofErr w:type="gramStart"/>
                      <w:r w:rsidRPr="005719CD">
                        <w:rPr>
                          <w:rFonts w:cs="Arial"/>
                          <w:sz w:val="16"/>
                        </w:rPr>
                        <w:t>where</w:t>
                      </w:r>
                      <w:proofErr w:type="gramEnd"/>
                      <w:r w:rsidRPr="005719CD">
                        <w:rPr>
                          <w:rFonts w:cs="Arial"/>
                          <w:sz w:val="16"/>
                        </w:rPr>
                        <w:t xml:space="preserve"> prohibited by local laws. For more information about our organization, please visit ey.com.</w:t>
                      </w:r>
                    </w:p>
                    <w:p w14:paraId="4E710123" w14:textId="54BC2F6E" w:rsidR="0024287C" w:rsidRPr="003A5E6F" w:rsidRDefault="008B5BA4" w:rsidP="000822EB">
                      <w:pPr>
                        <w:rPr>
                          <w:rFonts w:cs="Arial"/>
                          <w:sz w:val="16"/>
                        </w:rPr>
                      </w:pPr>
                      <w:r w:rsidRPr="00B22C43">
                        <w:rPr>
                          <w:rFonts w:cs="Arial"/>
                          <w:sz w:val="16"/>
                        </w:rPr>
                        <w:t xml:space="preserve">© </w:t>
                      </w:r>
                      <w:r>
                        <w:rPr>
                          <w:rFonts w:cs="Arial"/>
                          <w:sz w:val="16"/>
                        </w:rPr>
                        <w:t xml:space="preserve">Commonwealth of </w:t>
                      </w:r>
                      <w:r w:rsidRPr="00B22C43">
                        <w:rPr>
                          <w:rFonts w:cs="Arial"/>
                          <w:sz w:val="16"/>
                        </w:rPr>
                        <w:t>Australia</w:t>
                      </w:r>
                      <w:r>
                        <w:rPr>
                          <w:rFonts w:cs="Arial"/>
                          <w:sz w:val="16"/>
                        </w:rPr>
                        <w:t xml:space="preserve"> 2024</w:t>
                      </w:r>
                    </w:p>
                    <w:p w14:paraId="4816F17F" w14:textId="527479A8" w:rsidR="002C46B7" w:rsidRDefault="003A5E6F" w:rsidP="002C46B7">
                      <w:pPr>
                        <w:rPr>
                          <w:b/>
                          <w:bCs/>
                          <w:sz w:val="14"/>
                          <w:szCs w:val="14"/>
                        </w:rPr>
                      </w:pPr>
                      <w:r>
                        <w:rPr>
                          <w:b/>
                          <w:bCs/>
                          <w:sz w:val="14"/>
                          <w:szCs w:val="14"/>
                        </w:rPr>
                        <w:br/>
                      </w:r>
                      <w:r w:rsidR="002C46B7" w:rsidRPr="002C46B7">
                        <w:rPr>
                          <w:b/>
                          <w:bCs/>
                          <w:sz w:val="14"/>
                          <w:szCs w:val="14"/>
                        </w:rPr>
                        <w:t>Ownership of intellectual property rights</w:t>
                      </w:r>
                    </w:p>
                    <w:p w14:paraId="640EF681" w14:textId="77777777" w:rsidR="0024287C" w:rsidRPr="002C46B7" w:rsidRDefault="0024287C" w:rsidP="002C46B7">
                      <w:pPr>
                        <w:rPr>
                          <w:b/>
                          <w:bCs/>
                          <w:sz w:val="14"/>
                          <w:szCs w:val="14"/>
                        </w:rPr>
                      </w:pPr>
                    </w:p>
                    <w:p w14:paraId="333B7160" w14:textId="0406AB1A" w:rsidR="002C46B7" w:rsidRDefault="002C46B7" w:rsidP="002C46B7">
                      <w:pPr>
                        <w:rPr>
                          <w:sz w:val="14"/>
                          <w:szCs w:val="14"/>
                        </w:rPr>
                      </w:pPr>
                      <w:r w:rsidRPr="002C46B7">
                        <w:rPr>
                          <w:sz w:val="14"/>
                          <w:szCs w:val="14"/>
                        </w:rPr>
                        <w:t>Unless otherwise noted, copyright (and any other intellectual property rights, if any) in this publication is owned by the Commonwealth of Australia.</w:t>
                      </w:r>
                      <w:r w:rsidR="00FE4705">
                        <w:rPr>
                          <w:sz w:val="14"/>
                          <w:szCs w:val="14"/>
                        </w:rPr>
                        <w:br/>
                      </w:r>
                    </w:p>
                    <w:p w14:paraId="2D96DB12" w14:textId="77777777" w:rsidR="0024287C" w:rsidRPr="002C46B7" w:rsidRDefault="0024287C" w:rsidP="0024287C">
                      <w:pPr>
                        <w:rPr>
                          <w:sz w:val="14"/>
                          <w:szCs w:val="14"/>
                        </w:rPr>
                      </w:pPr>
                      <w:r w:rsidRPr="002C46B7">
                        <w:rPr>
                          <w:rStyle w:val="Hyperlink"/>
                          <w:b/>
                          <w:bCs/>
                          <w:sz w:val="14"/>
                          <w:szCs w:val="14"/>
                        </w:rPr>
                        <w:drawing>
                          <wp:inline distT="0" distB="0" distL="0" distR="0" wp14:anchorId="2FD7CC82" wp14:editId="04CD6A67">
                            <wp:extent cx="838200" cy="295275"/>
                            <wp:effectExtent l="0" t="0" r="0" b="9525"/>
                            <wp:docPr id="1292746991" name="Picture 2"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hyperlink r:id="rId54" w:history="1">
                        <w:r w:rsidRPr="002C46B7">
                          <w:rPr>
                            <w:rStyle w:val="Hyperlink"/>
                            <w:b/>
                            <w:bCs/>
                            <w:sz w:val="14"/>
                            <w:szCs w:val="14"/>
                          </w:rPr>
                          <w:t> Creative Commons Attribution 4.0 International Licence CC BY 4.0</w:t>
                        </w:r>
                      </w:hyperlink>
                    </w:p>
                    <w:p w14:paraId="670E8D40" w14:textId="77777777" w:rsidR="0024287C" w:rsidRPr="002C46B7" w:rsidRDefault="0024287C" w:rsidP="002C46B7">
                      <w:pPr>
                        <w:rPr>
                          <w:sz w:val="14"/>
                          <w:szCs w:val="14"/>
                        </w:rPr>
                      </w:pPr>
                    </w:p>
                    <w:p w14:paraId="67C07DA9" w14:textId="77777777" w:rsidR="002C46B7" w:rsidRPr="002C46B7" w:rsidRDefault="002C46B7" w:rsidP="002C46B7">
                      <w:pPr>
                        <w:rPr>
                          <w:sz w:val="14"/>
                          <w:szCs w:val="14"/>
                        </w:rPr>
                      </w:pPr>
                      <w:r w:rsidRPr="002C46B7">
                        <w:rPr>
                          <w:sz w:val="14"/>
                          <w:szCs w:val="14"/>
                        </w:rPr>
                        <w:t xml:space="preserve">All material in this publication is licensed under a Creative Commons Attribution 4.0 International Licence, </w:t>
                      </w:r>
                      <w:proofErr w:type="gramStart"/>
                      <w:r w:rsidRPr="002C46B7">
                        <w:rPr>
                          <w:sz w:val="14"/>
                          <w:szCs w:val="14"/>
                        </w:rPr>
                        <w:t>with the exception of</w:t>
                      </w:r>
                      <w:proofErr w:type="gramEnd"/>
                      <w:r w:rsidRPr="002C46B7">
                        <w:rPr>
                          <w:sz w:val="14"/>
                          <w:szCs w:val="14"/>
                        </w:rPr>
                        <w:t>:</w:t>
                      </w:r>
                    </w:p>
                    <w:p w14:paraId="5EA1BCF8" w14:textId="77777777" w:rsidR="002C46B7" w:rsidRPr="002C46B7" w:rsidRDefault="002C46B7" w:rsidP="002C46B7">
                      <w:pPr>
                        <w:numPr>
                          <w:ilvl w:val="0"/>
                          <w:numId w:val="47"/>
                        </w:numPr>
                        <w:rPr>
                          <w:sz w:val="14"/>
                          <w:szCs w:val="14"/>
                        </w:rPr>
                      </w:pPr>
                      <w:r w:rsidRPr="002C46B7">
                        <w:rPr>
                          <w:sz w:val="14"/>
                          <w:szCs w:val="14"/>
                        </w:rPr>
                        <w:t>the Commonwealth Coat of Arms</w:t>
                      </w:r>
                    </w:p>
                    <w:p w14:paraId="7DDB6A9B" w14:textId="77777777" w:rsidR="002C46B7" w:rsidRPr="002C46B7" w:rsidRDefault="002C46B7" w:rsidP="002C46B7">
                      <w:pPr>
                        <w:numPr>
                          <w:ilvl w:val="0"/>
                          <w:numId w:val="47"/>
                        </w:numPr>
                        <w:rPr>
                          <w:sz w:val="14"/>
                          <w:szCs w:val="14"/>
                        </w:rPr>
                      </w:pPr>
                      <w:r w:rsidRPr="002C46B7">
                        <w:rPr>
                          <w:sz w:val="14"/>
                          <w:szCs w:val="14"/>
                        </w:rPr>
                        <w:t>content supplied by third parties</w:t>
                      </w:r>
                    </w:p>
                    <w:p w14:paraId="6595A774" w14:textId="77777777" w:rsidR="002C46B7" w:rsidRPr="002C46B7" w:rsidRDefault="002C46B7" w:rsidP="002C46B7">
                      <w:pPr>
                        <w:numPr>
                          <w:ilvl w:val="0"/>
                          <w:numId w:val="47"/>
                        </w:numPr>
                        <w:rPr>
                          <w:sz w:val="14"/>
                          <w:szCs w:val="14"/>
                        </w:rPr>
                      </w:pPr>
                      <w:r w:rsidRPr="002C46B7">
                        <w:rPr>
                          <w:sz w:val="14"/>
                          <w:szCs w:val="14"/>
                        </w:rPr>
                        <w:t>logos</w:t>
                      </w:r>
                    </w:p>
                    <w:p w14:paraId="394603C1" w14:textId="77777777" w:rsidR="002C46B7" w:rsidRPr="002C46B7" w:rsidRDefault="002C46B7" w:rsidP="002C46B7">
                      <w:pPr>
                        <w:numPr>
                          <w:ilvl w:val="0"/>
                          <w:numId w:val="47"/>
                        </w:numPr>
                        <w:rPr>
                          <w:sz w:val="14"/>
                          <w:szCs w:val="14"/>
                        </w:rPr>
                      </w:pPr>
                      <w:r w:rsidRPr="002C46B7">
                        <w:rPr>
                          <w:sz w:val="14"/>
                          <w:szCs w:val="14"/>
                        </w:rPr>
                        <w:t>any material protected by trademark or otherwise noted in this publication.</w:t>
                      </w:r>
                    </w:p>
                    <w:p w14:paraId="4E0ACB32" w14:textId="77777777" w:rsidR="002C46B7" w:rsidRPr="002C46B7" w:rsidRDefault="002C46B7" w:rsidP="002C46B7">
                      <w:pPr>
                        <w:rPr>
                          <w:sz w:val="14"/>
                          <w:szCs w:val="14"/>
                        </w:rPr>
                      </w:pPr>
                    </w:p>
                    <w:p w14:paraId="0F220CF7" w14:textId="77777777" w:rsidR="002C46B7" w:rsidRPr="002C46B7" w:rsidRDefault="002C46B7" w:rsidP="002C46B7">
                      <w:pPr>
                        <w:rPr>
                          <w:sz w:val="14"/>
                          <w:szCs w:val="14"/>
                        </w:rPr>
                      </w:pPr>
                      <w:r w:rsidRPr="002C46B7">
                        <w:rPr>
                          <w:sz w:val="14"/>
                          <w:szCs w:val="14"/>
                        </w:rPr>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55" w:history="1">
                        <w:r w:rsidRPr="002C46B7">
                          <w:rPr>
                            <w:rStyle w:val="Hyperlink"/>
                            <w:sz w:val="14"/>
                            <w:szCs w:val="14"/>
                          </w:rPr>
                          <w:t>https://creativecommons.org/licenses/by/4.0/</w:t>
                        </w:r>
                      </w:hyperlink>
                      <w:r w:rsidRPr="002C46B7">
                        <w:rPr>
                          <w:sz w:val="14"/>
                          <w:szCs w:val="14"/>
                        </w:rPr>
                        <w:t xml:space="preserve">. The full licence terms are available from </w:t>
                      </w:r>
                      <w:hyperlink r:id="rId56" w:history="1">
                        <w:r w:rsidRPr="002C46B7">
                          <w:rPr>
                            <w:rStyle w:val="Hyperlink"/>
                            <w:sz w:val="14"/>
                            <w:szCs w:val="14"/>
                          </w:rPr>
                          <w:t>https://creativecommons.org/licenses/by/4.0/legalcode</w:t>
                        </w:r>
                      </w:hyperlink>
                      <w:r w:rsidRPr="002C46B7">
                        <w:rPr>
                          <w:sz w:val="14"/>
                          <w:szCs w:val="14"/>
                        </w:rPr>
                        <w:t>.</w:t>
                      </w:r>
                    </w:p>
                    <w:p w14:paraId="2858245E" w14:textId="77777777" w:rsidR="002C46B7" w:rsidRPr="002C46B7" w:rsidRDefault="002C46B7" w:rsidP="002C46B7">
                      <w:pPr>
                        <w:rPr>
                          <w:sz w:val="14"/>
                          <w:szCs w:val="14"/>
                        </w:rPr>
                      </w:pPr>
                      <w:r w:rsidRPr="002C46B7">
                        <w:rPr>
                          <w:rFonts w:ascii="Times New Roman" w:hAnsi="Times New Roman"/>
                          <w:sz w:val="14"/>
                          <w:szCs w:val="14"/>
                        </w:rPr>
                        <w:t>​​​​​​​​​​​​​​​​​​​​​​​​​​​​</w:t>
                      </w:r>
                    </w:p>
                    <w:p w14:paraId="5877EC4F" w14:textId="77777777" w:rsidR="002C46B7" w:rsidRPr="002C46B7" w:rsidRDefault="002C46B7" w:rsidP="002C46B7">
                      <w:pPr>
                        <w:rPr>
                          <w:sz w:val="14"/>
                          <w:szCs w:val="14"/>
                        </w:rPr>
                      </w:pPr>
                      <w:r w:rsidRPr="002C46B7">
                        <w:rPr>
                          <w:sz w:val="14"/>
                          <w:szCs w:val="14"/>
                        </w:rPr>
                        <w:t xml:space="preserve">Content contained herein should be attributed as Ernst &amp; Young (2022), A national strategy for open access: briefing paper. A report to the Office of the Chief Scientist, Australian Government, Canberra. </w:t>
                      </w:r>
                    </w:p>
                    <w:p w14:paraId="0BB17B74" w14:textId="77777777" w:rsidR="002C46B7" w:rsidRPr="002C46B7" w:rsidRDefault="002C46B7" w:rsidP="002C46B7">
                      <w:pPr>
                        <w:rPr>
                          <w:sz w:val="14"/>
                          <w:szCs w:val="14"/>
                        </w:rPr>
                      </w:pPr>
                    </w:p>
                    <w:p w14:paraId="32D9C212" w14:textId="77777777" w:rsidR="002C46B7" w:rsidRPr="002C46B7" w:rsidRDefault="002C46B7" w:rsidP="002C46B7">
                      <w:pPr>
                        <w:rPr>
                          <w:sz w:val="14"/>
                          <w:szCs w:val="14"/>
                        </w:rPr>
                      </w:pPr>
                      <w:r w:rsidRPr="002C46B7">
                        <w:rPr>
                          <w:sz w:val="14"/>
                          <w:szCs w:val="14"/>
                        </w:rPr>
                        <w:t>This notice excludes the Commonwealth Coat of Arms, any logos and any material protected by trademark or otherwise noted in the publication, from the application of the Creative Commons licence. These are all forms of property which the Commonwealth cannot or usually would not licence others to use.</w:t>
                      </w:r>
                    </w:p>
                    <w:p w14:paraId="71D65F67" w14:textId="77777777" w:rsidR="002C46B7" w:rsidRPr="00B43C4F" w:rsidRDefault="002C46B7" w:rsidP="000822EB">
                      <w:pPr>
                        <w:rPr>
                          <w:sz w:val="22"/>
                          <w:szCs w:val="22"/>
                        </w:rPr>
                      </w:pPr>
                    </w:p>
                  </w:txbxContent>
                </v:textbox>
              </v:shape>
            </w:pict>
          </mc:Fallback>
        </mc:AlternateContent>
      </w:r>
    </w:p>
    <w:sectPr w:rsidR="00F84400" w:rsidRPr="00477AFA" w:rsidSect="00AF3DA7">
      <w:headerReference w:type="default" r:id="rId57"/>
      <w:footerReference w:type="default" r:id="rId58"/>
      <w:pgSz w:w="11909" w:h="16834" w:code="9"/>
      <w:pgMar w:top="1418" w:right="1418" w:bottom="1418" w:left="1418" w:header="709" w:footer="42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7D2CD" w14:textId="77777777" w:rsidR="00E94FAF" w:rsidRDefault="00E94FAF">
      <w:r>
        <w:separator/>
      </w:r>
    </w:p>
  </w:endnote>
  <w:endnote w:type="continuationSeparator" w:id="0">
    <w:p w14:paraId="4D093F55" w14:textId="77777777" w:rsidR="00E94FAF" w:rsidRDefault="00E94FAF">
      <w:r>
        <w:continuationSeparator/>
      </w:r>
    </w:p>
  </w:endnote>
  <w:endnote w:type="continuationNotice" w:id="1">
    <w:p w14:paraId="12B95FC8" w14:textId="77777777" w:rsidR="00E94FAF" w:rsidRDefault="00E94F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Franklin Gothic Medium Cond"/>
    <w:panose1 w:val="02000506000000020004"/>
    <w:charset w:val="00"/>
    <w:family w:val="auto"/>
    <w:pitch w:val="variable"/>
    <w:sig w:usb0="A00002AF" w:usb1="5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EYInterstate">
    <w:altName w:val="Calibri"/>
    <w:panose1 w:val="02000503020000020004"/>
    <w:charset w:val="00"/>
    <w:family w:val="auto"/>
    <w:pitch w:val="variable"/>
    <w:sig w:usb0="800002AF" w:usb1="5000204A" w:usb2="00000000" w:usb3="00000000" w:csb0="0000009F" w:csb1="00000000"/>
  </w:font>
  <w:font w:name="EYInterstate Regular">
    <w:altName w:val="Calibri"/>
    <w:panose1 w:val="02000503020000020004"/>
    <w:charset w:val="00"/>
    <w:family w:val="auto"/>
    <w:pitch w:val="variable"/>
    <w:sig w:usb0="00000001" w:usb1="5000206A"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B422B" w14:textId="77777777" w:rsidR="001F6E0E" w:rsidRDefault="001F6E0E">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631AD" w14:textId="628ABBBC" w:rsidR="001F6E0E" w:rsidRDefault="003F10ED">
    <w:r>
      <w:rPr>
        <w:noProof/>
      </w:rPr>
      <mc:AlternateContent>
        <mc:Choice Requires="wpg">
          <w:drawing>
            <wp:anchor distT="0" distB="0" distL="114300" distR="114300" simplePos="0" relativeHeight="251658242" behindDoc="0" locked="0" layoutInCell="1" allowOverlap="1" wp14:anchorId="31586077" wp14:editId="1EBFBA81">
              <wp:simplePos x="0" y="0"/>
              <wp:positionH relativeFrom="column">
                <wp:posOffset>5762625</wp:posOffset>
              </wp:positionH>
              <wp:positionV relativeFrom="paragraph">
                <wp:posOffset>-826135</wp:posOffset>
              </wp:positionV>
              <wp:extent cx="1225550" cy="1435100"/>
              <wp:effectExtent l="0" t="0" r="0" b="0"/>
              <wp:wrapNone/>
              <wp:docPr id="56" name="Group 4"/>
              <wp:cNvGraphicFramePr/>
              <a:graphic xmlns:a="http://schemas.openxmlformats.org/drawingml/2006/main">
                <a:graphicData uri="http://schemas.microsoft.com/office/word/2010/wordprocessingGroup">
                  <wpg:wgp>
                    <wpg:cNvGrpSpPr/>
                    <wpg:grpSpPr bwMode="auto">
                      <a:xfrm>
                        <a:off x="0" y="0"/>
                        <a:ext cx="1225550" cy="1435100"/>
                        <a:chOff x="0" y="0"/>
                        <a:chExt cx="772" cy="904"/>
                      </a:xfrm>
                    </wpg:grpSpPr>
                    <wps:wsp>
                      <wps:cNvPr id="61" name="Freeform 5"/>
                      <wps:cNvSpPr>
                        <a:spLocks/>
                      </wps:cNvSpPr>
                      <wps:spPr bwMode="auto">
                        <a:xfrm>
                          <a:off x="0" y="0"/>
                          <a:ext cx="619" cy="226"/>
                        </a:xfrm>
                        <a:custGeom>
                          <a:avLst/>
                          <a:gdLst>
                            <a:gd name="T0" fmla="*/ 2473 w 2473"/>
                            <a:gd name="T1" fmla="*/ 0 h 902"/>
                            <a:gd name="T2" fmla="*/ 0 w 2473"/>
                            <a:gd name="T3" fmla="*/ 902 h 902"/>
                            <a:gd name="T4" fmla="*/ 2473 w 2473"/>
                            <a:gd name="T5" fmla="*/ 466 h 902"/>
                            <a:gd name="T6" fmla="*/ 2473 w 2473"/>
                            <a:gd name="T7" fmla="*/ 0 h 902"/>
                          </a:gdLst>
                          <a:ahLst/>
                          <a:cxnLst>
                            <a:cxn ang="0">
                              <a:pos x="T0" y="T1"/>
                            </a:cxn>
                            <a:cxn ang="0">
                              <a:pos x="T2" y="T3"/>
                            </a:cxn>
                            <a:cxn ang="0">
                              <a:pos x="T4" y="T5"/>
                            </a:cxn>
                            <a:cxn ang="0">
                              <a:pos x="T6" y="T7"/>
                            </a:cxn>
                          </a:cxnLst>
                          <a:rect l="0" t="0" r="r" b="b"/>
                          <a:pathLst>
                            <a:path w="2473" h="902">
                              <a:moveTo>
                                <a:pt x="2473" y="0"/>
                              </a:moveTo>
                              <a:lnTo>
                                <a:pt x="0" y="902"/>
                              </a:lnTo>
                              <a:lnTo>
                                <a:pt x="2473" y="466"/>
                              </a:lnTo>
                              <a:lnTo>
                                <a:pt x="2473"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Freeform 6"/>
                      <wps:cNvSpPr>
                        <a:spLocks noEditPoints="1"/>
                      </wps:cNvSpPr>
                      <wps:spPr bwMode="auto">
                        <a:xfrm>
                          <a:off x="0" y="319"/>
                          <a:ext cx="772" cy="585"/>
                        </a:xfrm>
                        <a:custGeom>
                          <a:avLst/>
                          <a:gdLst>
                            <a:gd name="T0" fmla="*/ 233 w 3088"/>
                            <a:gd name="T1" fmla="*/ 1588 h 2339"/>
                            <a:gd name="T2" fmla="*/ 253 w 3088"/>
                            <a:gd name="T3" fmla="*/ 1795 h 2339"/>
                            <a:gd name="T4" fmla="*/ 151 w 3088"/>
                            <a:gd name="T5" fmla="*/ 1810 h 2339"/>
                            <a:gd name="T6" fmla="*/ 351 w 3088"/>
                            <a:gd name="T7" fmla="*/ 1761 h 2339"/>
                            <a:gd name="T8" fmla="*/ 416 w 3088"/>
                            <a:gd name="T9" fmla="*/ 1857 h 2339"/>
                            <a:gd name="T10" fmla="*/ 1140 w 3088"/>
                            <a:gd name="T11" fmla="*/ 1652 h 2339"/>
                            <a:gd name="T12" fmla="*/ 1216 w 3088"/>
                            <a:gd name="T13" fmla="*/ 1738 h 2339"/>
                            <a:gd name="T14" fmla="*/ 696 w 3088"/>
                            <a:gd name="T15" fmla="*/ 1546 h 2339"/>
                            <a:gd name="T16" fmla="*/ 738 w 3088"/>
                            <a:gd name="T17" fmla="*/ 1710 h 2339"/>
                            <a:gd name="T18" fmla="*/ 860 w 3088"/>
                            <a:gd name="T19" fmla="*/ 1854 h 2339"/>
                            <a:gd name="T20" fmla="*/ 832 w 3088"/>
                            <a:gd name="T21" fmla="*/ 1684 h 2339"/>
                            <a:gd name="T22" fmla="*/ 2021 w 3088"/>
                            <a:gd name="T23" fmla="*/ 1860 h 2339"/>
                            <a:gd name="T24" fmla="*/ 2158 w 3088"/>
                            <a:gd name="T25" fmla="*/ 1747 h 2339"/>
                            <a:gd name="T26" fmla="*/ 2100 w 3088"/>
                            <a:gd name="T27" fmla="*/ 1730 h 2339"/>
                            <a:gd name="T28" fmla="*/ 2059 w 3088"/>
                            <a:gd name="T29" fmla="*/ 1684 h 2339"/>
                            <a:gd name="T30" fmla="*/ 1309 w 3088"/>
                            <a:gd name="T31" fmla="*/ 1734 h 2339"/>
                            <a:gd name="T32" fmla="*/ 1445 w 3088"/>
                            <a:gd name="T33" fmla="*/ 1844 h 2339"/>
                            <a:gd name="T34" fmla="*/ 1473 w 3088"/>
                            <a:gd name="T35" fmla="*/ 1923 h 2339"/>
                            <a:gd name="T36" fmla="*/ 1369 w 3088"/>
                            <a:gd name="T37" fmla="*/ 1781 h 2339"/>
                            <a:gd name="T38" fmla="*/ 1727 w 3088"/>
                            <a:gd name="T39" fmla="*/ 1677 h 2339"/>
                            <a:gd name="T40" fmla="*/ 1632 w 3088"/>
                            <a:gd name="T41" fmla="*/ 1778 h 2339"/>
                            <a:gd name="T42" fmla="*/ 1822 w 3088"/>
                            <a:gd name="T43" fmla="*/ 1710 h 2339"/>
                            <a:gd name="T44" fmla="*/ 1686 w 3088"/>
                            <a:gd name="T45" fmla="*/ 1786 h 2339"/>
                            <a:gd name="T46" fmla="*/ 1708 w 3088"/>
                            <a:gd name="T47" fmla="*/ 1817 h 2339"/>
                            <a:gd name="T48" fmla="*/ 2240 w 3088"/>
                            <a:gd name="T49" fmla="*/ 1766 h 2339"/>
                            <a:gd name="T50" fmla="*/ 2227 w 3088"/>
                            <a:gd name="T51" fmla="*/ 1653 h 2339"/>
                            <a:gd name="T52" fmla="*/ 2290 w 3088"/>
                            <a:gd name="T53" fmla="*/ 1866 h 2339"/>
                            <a:gd name="T54" fmla="*/ 2321 w 3088"/>
                            <a:gd name="T55" fmla="*/ 1709 h 2339"/>
                            <a:gd name="T56" fmla="*/ 2908 w 3088"/>
                            <a:gd name="T57" fmla="*/ 1750 h 2339"/>
                            <a:gd name="T58" fmla="*/ 2730 w 3088"/>
                            <a:gd name="T59" fmla="*/ 1683 h 2339"/>
                            <a:gd name="T60" fmla="*/ 2852 w 3088"/>
                            <a:gd name="T61" fmla="*/ 1860 h 2339"/>
                            <a:gd name="T62" fmla="*/ 2639 w 3088"/>
                            <a:gd name="T63" fmla="*/ 1783 h 2339"/>
                            <a:gd name="T64" fmla="*/ 2605 w 3088"/>
                            <a:gd name="T65" fmla="*/ 1853 h 2339"/>
                            <a:gd name="T66" fmla="*/ 2464 w 3088"/>
                            <a:gd name="T67" fmla="*/ 1861 h 2339"/>
                            <a:gd name="T68" fmla="*/ 2495 w 3088"/>
                            <a:gd name="T69" fmla="*/ 1812 h 2339"/>
                            <a:gd name="T70" fmla="*/ 2998 w 3088"/>
                            <a:gd name="T71" fmla="*/ 1639 h 2339"/>
                            <a:gd name="T72" fmla="*/ 975 w 3088"/>
                            <a:gd name="T73" fmla="*/ 1860 h 2339"/>
                            <a:gd name="T74" fmla="*/ 2416 w 3088"/>
                            <a:gd name="T75" fmla="*/ 2069 h 2339"/>
                            <a:gd name="T76" fmla="*/ 2510 w 3088"/>
                            <a:gd name="T77" fmla="*/ 2251 h 2339"/>
                            <a:gd name="T78" fmla="*/ 2485 w 3088"/>
                            <a:gd name="T79" fmla="*/ 2074 h 2339"/>
                            <a:gd name="T80" fmla="*/ 627 w 3088"/>
                            <a:gd name="T81" fmla="*/ 2078 h 2339"/>
                            <a:gd name="T82" fmla="*/ 672 w 3088"/>
                            <a:gd name="T83" fmla="*/ 2089 h 2339"/>
                            <a:gd name="T84" fmla="*/ 202 w 3088"/>
                            <a:gd name="T85" fmla="*/ 2135 h 2339"/>
                            <a:gd name="T86" fmla="*/ 310 w 3088"/>
                            <a:gd name="T87" fmla="*/ 2174 h 2339"/>
                            <a:gd name="T88" fmla="*/ 503 w 3088"/>
                            <a:gd name="T89" fmla="*/ 2174 h 2339"/>
                            <a:gd name="T90" fmla="*/ 374 w 3088"/>
                            <a:gd name="T91" fmla="*/ 2185 h 2339"/>
                            <a:gd name="T92" fmla="*/ 439 w 3088"/>
                            <a:gd name="T93" fmla="*/ 2185 h 2339"/>
                            <a:gd name="T94" fmla="*/ 2197 w 3088"/>
                            <a:gd name="T95" fmla="*/ 2040 h 2339"/>
                            <a:gd name="T96" fmla="*/ 1597 w 3088"/>
                            <a:gd name="T97" fmla="*/ 2027 h 2339"/>
                            <a:gd name="T98" fmla="*/ 1937 w 3088"/>
                            <a:gd name="T99" fmla="*/ 2047 h 2339"/>
                            <a:gd name="T100" fmla="*/ 2002 w 3088"/>
                            <a:gd name="T101" fmla="*/ 2254 h 2339"/>
                            <a:gd name="T102" fmla="*/ 2061 w 3088"/>
                            <a:gd name="T103" fmla="*/ 2041 h 2339"/>
                            <a:gd name="T104" fmla="*/ 2002 w 3088"/>
                            <a:gd name="T105" fmla="*/ 2073 h 2339"/>
                            <a:gd name="T106" fmla="*/ 767 w 3088"/>
                            <a:gd name="T107" fmla="*/ 1934 h 2339"/>
                            <a:gd name="T108" fmla="*/ 1202 w 3088"/>
                            <a:gd name="T109" fmla="*/ 2037 h 2339"/>
                            <a:gd name="T110" fmla="*/ 1108 w 3088"/>
                            <a:gd name="T111" fmla="*/ 2086 h 2339"/>
                            <a:gd name="T112" fmla="*/ 1280 w 3088"/>
                            <a:gd name="T113" fmla="*/ 2078 h 2339"/>
                            <a:gd name="T114" fmla="*/ 1385 w 3088"/>
                            <a:gd name="T115" fmla="*/ 2249 h 2339"/>
                            <a:gd name="T116" fmla="*/ 1403 w 3088"/>
                            <a:gd name="T117" fmla="*/ 2332 h 2339"/>
                            <a:gd name="T118" fmla="*/ 1354 w 3088"/>
                            <a:gd name="T119" fmla="*/ 2200 h 2339"/>
                            <a:gd name="T120" fmla="*/ 993 w 3088"/>
                            <a:gd name="T121" fmla="*/ 2123 h 2339"/>
                            <a:gd name="T122" fmla="*/ 397 w 3088"/>
                            <a:gd name="T123" fmla="*/ 963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88" h="2339">
                              <a:moveTo>
                                <a:pt x="257" y="1763"/>
                              </a:moveTo>
                              <a:lnTo>
                                <a:pt x="257" y="1763"/>
                              </a:lnTo>
                              <a:lnTo>
                                <a:pt x="257" y="1755"/>
                              </a:lnTo>
                              <a:lnTo>
                                <a:pt x="256" y="1749"/>
                              </a:lnTo>
                              <a:lnTo>
                                <a:pt x="253" y="1736"/>
                              </a:lnTo>
                              <a:lnTo>
                                <a:pt x="247" y="1725"/>
                              </a:lnTo>
                              <a:lnTo>
                                <a:pt x="241" y="1716"/>
                              </a:lnTo>
                              <a:lnTo>
                                <a:pt x="233" y="1709"/>
                              </a:lnTo>
                              <a:lnTo>
                                <a:pt x="225" y="1704"/>
                              </a:lnTo>
                              <a:lnTo>
                                <a:pt x="219" y="1699"/>
                              </a:lnTo>
                              <a:lnTo>
                                <a:pt x="212" y="1696"/>
                              </a:lnTo>
                              <a:lnTo>
                                <a:pt x="212" y="1696"/>
                              </a:lnTo>
                              <a:lnTo>
                                <a:pt x="220" y="1690"/>
                              </a:lnTo>
                              <a:lnTo>
                                <a:pt x="226" y="1685"/>
                              </a:lnTo>
                              <a:lnTo>
                                <a:pt x="232" y="1678"/>
                              </a:lnTo>
                              <a:lnTo>
                                <a:pt x="237" y="1671"/>
                              </a:lnTo>
                              <a:lnTo>
                                <a:pt x="242" y="1663"/>
                              </a:lnTo>
                              <a:lnTo>
                                <a:pt x="244" y="1654"/>
                              </a:lnTo>
                              <a:lnTo>
                                <a:pt x="246" y="1645"/>
                              </a:lnTo>
                              <a:lnTo>
                                <a:pt x="246" y="1635"/>
                              </a:lnTo>
                              <a:lnTo>
                                <a:pt x="246" y="1635"/>
                              </a:lnTo>
                              <a:lnTo>
                                <a:pt x="246" y="1626"/>
                              </a:lnTo>
                              <a:lnTo>
                                <a:pt x="245" y="1618"/>
                              </a:lnTo>
                              <a:lnTo>
                                <a:pt x="243" y="1610"/>
                              </a:lnTo>
                              <a:lnTo>
                                <a:pt x="241" y="1602"/>
                              </a:lnTo>
                              <a:lnTo>
                                <a:pt x="237" y="1594"/>
                              </a:lnTo>
                              <a:lnTo>
                                <a:pt x="233" y="1588"/>
                              </a:lnTo>
                              <a:lnTo>
                                <a:pt x="227" y="1582"/>
                              </a:lnTo>
                              <a:lnTo>
                                <a:pt x="222" y="1577"/>
                              </a:lnTo>
                              <a:lnTo>
                                <a:pt x="215" y="1572"/>
                              </a:lnTo>
                              <a:lnTo>
                                <a:pt x="209" y="1568"/>
                              </a:lnTo>
                              <a:lnTo>
                                <a:pt x="201" y="1565"/>
                              </a:lnTo>
                              <a:lnTo>
                                <a:pt x="192" y="1561"/>
                              </a:lnTo>
                              <a:lnTo>
                                <a:pt x="183" y="1559"/>
                              </a:lnTo>
                              <a:lnTo>
                                <a:pt x="173" y="1557"/>
                              </a:lnTo>
                              <a:lnTo>
                                <a:pt x="163" y="1557"/>
                              </a:lnTo>
                              <a:lnTo>
                                <a:pt x="152" y="1556"/>
                              </a:lnTo>
                              <a:lnTo>
                                <a:pt x="22" y="1556"/>
                              </a:lnTo>
                              <a:lnTo>
                                <a:pt x="22" y="1860"/>
                              </a:lnTo>
                              <a:lnTo>
                                <a:pt x="151" y="1860"/>
                              </a:lnTo>
                              <a:lnTo>
                                <a:pt x="151" y="1860"/>
                              </a:lnTo>
                              <a:lnTo>
                                <a:pt x="163" y="1860"/>
                              </a:lnTo>
                              <a:lnTo>
                                <a:pt x="174" y="1859"/>
                              </a:lnTo>
                              <a:lnTo>
                                <a:pt x="185" y="1857"/>
                              </a:lnTo>
                              <a:lnTo>
                                <a:pt x="195" y="1854"/>
                              </a:lnTo>
                              <a:lnTo>
                                <a:pt x="205" y="1850"/>
                              </a:lnTo>
                              <a:lnTo>
                                <a:pt x="214" y="1846"/>
                              </a:lnTo>
                              <a:lnTo>
                                <a:pt x="222" y="1840"/>
                              </a:lnTo>
                              <a:lnTo>
                                <a:pt x="228" y="1835"/>
                              </a:lnTo>
                              <a:lnTo>
                                <a:pt x="235" y="1828"/>
                              </a:lnTo>
                              <a:lnTo>
                                <a:pt x="241" y="1821"/>
                              </a:lnTo>
                              <a:lnTo>
                                <a:pt x="246" y="1813"/>
                              </a:lnTo>
                              <a:lnTo>
                                <a:pt x="249" y="1804"/>
                              </a:lnTo>
                              <a:lnTo>
                                <a:pt x="253" y="1795"/>
                              </a:lnTo>
                              <a:lnTo>
                                <a:pt x="255" y="1785"/>
                              </a:lnTo>
                              <a:lnTo>
                                <a:pt x="256" y="1774"/>
                              </a:lnTo>
                              <a:lnTo>
                                <a:pt x="257" y="1763"/>
                              </a:lnTo>
                              <a:lnTo>
                                <a:pt x="257" y="1763"/>
                              </a:lnTo>
                              <a:close/>
                              <a:moveTo>
                                <a:pt x="151" y="1810"/>
                              </a:moveTo>
                              <a:lnTo>
                                <a:pt x="78" y="1810"/>
                              </a:lnTo>
                              <a:lnTo>
                                <a:pt x="78" y="1722"/>
                              </a:lnTo>
                              <a:lnTo>
                                <a:pt x="151" y="1722"/>
                              </a:lnTo>
                              <a:lnTo>
                                <a:pt x="151" y="1722"/>
                              </a:lnTo>
                              <a:lnTo>
                                <a:pt x="162" y="1723"/>
                              </a:lnTo>
                              <a:lnTo>
                                <a:pt x="171" y="1725"/>
                              </a:lnTo>
                              <a:lnTo>
                                <a:pt x="179" y="1728"/>
                              </a:lnTo>
                              <a:lnTo>
                                <a:pt x="185" y="1733"/>
                              </a:lnTo>
                              <a:lnTo>
                                <a:pt x="191" y="1739"/>
                              </a:lnTo>
                              <a:lnTo>
                                <a:pt x="194" y="1747"/>
                              </a:lnTo>
                              <a:lnTo>
                                <a:pt x="196" y="1755"/>
                              </a:lnTo>
                              <a:lnTo>
                                <a:pt x="198" y="1765"/>
                              </a:lnTo>
                              <a:lnTo>
                                <a:pt x="198" y="1765"/>
                              </a:lnTo>
                              <a:lnTo>
                                <a:pt x="196" y="1775"/>
                              </a:lnTo>
                              <a:lnTo>
                                <a:pt x="194" y="1784"/>
                              </a:lnTo>
                              <a:lnTo>
                                <a:pt x="190" y="1792"/>
                              </a:lnTo>
                              <a:lnTo>
                                <a:pt x="185" y="1797"/>
                              </a:lnTo>
                              <a:lnTo>
                                <a:pt x="179" y="1803"/>
                              </a:lnTo>
                              <a:lnTo>
                                <a:pt x="171" y="1806"/>
                              </a:lnTo>
                              <a:lnTo>
                                <a:pt x="161" y="1808"/>
                              </a:lnTo>
                              <a:lnTo>
                                <a:pt x="151" y="1810"/>
                              </a:lnTo>
                              <a:lnTo>
                                <a:pt x="151" y="1810"/>
                              </a:lnTo>
                              <a:close/>
                              <a:moveTo>
                                <a:pt x="150" y="1673"/>
                              </a:moveTo>
                              <a:lnTo>
                                <a:pt x="78" y="1673"/>
                              </a:lnTo>
                              <a:lnTo>
                                <a:pt x="78" y="1608"/>
                              </a:lnTo>
                              <a:lnTo>
                                <a:pt x="148" y="1608"/>
                              </a:lnTo>
                              <a:lnTo>
                                <a:pt x="148" y="1608"/>
                              </a:lnTo>
                              <a:lnTo>
                                <a:pt x="157" y="1609"/>
                              </a:lnTo>
                              <a:lnTo>
                                <a:pt x="166" y="1610"/>
                              </a:lnTo>
                              <a:lnTo>
                                <a:pt x="172" y="1612"/>
                              </a:lnTo>
                              <a:lnTo>
                                <a:pt x="178" y="1615"/>
                              </a:lnTo>
                              <a:lnTo>
                                <a:pt x="182" y="1621"/>
                              </a:lnTo>
                              <a:lnTo>
                                <a:pt x="185" y="1626"/>
                              </a:lnTo>
                              <a:lnTo>
                                <a:pt x="187" y="1633"/>
                              </a:lnTo>
                              <a:lnTo>
                                <a:pt x="188" y="1641"/>
                              </a:lnTo>
                              <a:lnTo>
                                <a:pt x="188" y="1641"/>
                              </a:lnTo>
                              <a:lnTo>
                                <a:pt x="188" y="1646"/>
                              </a:lnTo>
                              <a:lnTo>
                                <a:pt x="187" y="1652"/>
                              </a:lnTo>
                              <a:lnTo>
                                <a:pt x="184" y="1657"/>
                              </a:lnTo>
                              <a:lnTo>
                                <a:pt x="181" y="1662"/>
                              </a:lnTo>
                              <a:lnTo>
                                <a:pt x="175" y="1666"/>
                              </a:lnTo>
                              <a:lnTo>
                                <a:pt x="169" y="1669"/>
                              </a:lnTo>
                              <a:lnTo>
                                <a:pt x="161" y="1672"/>
                              </a:lnTo>
                              <a:lnTo>
                                <a:pt x="150" y="1673"/>
                              </a:lnTo>
                              <a:lnTo>
                                <a:pt x="150" y="1673"/>
                              </a:lnTo>
                              <a:close/>
                              <a:moveTo>
                                <a:pt x="296" y="1764"/>
                              </a:moveTo>
                              <a:lnTo>
                                <a:pt x="296" y="1639"/>
                              </a:lnTo>
                              <a:lnTo>
                                <a:pt x="351" y="1639"/>
                              </a:lnTo>
                              <a:lnTo>
                                <a:pt x="351" y="1761"/>
                              </a:lnTo>
                              <a:lnTo>
                                <a:pt x="351" y="1761"/>
                              </a:lnTo>
                              <a:lnTo>
                                <a:pt x="351" y="1773"/>
                              </a:lnTo>
                              <a:lnTo>
                                <a:pt x="353" y="1785"/>
                              </a:lnTo>
                              <a:lnTo>
                                <a:pt x="356" y="1794"/>
                              </a:lnTo>
                              <a:lnTo>
                                <a:pt x="361" y="1802"/>
                              </a:lnTo>
                              <a:lnTo>
                                <a:pt x="366" y="1807"/>
                              </a:lnTo>
                              <a:lnTo>
                                <a:pt x="373" y="1812"/>
                              </a:lnTo>
                              <a:lnTo>
                                <a:pt x="382" y="1814"/>
                              </a:lnTo>
                              <a:lnTo>
                                <a:pt x="392" y="1815"/>
                              </a:lnTo>
                              <a:lnTo>
                                <a:pt x="392" y="1815"/>
                              </a:lnTo>
                              <a:lnTo>
                                <a:pt x="402" y="1814"/>
                              </a:lnTo>
                              <a:lnTo>
                                <a:pt x="409" y="1812"/>
                              </a:lnTo>
                              <a:lnTo>
                                <a:pt x="417" y="1807"/>
                              </a:lnTo>
                              <a:lnTo>
                                <a:pt x="423" y="1802"/>
                              </a:lnTo>
                              <a:lnTo>
                                <a:pt x="427" y="1794"/>
                              </a:lnTo>
                              <a:lnTo>
                                <a:pt x="430" y="1784"/>
                              </a:lnTo>
                              <a:lnTo>
                                <a:pt x="433" y="1773"/>
                              </a:lnTo>
                              <a:lnTo>
                                <a:pt x="433" y="1761"/>
                              </a:lnTo>
                              <a:lnTo>
                                <a:pt x="433" y="1639"/>
                              </a:lnTo>
                              <a:lnTo>
                                <a:pt x="488" y="1639"/>
                              </a:lnTo>
                              <a:lnTo>
                                <a:pt x="488" y="1860"/>
                              </a:lnTo>
                              <a:lnTo>
                                <a:pt x="433" y="1860"/>
                              </a:lnTo>
                              <a:lnTo>
                                <a:pt x="433" y="1843"/>
                              </a:lnTo>
                              <a:lnTo>
                                <a:pt x="433" y="1843"/>
                              </a:lnTo>
                              <a:lnTo>
                                <a:pt x="428" y="1848"/>
                              </a:lnTo>
                              <a:lnTo>
                                <a:pt x="422" y="1853"/>
                              </a:lnTo>
                              <a:lnTo>
                                <a:pt x="416" y="1857"/>
                              </a:lnTo>
                              <a:lnTo>
                                <a:pt x="409" y="1859"/>
                              </a:lnTo>
                              <a:lnTo>
                                <a:pt x="403" y="1862"/>
                              </a:lnTo>
                              <a:lnTo>
                                <a:pt x="395" y="1864"/>
                              </a:lnTo>
                              <a:lnTo>
                                <a:pt x="387" y="1865"/>
                              </a:lnTo>
                              <a:lnTo>
                                <a:pt x="380" y="1866"/>
                              </a:lnTo>
                              <a:lnTo>
                                <a:pt x="380" y="1866"/>
                              </a:lnTo>
                              <a:lnTo>
                                <a:pt x="366" y="1865"/>
                              </a:lnTo>
                              <a:lnTo>
                                <a:pt x="355" y="1862"/>
                              </a:lnTo>
                              <a:lnTo>
                                <a:pt x="345" y="1859"/>
                              </a:lnTo>
                              <a:lnTo>
                                <a:pt x="336" y="1855"/>
                              </a:lnTo>
                              <a:lnTo>
                                <a:pt x="328" y="1849"/>
                              </a:lnTo>
                              <a:lnTo>
                                <a:pt x="321" y="1844"/>
                              </a:lnTo>
                              <a:lnTo>
                                <a:pt x="316" y="1836"/>
                              </a:lnTo>
                              <a:lnTo>
                                <a:pt x="310" y="1828"/>
                              </a:lnTo>
                              <a:lnTo>
                                <a:pt x="307" y="1821"/>
                              </a:lnTo>
                              <a:lnTo>
                                <a:pt x="304" y="1813"/>
                              </a:lnTo>
                              <a:lnTo>
                                <a:pt x="299" y="1795"/>
                              </a:lnTo>
                              <a:lnTo>
                                <a:pt x="297" y="1779"/>
                              </a:lnTo>
                              <a:lnTo>
                                <a:pt x="296" y="1764"/>
                              </a:lnTo>
                              <a:lnTo>
                                <a:pt x="296" y="1764"/>
                              </a:lnTo>
                              <a:close/>
                              <a:moveTo>
                                <a:pt x="1135" y="1860"/>
                              </a:moveTo>
                              <a:lnTo>
                                <a:pt x="1079" y="1860"/>
                              </a:lnTo>
                              <a:lnTo>
                                <a:pt x="1079" y="1639"/>
                              </a:lnTo>
                              <a:lnTo>
                                <a:pt x="1135" y="1639"/>
                              </a:lnTo>
                              <a:lnTo>
                                <a:pt x="1135" y="1657"/>
                              </a:lnTo>
                              <a:lnTo>
                                <a:pt x="1135" y="1657"/>
                              </a:lnTo>
                              <a:lnTo>
                                <a:pt x="1140" y="1652"/>
                              </a:lnTo>
                              <a:lnTo>
                                <a:pt x="1146" y="1646"/>
                              </a:lnTo>
                              <a:lnTo>
                                <a:pt x="1152" y="1643"/>
                              </a:lnTo>
                              <a:lnTo>
                                <a:pt x="1159" y="1640"/>
                              </a:lnTo>
                              <a:lnTo>
                                <a:pt x="1167" y="1636"/>
                              </a:lnTo>
                              <a:lnTo>
                                <a:pt x="1173" y="1635"/>
                              </a:lnTo>
                              <a:lnTo>
                                <a:pt x="1182" y="1634"/>
                              </a:lnTo>
                              <a:lnTo>
                                <a:pt x="1190" y="1633"/>
                              </a:lnTo>
                              <a:lnTo>
                                <a:pt x="1190" y="1633"/>
                              </a:lnTo>
                              <a:lnTo>
                                <a:pt x="1200" y="1634"/>
                              </a:lnTo>
                              <a:lnTo>
                                <a:pt x="1208" y="1635"/>
                              </a:lnTo>
                              <a:lnTo>
                                <a:pt x="1217" y="1637"/>
                              </a:lnTo>
                              <a:lnTo>
                                <a:pt x="1225" y="1640"/>
                              </a:lnTo>
                              <a:lnTo>
                                <a:pt x="1233" y="1643"/>
                              </a:lnTo>
                              <a:lnTo>
                                <a:pt x="1239" y="1648"/>
                              </a:lnTo>
                              <a:lnTo>
                                <a:pt x="1245" y="1653"/>
                              </a:lnTo>
                              <a:lnTo>
                                <a:pt x="1250" y="1659"/>
                              </a:lnTo>
                              <a:lnTo>
                                <a:pt x="1256" y="1666"/>
                              </a:lnTo>
                              <a:lnTo>
                                <a:pt x="1259" y="1674"/>
                              </a:lnTo>
                              <a:lnTo>
                                <a:pt x="1264" y="1682"/>
                              </a:lnTo>
                              <a:lnTo>
                                <a:pt x="1266" y="1690"/>
                              </a:lnTo>
                              <a:lnTo>
                                <a:pt x="1268" y="1700"/>
                              </a:lnTo>
                              <a:lnTo>
                                <a:pt x="1270" y="1711"/>
                              </a:lnTo>
                              <a:lnTo>
                                <a:pt x="1271" y="1722"/>
                              </a:lnTo>
                              <a:lnTo>
                                <a:pt x="1271" y="1734"/>
                              </a:lnTo>
                              <a:lnTo>
                                <a:pt x="1271" y="1860"/>
                              </a:lnTo>
                              <a:lnTo>
                                <a:pt x="1216" y="1860"/>
                              </a:lnTo>
                              <a:lnTo>
                                <a:pt x="1216" y="1738"/>
                              </a:lnTo>
                              <a:lnTo>
                                <a:pt x="1216" y="1738"/>
                              </a:lnTo>
                              <a:lnTo>
                                <a:pt x="1216" y="1725"/>
                              </a:lnTo>
                              <a:lnTo>
                                <a:pt x="1214" y="1714"/>
                              </a:lnTo>
                              <a:lnTo>
                                <a:pt x="1211" y="1705"/>
                              </a:lnTo>
                              <a:lnTo>
                                <a:pt x="1206" y="1697"/>
                              </a:lnTo>
                              <a:lnTo>
                                <a:pt x="1201" y="1691"/>
                              </a:lnTo>
                              <a:lnTo>
                                <a:pt x="1194" y="1687"/>
                              </a:lnTo>
                              <a:lnTo>
                                <a:pt x="1186" y="1685"/>
                              </a:lnTo>
                              <a:lnTo>
                                <a:pt x="1176" y="1684"/>
                              </a:lnTo>
                              <a:lnTo>
                                <a:pt x="1176" y="1684"/>
                              </a:lnTo>
                              <a:lnTo>
                                <a:pt x="1167" y="1685"/>
                              </a:lnTo>
                              <a:lnTo>
                                <a:pt x="1158" y="1687"/>
                              </a:lnTo>
                              <a:lnTo>
                                <a:pt x="1151" y="1691"/>
                              </a:lnTo>
                              <a:lnTo>
                                <a:pt x="1146" y="1697"/>
                              </a:lnTo>
                              <a:lnTo>
                                <a:pt x="1140" y="1705"/>
                              </a:lnTo>
                              <a:lnTo>
                                <a:pt x="1137" y="1715"/>
                              </a:lnTo>
                              <a:lnTo>
                                <a:pt x="1135" y="1726"/>
                              </a:lnTo>
                              <a:lnTo>
                                <a:pt x="1135" y="1738"/>
                              </a:lnTo>
                              <a:lnTo>
                                <a:pt x="1135" y="1860"/>
                              </a:lnTo>
                              <a:close/>
                              <a:moveTo>
                                <a:pt x="593" y="1742"/>
                              </a:moveTo>
                              <a:lnTo>
                                <a:pt x="593" y="1860"/>
                              </a:lnTo>
                              <a:lnTo>
                                <a:pt x="537" y="1860"/>
                              </a:lnTo>
                              <a:lnTo>
                                <a:pt x="537" y="1639"/>
                              </a:lnTo>
                              <a:lnTo>
                                <a:pt x="593" y="1639"/>
                              </a:lnTo>
                              <a:lnTo>
                                <a:pt x="593" y="1742"/>
                              </a:lnTo>
                              <a:close/>
                              <a:moveTo>
                                <a:pt x="641" y="1573"/>
                              </a:moveTo>
                              <a:lnTo>
                                <a:pt x="696" y="1546"/>
                              </a:lnTo>
                              <a:lnTo>
                                <a:pt x="696" y="1747"/>
                              </a:lnTo>
                              <a:lnTo>
                                <a:pt x="696" y="1860"/>
                              </a:lnTo>
                              <a:lnTo>
                                <a:pt x="641" y="1860"/>
                              </a:lnTo>
                              <a:lnTo>
                                <a:pt x="641" y="1573"/>
                              </a:lnTo>
                              <a:close/>
                              <a:moveTo>
                                <a:pt x="871" y="1654"/>
                              </a:moveTo>
                              <a:lnTo>
                                <a:pt x="871" y="1654"/>
                              </a:lnTo>
                              <a:lnTo>
                                <a:pt x="866" y="1648"/>
                              </a:lnTo>
                              <a:lnTo>
                                <a:pt x="861" y="1645"/>
                              </a:lnTo>
                              <a:lnTo>
                                <a:pt x="854" y="1641"/>
                              </a:lnTo>
                              <a:lnTo>
                                <a:pt x="849" y="1639"/>
                              </a:lnTo>
                              <a:lnTo>
                                <a:pt x="842" y="1636"/>
                              </a:lnTo>
                              <a:lnTo>
                                <a:pt x="835" y="1634"/>
                              </a:lnTo>
                              <a:lnTo>
                                <a:pt x="822" y="1633"/>
                              </a:lnTo>
                              <a:lnTo>
                                <a:pt x="822" y="1633"/>
                              </a:lnTo>
                              <a:lnTo>
                                <a:pt x="812" y="1634"/>
                              </a:lnTo>
                              <a:lnTo>
                                <a:pt x="802" y="1635"/>
                              </a:lnTo>
                              <a:lnTo>
                                <a:pt x="794" y="1637"/>
                              </a:lnTo>
                              <a:lnTo>
                                <a:pt x="786" y="1641"/>
                              </a:lnTo>
                              <a:lnTo>
                                <a:pt x="778" y="1645"/>
                              </a:lnTo>
                              <a:lnTo>
                                <a:pt x="770" y="1651"/>
                              </a:lnTo>
                              <a:lnTo>
                                <a:pt x="764" y="1657"/>
                              </a:lnTo>
                              <a:lnTo>
                                <a:pt x="758" y="1664"/>
                              </a:lnTo>
                              <a:lnTo>
                                <a:pt x="753" y="1672"/>
                              </a:lnTo>
                              <a:lnTo>
                                <a:pt x="748" y="1680"/>
                              </a:lnTo>
                              <a:lnTo>
                                <a:pt x="744" y="1689"/>
                              </a:lnTo>
                              <a:lnTo>
                                <a:pt x="741" y="1699"/>
                              </a:lnTo>
                              <a:lnTo>
                                <a:pt x="738" y="1710"/>
                              </a:lnTo>
                              <a:lnTo>
                                <a:pt x="736" y="1722"/>
                              </a:lnTo>
                              <a:lnTo>
                                <a:pt x="735" y="1734"/>
                              </a:lnTo>
                              <a:lnTo>
                                <a:pt x="735" y="1747"/>
                              </a:lnTo>
                              <a:lnTo>
                                <a:pt x="735" y="1747"/>
                              </a:lnTo>
                              <a:lnTo>
                                <a:pt x="735" y="1761"/>
                              </a:lnTo>
                              <a:lnTo>
                                <a:pt x="736" y="1773"/>
                              </a:lnTo>
                              <a:lnTo>
                                <a:pt x="738" y="1785"/>
                              </a:lnTo>
                              <a:lnTo>
                                <a:pt x="741" y="1796"/>
                              </a:lnTo>
                              <a:lnTo>
                                <a:pt x="744" y="1807"/>
                              </a:lnTo>
                              <a:lnTo>
                                <a:pt x="747" y="1817"/>
                              </a:lnTo>
                              <a:lnTo>
                                <a:pt x="752" y="1826"/>
                              </a:lnTo>
                              <a:lnTo>
                                <a:pt x="757" y="1834"/>
                              </a:lnTo>
                              <a:lnTo>
                                <a:pt x="764" y="1841"/>
                              </a:lnTo>
                              <a:lnTo>
                                <a:pt x="769" y="1847"/>
                              </a:lnTo>
                              <a:lnTo>
                                <a:pt x="777" y="1853"/>
                              </a:lnTo>
                              <a:lnTo>
                                <a:pt x="785" y="1857"/>
                              </a:lnTo>
                              <a:lnTo>
                                <a:pt x="792" y="1860"/>
                              </a:lnTo>
                              <a:lnTo>
                                <a:pt x="801" y="1864"/>
                              </a:lnTo>
                              <a:lnTo>
                                <a:pt x="811" y="1865"/>
                              </a:lnTo>
                              <a:lnTo>
                                <a:pt x="821" y="1866"/>
                              </a:lnTo>
                              <a:lnTo>
                                <a:pt x="821" y="1866"/>
                              </a:lnTo>
                              <a:lnTo>
                                <a:pt x="828" y="1865"/>
                              </a:lnTo>
                              <a:lnTo>
                                <a:pt x="834" y="1864"/>
                              </a:lnTo>
                              <a:lnTo>
                                <a:pt x="841" y="1862"/>
                              </a:lnTo>
                              <a:lnTo>
                                <a:pt x="848" y="1860"/>
                              </a:lnTo>
                              <a:lnTo>
                                <a:pt x="853" y="1857"/>
                              </a:lnTo>
                              <a:lnTo>
                                <a:pt x="860" y="1854"/>
                              </a:lnTo>
                              <a:lnTo>
                                <a:pt x="865" y="1849"/>
                              </a:lnTo>
                              <a:lnTo>
                                <a:pt x="871" y="1844"/>
                              </a:lnTo>
                              <a:lnTo>
                                <a:pt x="871" y="1860"/>
                              </a:lnTo>
                              <a:lnTo>
                                <a:pt x="926" y="1860"/>
                              </a:lnTo>
                              <a:lnTo>
                                <a:pt x="926" y="1546"/>
                              </a:lnTo>
                              <a:lnTo>
                                <a:pt x="871" y="1573"/>
                              </a:lnTo>
                              <a:lnTo>
                                <a:pt x="871" y="1654"/>
                              </a:lnTo>
                              <a:close/>
                              <a:moveTo>
                                <a:pt x="832" y="1815"/>
                              </a:moveTo>
                              <a:lnTo>
                                <a:pt x="832" y="1815"/>
                              </a:lnTo>
                              <a:lnTo>
                                <a:pt x="826" y="1814"/>
                              </a:lnTo>
                              <a:lnTo>
                                <a:pt x="818" y="1812"/>
                              </a:lnTo>
                              <a:lnTo>
                                <a:pt x="811" y="1808"/>
                              </a:lnTo>
                              <a:lnTo>
                                <a:pt x="805" y="1802"/>
                              </a:lnTo>
                              <a:lnTo>
                                <a:pt x="799" y="1793"/>
                              </a:lnTo>
                              <a:lnTo>
                                <a:pt x="795" y="1781"/>
                              </a:lnTo>
                              <a:lnTo>
                                <a:pt x="791" y="1765"/>
                              </a:lnTo>
                              <a:lnTo>
                                <a:pt x="790" y="1746"/>
                              </a:lnTo>
                              <a:lnTo>
                                <a:pt x="790" y="1746"/>
                              </a:lnTo>
                              <a:lnTo>
                                <a:pt x="791" y="1728"/>
                              </a:lnTo>
                              <a:lnTo>
                                <a:pt x="795" y="1715"/>
                              </a:lnTo>
                              <a:lnTo>
                                <a:pt x="799" y="1704"/>
                              </a:lnTo>
                              <a:lnTo>
                                <a:pt x="805" y="1696"/>
                              </a:lnTo>
                              <a:lnTo>
                                <a:pt x="810" y="1689"/>
                              </a:lnTo>
                              <a:lnTo>
                                <a:pt x="818" y="1686"/>
                              </a:lnTo>
                              <a:lnTo>
                                <a:pt x="824" y="1684"/>
                              </a:lnTo>
                              <a:lnTo>
                                <a:pt x="832" y="1684"/>
                              </a:lnTo>
                              <a:lnTo>
                                <a:pt x="832" y="1684"/>
                              </a:lnTo>
                              <a:lnTo>
                                <a:pt x="839" y="1684"/>
                              </a:lnTo>
                              <a:lnTo>
                                <a:pt x="845" y="1686"/>
                              </a:lnTo>
                              <a:lnTo>
                                <a:pt x="852" y="1688"/>
                              </a:lnTo>
                              <a:lnTo>
                                <a:pt x="856" y="1691"/>
                              </a:lnTo>
                              <a:lnTo>
                                <a:pt x="861" y="1695"/>
                              </a:lnTo>
                              <a:lnTo>
                                <a:pt x="865" y="1698"/>
                              </a:lnTo>
                              <a:lnTo>
                                <a:pt x="871" y="1706"/>
                              </a:lnTo>
                              <a:lnTo>
                                <a:pt x="871" y="1793"/>
                              </a:lnTo>
                              <a:lnTo>
                                <a:pt x="871" y="1793"/>
                              </a:lnTo>
                              <a:lnTo>
                                <a:pt x="864" y="1801"/>
                              </a:lnTo>
                              <a:lnTo>
                                <a:pt x="856" y="1807"/>
                              </a:lnTo>
                              <a:lnTo>
                                <a:pt x="852" y="1811"/>
                              </a:lnTo>
                              <a:lnTo>
                                <a:pt x="845" y="1813"/>
                              </a:lnTo>
                              <a:lnTo>
                                <a:pt x="840" y="1814"/>
                              </a:lnTo>
                              <a:lnTo>
                                <a:pt x="832" y="1815"/>
                              </a:lnTo>
                              <a:lnTo>
                                <a:pt x="832" y="1815"/>
                              </a:lnTo>
                              <a:close/>
                              <a:moveTo>
                                <a:pt x="2069" y="1633"/>
                              </a:moveTo>
                              <a:lnTo>
                                <a:pt x="2069" y="1633"/>
                              </a:lnTo>
                              <a:lnTo>
                                <a:pt x="2064" y="1634"/>
                              </a:lnTo>
                              <a:lnTo>
                                <a:pt x="2057" y="1635"/>
                              </a:lnTo>
                              <a:lnTo>
                                <a:pt x="2044" y="1639"/>
                              </a:lnTo>
                              <a:lnTo>
                                <a:pt x="2032" y="1645"/>
                              </a:lnTo>
                              <a:lnTo>
                                <a:pt x="2021" y="1654"/>
                              </a:lnTo>
                              <a:lnTo>
                                <a:pt x="2021" y="1551"/>
                              </a:lnTo>
                              <a:lnTo>
                                <a:pt x="1966" y="1579"/>
                              </a:lnTo>
                              <a:lnTo>
                                <a:pt x="1966" y="1860"/>
                              </a:lnTo>
                              <a:lnTo>
                                <a:pt x="2021" y="1860"/>
                              </a:lnTo>
                              <a:lnTo>
                                <a:pt x="2021" y="1844"/>
                              </a:lnTo>
                              <a:lnTo>
                                <a:pt x="2021" y="1844"/>
                              </a:lnTo>
                              <a:lnTo>
                                <a:pt x="2025" y="1849"/>
                              </a:lnTo>
                              <a:lnTo>
                                <a:pt x="2032" y="1854"/>
                              </a:lnTo>
                              <a:lnTo>
                                <a:pt x="2037" y="1857"/>
                              </a:lnTo>
                              <a:lnTo>
                                <a:pt x="2044" y="1860"/>
                              </a:lnTo>
                              <a:lnTo>
                                <a:pt x="2049" y="1862"/>
                              </a:lnTo>
                              <a:lnTo>
                                <a:pt x="2057" y="1864"/>
                              </a:lnTo>
                              <a:lnTo>
                                <a:pt x="2064" y="1865"/>
                              </a:lnTo>
                              <a:lnTo>
                                <a:pt x="2070" y="1866"/>
                              </a:lnTo>
                              <a:lnTo>
                                <a:pt x="2070" y="1866"/>
                              </a:lnTo>
                              <a:lnTo>
                                <a:pt x="2080" y="1865"/>
                              </a:lnTo>
                              <a:lnTo>
                                <a:pt x="2090" y="1864"/>
                              </a:lnTo>
                              <a:lnTo>
                                <a:pt x="2099" y="1861"/>
                              </a:lnTo>
                              <a:lnTo>
                                <a:pt x="2108" y="1857"/>
                              </a:lnTo>
                              <a:lnTo>
                                <a:pt x="2116" y="1853"/>
                              </a:lnTo>
                              <a:lnTo>
                                <a:pt x="2122" y="1848"/>
                              </a:lnTo>
                              <a:lnTo>
                                <a:pt x="2129" y="1841"/>
                              </a:lnTo>
                              <a:lnTo>
                                <a:pt x="2134" y="1835"/>
                              </a:lnTo>
                              <a:lnTo>
                                <a:pt x="2140" y="1826"/>
                              </a:lnTo>
                              <a:lnTo>
                                <a:pt x="2144" y="1817"/>
                              </a:lnTo>
                              <a:lnTo>
                                <a:pt x="2148" y="1807"/>
                              </a:lnTo>
                              <a:lnTo>
                                <a:pt x="2151" y="1797"/>
                              </a:lnTo>
                              <a:lnTo>
                                <a:pt x="2154" y="1786"/>
                              </a:lnTo>
                              <a:lnTo>
                                <a:pt x="2155" y="1774"/>
                              </a:lnTo>
                              <a:lnTo>
                                <a:pt x="2157" y="1761"/>
                              </a:lnTo>
                              <a:lnTo>
                                <a:pt x="2158" y="1747"/>
                              </a:lnTo>
                              <a:lnTo>
                                <a:pt x="2158" y="1747"/>
                              </a:lnTo>
                              <a:lnTo>
                                <a:pt x="2157" y="1734"/>
                              </a:lnTo>
                              <a:lnTo>
                                <a:pt x="2155" y="1722"/>
                              </a:lnTo>
                              <a:lnTo>
                                <a:pt x="2153" y="1710"/>
                              </a:lnTo>
                              <a:lnTo>
                                <a:pt x="2151" y="1699"/>
                              </a:lnTo>
                              <a:lnTo>
                                <a:pt x="2148" y="1689"/>
                              </a:lnTo>
                              <a:lnTo>
                                <a:pt x="2143" y="1680"/>
                              </a:lnTo>
                              <a:lnTo>
                                <a:pt x="2139" y="1672"/>
                              </a:lnTo>
                              <a:lnTo>
                                <a:pt x="2133" y="1664"/>
                              </a:lnTo>
                              <a:lnTo>
                                <a:pt x="2128" y="1657"/>
                              </a:lnTo>
                              <a:lnTo>
                                <a:pt x="2121" y="1651"/>
                              </a:lnTo>
                              <a:lnTo>
                                <a:pt x="2113" y="1645"/>
                              </a:lnTo>
                              <a:lnTo>
                                <a:pt x="2106" y="1641"/>
                              </a:lnTo>
                              <a:lnTo>
                                <a:pt x="2098" y="1637"/>
                              </a:lnTo>
                              <a:lnTo>
                                <a:pt x="2089" y="1635"/>
                              </a:lnTo>
                              <a:lnTo>
                                <a:pt x="2079" y="1634"/>
                              </a:lnTo>
                              <a:lnTo>
                                <a:pt x="2069" y="1633"/>
                              </a:lnTo>
                              <a:lnTo>
                                <a:pt x="2069" y="1633"/>
                              </a:lnTo>
                              <a:close/>
                              <a:moveTo>
                                <a:pt x="2059" y="1684"/>
                              </a:moveTo>
                              <a:lnTo>
                                <a:pt x="2059" y="1684"/>
                              </a:lnTo>
                              <a:lnTo>
                                <a:pt x="2067" y="1685"/>
                              </a:lnTo>
                              <a:lnTo>
                                <a:pt x="2075" y="1687"/>
                              </a:lnTo>
                              <a:lnTo>
                                <a:pt x="2081" y="1691"/>
                              </a:lnTo>
                              <a:lnTo>
                                <a:pt x="2088" y="1698"/>
                              </a:lnTo>
                              <a:lnTo>
                                <a:pt x="2094" y="1706"/>
                              </a:lnTo>
                              <a:lnTo>
                                <a:pt x="2097" y="1717"/>
                              </a:lnTo>
                              <a:lnTo>
                                <a:pt x="2100" y="1730"/>
                              </a:lnTo>
                              <a:lnTo>
                                <a:pt x="2101" y="1746"/>
                              </a:lnTo>
                              <a:lnTo>
                                <a:pt x="2101" y="1746"/>
                              </a:lnTo>
                              <a:lnTo>
                                <a:pt x="2100" y="1762"/>
                              </a:lnTo>
                              <a:lnTo>
                                <a:pt x="2098" y="1776"/>
                              </a:lnTo>
                              <a:lnTo>
                                <a:pt x="2096" y="1787"/>
                              </a:lnTo>
                              <a:lnTo>
                                <a:pt x="2091" y="1797"/>
                              </a:lnTo>
                              <a:lnTo>
                                <a:pt x="2085" y="1805"/>
                              </a:lnTo>
                              <a:lnTo>
                                <a:pt x="2078" y="1811"/>
                              </a:lnTo>
                              <a:lnTo>
                                <a:pt x="2070" y="1814"/>
                              </a:lnTo>
                              <a:lnTo>
                                <a:pt x="2061" y="1815"/>
                              </a:lnTo>
                              <a:lnTo>
                                <a:pt x="2061" y="1815"/>
                              </a:lnTo>
                              <a:lnTo>
                                <a:pt x="2053" y="1814"/>
                              </a:lnTo>
                              <a:lnTo>
                                <a:pt x="2046" y="1813"/>
                              </a:lnTo>
                              <a:lnTo>
                                <a:pt x="2041" y="1810"/>
                              </a:lnTo>
                              <a:lnTo>
                                <a:pt x="2035" y="1807"/>
                              </a:lnTo>
                              <a:lnTo>
                                <a:pt x="2026" y="1800"/>
                              </a:lnTo>
                              <a:lnTo>
                                <a:pt x="2021" y="1794"/>
                              </a:lnTo>
                              <a:lnTo>
                                <a:pt x="2021" y="1706"/>
                              </a:lnTo>
                              <a:lnTo>
                                <a:pt x="2021" y="1706"/>
                              </a:lnTo>
                              <a:lnTo>
                                <a:pt x="2024" y="1701"/>
                              </a:lnTo>
                              <a:lnTo>
                                <a:pt x="2029" y="1697"/>
                              </a:lnTo>
                              <a:lnTo>
                                <a:pt x="2033" y="1693"/>
                              </a:lnTo>
                              <a:lnTo>
                                <a:pt x="2037" y="1689"/>
                              </a:lnTo>
                              <a:lnTo>
                                <a:pt x="2043" y="1687"/>
                              </a:lnTo>
                              <a:lnTo>
                                <a:pt x="2048" y="1685"/>
                              </a:lnTo>
                              <a:lnTo>
                                <a:pt x="2054" y="1684"/>
                              </a:lnTo>
                              <a:lnTo>
                                <a:pt x="2059" y="1684"/>
                              </a:lnTo>
                              <a:lnTo>
                                <a:pt x="2059" y="1684"/>
                              </a:lnTo>
                              <a:close/>
                              <a:moveTo>
                                <a:pt x="1445" y="1654"/>
                              </a:moveTo>
                              <a:lnTo>
                                <a:pt x="1445" y="1654"/>
                              </a:lnTo>
                              <a:lnTo>
                                <a:pt x="1440" y="1650"/>
                              </a:lnTo>
                              <a:lnTo>
                                <a:pt x="1435" y="1645"/>
                              </a:lnTo>
                              <a:lnTo>
                                <a:pt x="1428" y="1642"/>
                              </a:lnTo>
                              <a:lnTo>
                                <a:pt x="1423" y="1639"/>
                              </a:lnTo>
                              <a:lnTo>
                                <a:pt x="1416" y="1636"/>
                              </a:lnTo>
                              <a:lnTo>
                                <a:pt x="1409" y="1634"/>
                              </a:lnTo>
                              <a:lnTo>
                                <a:pt x="1403" y="1634"/>
                              </a:lnTo>
                              <a:lnTo>
                                <a:pt x="1396" y="1633"/>
                              </a:lnTo>
                              <a:lnTo>
                                <a:pt x="1396" y="1633"/>
                              </a:lnTo>
                              <a:lnTo>
                                <a:pt x="1386" y="1634"/>
                              </a:lnTo>
                              <a:lnTo>
                                <a:pt x="1376" y="1635"/>
                              </a:lnTo>
                              <a:lnTo>
                                <a:pt x="1367" y="1637"/>
                              </a:lnTo>
                              <a:lnTo>
                                <a:pt x="1360" y="1641"/>
                              </a:lnTo>
                              <a:lnTo>
                                <a:pt x="1352" y="1645"/>
                              </a:lnTo>
                              <a:lnTo>
                                <a:pt x="1344" y="1651"/>
                              </a:lnTo>
                              <a:lnTo>
                                <a:pt x="1338" y="1657"/>
                              </a:lnTo>
                              <a:lnTo>
                                <a:pt x="1332" y="1664"/>
                              </a:lnTo>
                              <a:lnTo>
                                <a:pt x="1327" y="1672"/>
                              </a:lnTo>
                              <a:lnTo>
                                <a:pt x="1322" y="1680"/>
                              </a:lnTo>
                              <a:lnTo>
                                <a:pt x="1318" y="1689"/>
                              </a:lnTo>
                              <a:lnTo>
                                <a:pt x="1314" y="1699"/>
                              </a:lnTo>
                              <a:lnTo>
                                <a:pt x="1312" y="1710"/>
                              </a:lnTo>
                              <a:lnTo>
                                <a:pt x="1310" y="1722"/>
                              </a:lnTo>
                              <a:lnTo>
                                <a:pt x="1309" y="1734"/>
                              </a:lnTo>
                              <a:lnTo>
                                <a:pt x="1309" y="1747"/>
                              </a:lnTo>
                              <a:lnTo>
                                <a:pt x="1309" y="1747"/>
                              </a:lnTo>
                              <a:lnTo>
                                <a:pt x="1309" y="1761"/>
                              </a:lnTo>
                              <a:lnTo>
                                <a:pt x="1310" y="1773"/>
                              </a:lnTo>
                              <a:lnTo>
                                <a:pt x="1312" y="1785"/>
                              </a:lnTo>
                              <a:lnTo>
                                <a:pt x="1314" y="1796"/>
                              </a:lnTo>
                              <a:lnTo>
                                <a:pt x="1318" y="1807"/>
                              </a:lnTo>
                              <a:lnTo>
                                <a:pt x="1321" y="1817"/>
                              </a:lnTo>
                              <a:lnTo>
                                <a:pt x="1327" y="1826"/>
                              </a:lnTo>
                              <a:lnTo>
                                <a:pt x="1331" y="1834"/>
                              </a:lnTo>
                              <a:lnTo>
                                <a:pt x="1338" y="1841"/>
                              </a:lnTo>
                              <a:lnTo>
                                <a:pt x="1343" y="1847"/>
                              </a:lnTo>
                              <a:lnTo>
                                <a:pt x="1351" y="1853"/>
                              </a:lnTo>
                              <a:lnTo>
                                <a:pt x="1359" y="1857"/>
                              </a:lnTo>
                              <a:lnTo>
                                <a:pt x="1366" y="1860"/>
                              </a:lnTo>
                              <a:lnTo>
                                <a:pt x="1375" y="1864"/>
                              </a:lnTo>
                              <a:lnTo>
                                <a:pt x="1385" y="1865"/>
                              </a:lnTo>
                              <a:lnTo>
                                <a:pt x="1395" y="1865"/>
                              </a:lnTo>
                              <a:lnTo>
                                <a:pt x="1395" y="1865"/>
                              </a:lnTo>
                              <a:lnTo>
                                <a:pt x="1402" y="1865"/>
                              </a:lnTo>
                              <a:lnTo>
                                <a:pt x="1408" y="1864"/>
                              </a:lnTo>
                              <a:lnTo>
                                <a:pt x="1415" y="1862"/>
                              </a:lnTo>
                              <a:lnTo>
                                <a:pt x="1421" y="1860"/>
                              </a:lnTo>
                              <a:lnTo>
                                <a:pt x="1428" y="1857"/>
                              </a:lnTo>
                              <a:lnTo>
                                <a:pt x="1434" y="1853"/>
                              </a:lnTo>
                              <a:lnTo>
                                <a:pt x="1439" y="1849"/>
                              </a:lnTo>
                              <a:lnTo>
                                <a:pt x="1445" y="1844"/>
                              </a:lnTo>
                              <a:lnTo>
                                <a:pt x="1445" y="1849"/>
                              </a:lnTo>
                              <a:lnTo>
                                <a:pt x="1445" y="1849"/>
                              </a:lnTo>
                              <a:lnTo>
                                <a:pt x="1445" y="1858"/>
                              </a:lnTo>
                              <a:lnTo>
                                <a:pt x="1444" y="1868"/>
                              </a:lnTo>
                              <a:lnTo>
                                <a:pt x="1441" y="1878"/>
                              </a:lnTo>
                              <a:lnTo>
                                <a:pt x="1439" y="1882"/>
                              </a:lnTo>
                              <a:lnTo>
                                <a:pt x="1436" y="1887"/>
                              </a:lnTo>
                              <a:lnTo>
                                <a:pt x="1433" y="1891"/>
                              </a:lnTo>
                              <a:lnTo>
                                <a:pt x="1428" y="1896"/>
                              </a:lnTo>
                              <a:lnTo>
                                <a:pt x="1421" y="1899"/>
                              </a:lnTo>
                              <a:lnTo>
                                <a:pt x="1415" y="1901"/>
                              </a:lnTo>
                              <a:lnTo>
                                <a:pt x="1407" y="1904"/>
                              </a:lnTo>
                              <a:lnTo>
                                <a:pt x="1397" y="1905"/>
                              </a:lnTo>
                              <a:lnTo>
                                <a:pt x="1386" y="1908"/>
                              </a:lnTo>
                              <a:lnTo>
                                <a:pt x="1374" y="1908"/>
                              </a:lnTo>
                              <a:lnTo>
                                <a:pt x="1372" y="1908"/>
                              </a:lnTo>
                              <a:lnTo>
                                <a:pt x="1391" y="1951"/>
                              </a:lnTo>
                              <a:lnTo>
                                <a:pt x="1392" y="1951"/>
                              </a:lnTo>
                              <a:lnTo>
                                <a:pt x="1392" y="1951"/>
                              </a:lnTo>
                              <a:lnTo>
                                <a:pt x="1405" y="1951"/>
                              </a:lnTo>
                              <a:lnTo>
                                <a:pt x="1417" y="1948"/>
                              </a:lnTo>
                              <a:lnTo>
                                <a:pt x="1429" y="1946"/>
                              </a:lnTo>
                              <a:lnTo>
                                <a:pt x="1439" y="1943"/>
                              </a:lnTo>
                              <a:lnTo>
                                <a:pt x="1449" y="1940"/>
                              </a:lnTo>
                              <a:lnTo>
                                <a:pt x="1458" y="1935"/>
                              </a:lnTo>
                              <a:lnTo>
                                <a:pt x="1466" y="1929"/>
                              </a:lnTo>
                              <a:lnTo>
                                <a:pt x="1473" y="1923"/>
                              </a:lnTo>
                              <a:lnTo>
                                <a:pt x="1480" y="1915"/>
                              </a:lnTo>
                              <a:lnTo>
                                <a:pt x="1484" y="1907"/>
                              </a:lnTo>
                              <a:lnTo>
                                <a:pt x="1490" y="1898"/>
                              </a:lnTo>
                              <a:lnTo>
                                <a:pt x="1493" y="1888"/>
                              </a:lnTo>
                              <a:lnTo>
                                <a:pt x="1497" y="1877"/>
                              </a:lnTo>
                              <a:lnTo>
                                <a:pt x="1499" y="1866"/>
                              </a:lnTo>
                              <a:lnTo>
                                <a:pt x="1500" y="1854"/>
                              </a:lnTo>
                              <a:lnTo>
                                <a:pt x="1500" y="1839"/>
                              </a:lnTo>
                              <a:lnTo>
                                <a:pt x="1500" y="1639"/>
                              </a:lnTo>
                              <a:lnTo>
                                <a:pt x="1445" y="1639"/>
                              </a:lnTo>
                              <a:lnTo>
                                <a:pt x="1445" y="1654"/>
                              </a:lnTo>
                              <a:close/>
                              <a:moveTo>
                                <a:pt x="1445" y="1706"/>
                              </a:moveTo>
                              <a:lnTo>
                                <a:pt x="1445" y="1793"/>
                              </a:lnTo>
                              <a:lnTo>
                                <a:pt x="1445" y="1793"/>
                              </a:lnTo>
                              <a:lnTo>
                                <a:pt x="1438" y="1801"/>
                              </a:lnTo>
                              <a:lnTo>
                                <a:pt x="1429" y="1808"/>
                              </a:lnTo>
                              <a:lnTo>
                                <a:pt x="1425" y="1811"/>
                              </a:lnTo>
                              <a:lnTo>
                                <a:pt x="1419" y="1813"/>
                              </a:lnTo>
                              <a:lnTo>
                                <a:pt x="1413" y="1814"/>
                              </a:lnTo>
                              <a:lnTo>
                                <a:pt x="1406" y="1815"/>
                              </a:lnTo>
                              <a:lnTo>
                                <a:pt x="1406" y="1815"/>
                              </a:lnTo>
                              <a:lnTo>
                                <a:pt x="1398" y="1814"/>
                              </a:lnTo>
                              <a:lnTo>
                                <a:pt x="1392" y="1812"/>
                              </a:lnTo>
                              <a:lnTo>
                                <a:pt x="1384" y="1807"/>
                              </a:lnTo>
                              <a:lnTo>
                                <a:pt x="1378" y="1802"/>
                              </a:lnTo>
                              <a:lnTo>
                                <a:pt x="1373" y="1793"/>
                              </a:lnTo>
                              <a:lnTo>
                                <a:pt x="1369" y="1781"/>
                              </a:lnTo>
                              <a:lnTo>
                                <a:pt x="1365" y="1765"/>
                              </a:lnTo>
                              <a:lnTo>
                                <a:pt x="1364" y="1746"/>
                              </a:lnTo>
                              <a:lnTo>
                                <a:pt x="1364" y="1746"/>
                              </a:lnTo>
                              <a:lnTo>
                                <a:pt x="1365" y="1728"/>
                              </a:lnTo>
                              <a:lnTo>
                                <a:pt x="1369" y="1715"/>
                              </a:lnTo>
                              <a:lnTo>
                                <a:pt x="1373" y="1704"/>
                              </a:lnTo>
                              <a:lnTo>
                                <a:pt x="1378" y="1696"/>
                              </a:lnTo>
                              <a:lnTo>
                                <a:pt x="1384" y="1689"/>
                              </a:lnTo>
                              <a:lnTo>
                                <a:pt x="1392" y="1686"/>
                              </a:lnTo>
                              <a:lnTo>
                                <a:pt x="1398" y="1684"/>
                              </a:lnTo>
                              <a:lnTo>
                                <a:pt x="1406" y="1684"/>
                              </a:lnTo>
                              <a:lnTo>
                                <a:pt x="1406" y="1684"/>
                              </a:lnTo>
                              <a:lnTo>
                                <a:pt x="1413" y="1684"/>
                              </a:lnTo>
                              <a:lnTo>
                                <a:pt x="1419" y="1686"/>
                              </a:lnTo>
                              <a:lnTo>
                                <a:pt x="1426" y="1688"/>
                              </a:lnTo>
                              <a:lnTo>
                                <a:pt x="1430" y="1690"/>
                              </a:lnTo>
                              <a:lnTo>
                                <a:pt x="1435" y="1695"/>
                              </a:lnTo>
                              <a:lnTo>
                                <a:pt x="1439" y="1698"/>
                              </a:lnTo>
                              <a:lnTo>
                                <a:pt x="1445" y="1706"/>
                              </a:lnTo>
                              <a:lnTo>
                                <a:pt x="1445" y="1706"/>
                              </a:lnTo>
                              <a:close/>
                              <a:moveTo>
                                <a:pt x="1671" y="1693"/>
                              </a:moveTo>
                              <a:lnTo>
                                <a:pt x="1671" y="1693"/>
                              </a:lnTo>
                              <a:lnTo>
                                <a:pt x="1684" y="1686"/>
                              </a:lnTo>
                              <a:lnTo>
                                <a:pt x="1697" y="1682"/>
                              </a:lnTo>
                              <a:lnTo>
                                <a:pt x="1712" y="1678"/>
                              </a:lnTo>
                              <a:lnTo>
                                <a:pt x="1727" y="1677"/>
                              </a:lnTo>
                              <a:lnTo>
                                <a:pt x="1727" y="1677"/>
                              </a:lnTo>
                              <a:lnTo>
                                <a:pt x="1737" y="1678"/>
                              </a:lnTo>
                              <a:lnTo>
                                <a:pt x="1745" y="1679"/>
                              </a:lnTo>
                              <a:lnTo>
                                <a:pt x="1751" y="1682"/>
                              </a:lnTo>
                              <a:lnTo>
                                <a:pt x="1757" y="1686"/>
                              </a:lnTo>
                              <a:lnTo>
                                <a:pt x="1761" y="1690"/>
                              </a:lnTo>
                              <a:lnTo>
                                <a:pt x="1765" y="1696"/>
                              </a:lnTo>
                              <a:lnTo>
                                <a:pt x="1767" y="1701"/>
                              </a:lnTo>
                              <a:lnTo>
                                <a:pt x="1767" y="1709"/>
                              </a:lnTo>
                              <a:lnTo>
                                <a:pt x="1767" y="1725"/>
                              </a:lnTo>
                              <a:lnTo>
                                <a:pt x="1767" y="1725"/>
                              </a:lnTo>
                              <a:lnTo>
                                <a:pt x="1757" y="1720"/>
                              </a:lnTo>
                              <a:lnTo>
                                <a:pt x="1745" y="1717"/>
                              </a:lnTo>
                              <a:lnTo>
                                <a:pt x="1733" y="1715"/>
                              </a:lnTo>
                              <a:lnTo>
                                <a:pt x="1719" y="1714"/>
                              </a:lnTo>
                              <a:lnTo>
                                <a:pt x="1719" y="1714"/>
                              </a:lnTo>
                              <a:lnTo>
                                <a:pt x="1704" y="1715"/>
                              </a:lnTo>
                              <a:lnTo>
                                <a:pt x="1689" y="1718"/>
                              </a:lnTo>
                              <a:lnTo>
                                <a:pt x="1674" y="1722"/>
                              </a:lnTo>
                              <a:lnTo>
                                <a:pt x="1667" y="1726"/>
                              </a:lnTo>
                              <a:lnTo>
                                <a:pt x="1660" y="1730"/>
                              </a:lnTo>
                              <a:lnTo>
                                <a:pt x="1654" y="1734"/>
                              </a:lnTo>
                              <a:lnTo>
                                <a:pt x="1649" y="1740"/>
                              </a:lnTo>
                              <a:lnTo>
                                <a:pt x="1643" y="1746"/>
                              </a:lnTo>
                              <a:lnTo>
                                <a:pt x="1639" y="1752"/>
                              </a:lnTo>
                              <a:lnTo>
                                <a:pt x="1636" y="1760"/>
                              </a:lnTo>
                              <a:lnTo>
                                <a:pt x="1633" y="1769"/>
                              </a:lnTo>
                              <a:lnTo>
                                <a:pt x="1632" y="1778"/>
                              </a:lnTo>
                              <a:lnTo>
                                <a:pt x="1631" y="1786"/>
                              </a:lnTo>
                              <a:lnTo>
                                <a:pt x="1631" y="1786"/>
                              </a:lnTo>
                              <a:lnTo>
                                <a:pt x="1632" y="1797"/>
                              </a:lnTo>
                              <a:lnTo>
                                <a:pt x="1633" y="1807"/>
                              </a:lnTo>
                              <a:lnTo>
                                <a:pt x="1636" y="1815"/>
                              </a:lnTo>
                              <a:lnTo>
                                <a:pt x="1639" y="1824"/>
                              </a:lnTo>
                              <a:lnTo>
                                <a:pt x="1642" y="1830"/>
                              </a:lnTo>
                              <a:lnTo>
                                <a:pt x="1648" y="1837"/>
                              </a:lnTo>
                              <a:lnTo>
                                <a:pt x="1652" y="1843"/>
                              </a:lnTo>
                              <a:lnTo>
                                <a:pt x="1659" y="1848"/>
                              </a:lnTo>
                              <a:lnTo>
                                <a:pt x="1664" y="1853"/>
                              </a:lnTo>
                              <a:lnTo>
                                <a:pt x="1671" y="1856"/>
                              </a:lnTo>
                              <a:lnTo>
                                <a:pt x="1685" y="1861"/>
                              </a:lnTo>
                              <a:lnTo>
                                <a:pt x="1700" y="1865"/>
                              </a:lnTo>
                              <a:lnTo>
                                <a:pt x="1714" y="1866"/>
                              </a:lnTo>
                              <a:lnTo>
                                <a:pt x="1714" y="1866"/>
                              </a:lnTo>
                              <a:lnTo>
                                <a:pt x="1726" y="1864"/>
                              </a:lnTo>
                              <a:lnTo>
                                <a:pt x="1734" y="1862"/>
                              </a:lnTo>
                              <a:lnTo>
                                <a:pt x="1740" y="1860"/>
                              </a:lnTo>
                              <a:lnTo>
                                <a:pt x="1748" y="1857"/>
                              </a:lnTo>
                              <a:lnTo>
                                <a:pt x="1755" y="1853"/>
                              </a:lnTo>
                              <a:lnTo>
                                <a:pt x="1761" y="1848"/>
                              </a:lnTo>
                              <a:lnTo>
                                <a:pt x="1767" y="1843"/>
                              </a:lnTo>
                              <a:lnTo>
                                <a:pt x="1767" y="1860"/>
                              </a:lnTo>
                              <a:lnTo>
                                <a:pt x="1822" y="1860"/>
                              </a:lnTo>
                              <a:lnTo>
                                <a:pt x="1822" y="1710"/>
                              </a:lnTo>
                              <a:lnTo>
                                <a:pt x="1822" y="1710"/>
                              </a:lnTo>
                              <a:lnTo>
                                <a:pt x="1822" y="1701"/>
                              </a:lnTo>
                              <a:lnTo>
                                <a:pt x="1821" y="1694"/>
                              </a:lnTo>
                              <a:lnTo>
                                <a:pt x="1819" y="1686"/>
                              </a:lnTo>
                              <a:lnTo>
                                <a:pt x="1817" y="1678"/>
                              </a:lnTo>
                              <a:lnTo>
                                <a:pt x="1812" y="1672"/>
                              </a:lnTo>
                              <a:lnTo>
                                <a:pt x="1809" y="1665"/>
                              </a:lnTo>
                              <a:lnTo>
                                <a:pt x="1803" y="1659"/>
                              </a:lnTo>
                              <a:lnTo>
                                <a:pt x="1798" y="1654"/>
                              </a:lnTo>
                              <a:lnTo>
                                <a:pt x="1792" y="1650"/>
                              </a:lnTo>
                              <a:lnTo>
                                <a:pt x="1786" y="1645"/>
                              </a:lnTo>
                              <a:lnTo>
                                <a:pt x="1778" y="1642"/>
                              </a:lnTo>
                              <a:lnTo>
                                <a:pt x="1770" y="1639"/>
                              </a:lnTo>
                              <a:lnTo>
                                <a:pt x="1761" y="1636"/>
                              </a:lnTo>
                              <a:lnTo>
                                <a:pt x="1753" y="1635"/>
                              </a:lnTo>
                              <a:lnTo>
                                <a:pt x="1743" y="1634"/>
                              </a:lnTo>
                              <a:lnTo>
                                <a:pt x="1733" y="1633"/>
                              </a:lnTo>
                              <a:lnTo>
                                <a:pt x="1733" y="1633"/>
                              </a:lnTo>
                              <a:lnTo>
                                <a:pt x="1721" y="1634"/>
                              </a:lnTo>
                              <a:lnTo>
                                <a:pt x="1711" y="1634"/>
                              </a:lnTo>
                              <a:lnTo>
                                <a:pt x="1700" y="1636"/>
                              </a:lnTo>
                              <a:lnTo>
                                <a:pt x="1689" y="1639"/>
                              </a:lnTo>
                              <a:lnTo>
                                <a:pt x="1679" y="1642"/>
                              </a:lnTo>
                              <a:lnTo>
                                <a:pt x="1669" y="1645"/>
                              </a:lnTo>
                              <a:lnTo>
                                <a:pt x="1659" y="1650"/>
                              </a:lnTo>
                              <a:lnTo>
                                <a:pt x="1649" y="1655"/>
                              </a:lnTo>
                              <a:lnTo>
                                <a:pt x="1671" y="1693"/>
                              </a:lnTo>
                              <a:close/>
                              <a:moveTo>
                                <a:pt x="1686" y="1786"/>
                              </a:moveTo>
                              <a:lnTo>
                                <a:pt x="1686" y="1786"/>
                              </a:lnTo>
                              <a:lnTo>
                                <a:pt x="1686" y="1780"/>
                              </a:lnTo>
                              <a:lnTo>
                                <a:pt x="1689" y="1773"/>
                              </a:lnTo>
                              <a:lnTo>
                                <a:pt x="1692" y="1768"/>
                              </a:lnTo>
                              <a:lnTo>
                                <a:pt x="1696" y="1763"/>
                              </a:lnTo>
                              <a:lnTo>
                                <a:pt x="1702" y="1760"/>
                              </a:lnTo>
                              <a:lnTo>
                                <a:pt x="1708" y="1758"/>
                              </a:lnTo>
                              <a:lnTo>
                                <a:pt x="1716" y="1755"/>
                              </a:lnTo>
                              <a:lnTo>
                                <a:pt x="1724" y="1755"/>
                              </a:lnTo>
                              <a:lnTo>
                                <a:pt x="1724" y="1755"/>
                              </a:lnTo>
                              <a:lnTo>
                                <a:pt x="1736" y="1755"/>
                              </a:lnTo>
                              <a:lnTo>
                                <a:pt x="1747" y="1758"/>
                              </a:lnTo>
                              <a:lnTo>
                                <a:pt x="1757" y="1761"/>
                              </a:lnTo>
                              <a:lnTo>
                                <a:pt x="1767" y="1766"/>
                              </a:lnTo>
                              <a:lnTo>
                                <a:pt x="1767" y="1796"/>
                              </a:lnTo>
                              <a:lnTo>
                                <a:pt x="1767" y="1796"/>
                              </a:lnTo>
                              <a:lnTo>
                                <a:pt x="1765" y="1801"/>
                              </a:lnTo>
                              <a:lnTo>
                                <a:pt x="1760" y="1805"/>
                              </a:lnTo>
                              <a:lnTo>
                                <a:pt x="1756" y="1810"/>
                              </a:lnTo>
                              <a:lnTo>
                                <a:pt x="1750" y="1813"/>
                              </a:lnTo>
                              <a:lnTo>
                                <a:pt x="1745" y="1816"/>
                              </a:lnTo>
                              <a:lnTo>
                                <a:pt x="1738" y="1818"/>
                              </a:lnTo>
                              <a:lnTo>
                                <a:pt x="1732" y="1819"/>
                              </a:lnTo>
                              <a:lnTo>
                                <a:pt x="1724" y="1821"/>
                              </a:lnTo>
                              <a:lnTo>
                                <a:pt x="1724" y="1821"/>
                              </a:lnTo>
                              <a:lnTo>
                                <a:pt x="1716" y="1819"/>
                              </a:lnTo>
                              <a:lnTo>
                                <a:pt x="1708" y="1817"/>
                              </a:lnTo>
                              <a:lnTo>
                                <a:pt x="1702" y="1815"/>
                              </a:lnTo>
                              <a:lnTo>
                                <a:pt x="1696" y="1811"/>
                              </a:lnTo>
                              <a:lnTo>
                                <a:pt x="1692" y="1806"/>
                              </a:lnTo>
                              <a:lnTo>
                                <a:pt x="1689" y="1801"/>
                              </a:lnTo>
                              <a:lnTo>
                                <a:pt x="1687" y="1794"/>
                              </a:lnTo>
                              <a:lnTo>
                                <a:pt x="1686" y="1786"/>
                              </a:lnTo>
                              <a:lnTo>
                                <a:pt x="1686" y="1786"/>
                              </a:lnTo>
                              <a:close/>
                              <a:moveTo>
                                <a:pt x="2333" y="1796"/>
                              </a:moveTo>
                              <a:lnTo>
                                <a:pt x="2333" y="1796"/>
                              </a:lnTo>
                              <a:lnTo>
                                <a:pt x="2325" y="1803"/>
                              </a:lnTo>
                              <a:lnTo>
                                <a:pt x="2315" y="1808"/>
                              </a:lnTo>
                              <a:lnTo>
                                <a:pt x="2310" y="1811"/>
                              </a:lnTo>
                              <a:lnTo>
                                <a:pt x="2303" y="1813"/>
                              </a:lnTo>
                              <a:lnTo>
                                <a:pt x="2297" y="1814"/>
                              </a:lnTo>
                              <a:lnTo>
                                <a:pt x="2290" y="1815"/>
                              </a:lnTo>
                              <a:lnTo>
                                <a:pt x="2290" y="1815"/>
                              </a:lnTo>
                              <a:lnTo>
                                <a:pt x="2285" y="1814"/>
                              </a:lnTo>
                              <a:lnTo>
                                <a:pt x="2278" y="1814"/>
                              </a:lnTo>
                              <a:lnTo>
                                <a:pt x="2270" y="1812"/>
                              </a:lnTo>
                              <a:lnTo>
                                <a:pt x="2261" y="1807"/>
                              </a:lnTo>
                              <a:lnTo>
                                <a:pt x="2254" y="1802"/>
                              </a:lnTo>
                              <a:lnTo>
                                <a:pt x="2250" y="1797"/>
                              </a:lnTo>
                              <a:lnTo>
                                <a:pt x="2247" y="1793"/>
                              </a:lnTo>
                              <a:lnTo>
                                <a:pt x="2245" y="1787"/>
                              </a:lnTo>
                              <a:lnTo>
                                <a:pt x="2243" y="1781"/>
                              </a:lnTo>
                              <a:lnTo>
                                <a:pt x="2242" y="1774"/>
                              </a:lnTo>
                              <a:lnTo>
                                <a:pt x="2240" y="1766"/>
                              </a:lnTo>
                              <a:lnTo>
                                <a:pt x="2376" y="1766"/>
                              </a:lnTo>
                              <a:lnTo>
                                <a:pt x="2376" y="1766"/>
                              </a:lnTo>
                              <a:lnTo>
                                <a:pt x="2377" y="1750"/>
                              </a:lnTo>
                              <a:lnTo>
                                <a:pt x="2377" y="1750"/>
                              </a:lnTo>
                              <a:lnTo>
                                <a:pt x="2377" y="1737"/>
                              </a:lnTo>
                              <a:lnTo>
                                <a:pt x="2375" y="1725"/>
                              </a:lnTo>
                              <a:lnTo>
                                <a:pt x="2374" y="1712"/>
                              </a:lnTo>
                              <a:lnTo>
                                <a:pt x="2371" y="1701"/>
                              </a:lnTo>
                              <a:lnTo>
                                <a:pt x="2367" y="1691"/>
                              </a:lnTo>
                              <a:lnTo>
                                <a:pt x="2363" y="1682"/>
                              </a:lnTo>
                              <a:lnTo>
                                <a:pt x="2357" y="1673"/>
                              </a:lnTo>
                              <a:lnTo>
                                <a:pt x="2352" y="1665"/>
                              </a:lnTo>
                              <a:lnTo>
                                <a:pt x="2345" y="1657"/>
                              </a:lnTo>
                              <a:lnTo>
                                <a:pt x="2339" y="1652"/>
                              </a:lnTo>
                              <a:lnTo>
                                <a:pt x="2331" y="1646"/>
                              </a:lnTo>
                              <a:lnTo>
                                <a:pt x="2322" y="1642"/>
                              </a:lnTo>
                              <a:lnTo>
                                <a:pt x="2313" y="1639"/>
                              </a:lnTo>
                              <a:lnTo>
                                <a:pt x="2304" y="1635"/>
                              </a:lnTo>
                              <a:lnTo>
                                <a:pt x="2294" y="1634"/>
                              </a:lnTo>
                              <a:lnTo>
                                <a:pt x="2283" y="1633"/>
                              </a:lnTo>
                              <a:lnTo>
                                <a:pt x="2283" y="1633"/>
                              </a:lnTo>
                              <a:lnTo>
                                <a:pt x="2274" y="1634"/>
                              </a:lnTo>
                              <a:lnTo>
                                <a:pt x="2264" y="1635"/>
                              </a:lnTo>
                              <a:lnTo>
                                <a:pt x="2254" y="1639"/>
                              </a:lnTo>
                              <a:lnTo>
                                <a:pt x="2244" y="1642"/>
                              </a:lnTo>
                              <a:lnTo>
                                <a:pt x="2235" y="1646"/>
                              </a:lnTo>
                              <a:lnTo>
                                <a:pt x="2227" y="1653"/>
                              </a:lnTo>
                              <a:lnTo>
                                <a:pt x="2219" y="1658"/>
                              </a:lnTo>
                              <a:lnTo>
                                <a:pt x="2213" y="1666"/>
                              </a:lnTo>
                              <a:lnTo>
                                <a:pt x="2206" y="1674"/>
                              </a:lnTo>
                              <a:lnTo>
                                <a:pt x="2201" y="1683"/>
                              </a:lnTo>
                              <a:lnTo>
                                <a:pt x="2196" y="1693"/>
                              </a:lnTo>
                              <a:lnTo>
                                <a:pt x="2192" y="1703"/>
                              </a:lnTo>
                              <a:lnTo>
                                <a:pt x="2189" y="1714"/>
                              </a:lnTo>
                              <a:lnTo>
                                <a:pt x="2186" y="1726"/>
                              </a:lnTo>
                              <a:lnTo>
                                <a:pt x="2185" y="1737"/>
                              </a:lnTo>
                              <a:lnTo>
                                <a:pt x="2184" y="1750"/>
                              </a:lnTo>
                              <a:lnTo>
                                <a:pt x="2184" y="1750"/>
                              </a:lnTo>
                              <a:lnTo>
                                <a:pt x="2185" y="1762"/>
                              </a:lnTo>
                              <a:lnTo>
                                <a:pt x="2186" y="1774"/>
                              </a:lnTo>
                              <a:lnTo>
                                <a:pt x="2189" y="1786"/>
                              </a:lnTo>
                              <a:lnTo>
                                <a:pt x="2192" y="1797"/>
                              </a:lnTo>
                              <a:lnTo>
                                <a:pt x="2196" y="1807"/>
                              </a:lnTo>
                              <a:lnTo>
                                <a:pt x="2201" y="1817"/>
                              </a:lnTo>
                              <a:lnTo>
                                <a:pt x="2206" y="1826"/>
                              </a:lnTo>
                              <a:lnTo>
                                <a:pt x="2213" y="1834"/>
                              </a:lnTo>
                              <a:lnTo>
                                <a:pt x="2221" y="1840"/>
                              </a:lnTo>
                              <a:lnTo>
                                <a:pt x="2228" y="1847"/>
                              </a:lnTo>
                              <a:lnTo>
                                <a:pt x="2237" y="1853"/>
                              </a:lnTo>
                              <a:lnTo>
                                <a:pt x="2246" y="1857"/>
                              </a:lnTo>
                              <a:lnTo>
                                <a:pt x="2256" y="1860"/>
                              </a:lnTo>
                              <a:lnTo>
                                <a:pt x="2267" y="1864"/>
                              </a:lnTo>
                              <a:lnTo>
                                <a:pt x="2278" y="1865"/>
                              </a:lnTo>
                              <a:lnTo>
                                <a:pt x="2290" y="1866"/>
                              </a:lnTo>
                              <a:lnTo>
                                <a:pt x="2290" y="1866"/>
                              </a:lnTo>
                              <a:lnTo>
                                <a:pt x="2301" y="1865"/>
                              </a:lnTo>
                              <a:lnTo>
                                <a:pt x="2311" y="1864"/>
                              </a:lnTo>
                              <a:lnTo>
                                <a:pt x="2322" y="1860"/>
                              </a:lnTo>
                              <a:lnTo>
                                <a:pt x="2332" y="1857"/>
                              </a:lnTo>
                              <a:lnTo>
                                <a:pt x="2342" y="1851"/>
                              </a:lnTo>
                              <a:lnTo>
                                <a:pt x="2351" y="1846"/>
                              </a:lnTo>
                              <a:lnTo>
                                <a:pt x="2360" y="1838"/>
                              </a:lnTo>
                              <a:lnTo>
                                <a:pt x="2368" y="1830"/>
                              </a:lnTo>
                              <a:lnTo>
                                <a:pt x="2333" y="1796"/>
                              </a:lnTo>
                              <a:close/>
                              <a:moveTo>
                                <a:pt x="2242" y="1726"/>
                              </a:moveTo>
                              <a:lnTo>
                                <a:pt x="2242" y="1726"/>
                              </a:lnTo>
                              <a:lnTo>
                                <a:pt x="2243" y="1716"/>
                              </a:lnTo>
                              <a:lnTo>
                                <a:pt x="2245" y="1707"/>
                              </a:lnTo>
                              <a:lnTo>
                                <a:pt x="2248" y="1699"/>
                              </a:lnTo>
                              <a:lnTo>
                                <a:pt x="2254" y="1693"/>
                              </a:lnTo>
                              <a:lnTo>
                                <a:pt x="2259" y="1687"/>
                              </a:lnTo>
                              <a:lnTo>
                                <a:pt x="2266" y="1684"/>
                              </a:lnTo>
                              <a:lnTo>
                                <a:pt x="2274" y="1680"/>
                              </a:lnTo>
                              <a:lnTo>
                                <a:pt x="2282" y="1680"/>
                              </a:lnTo>
                              <a:lnTo>
                                <a:pt x="2282" y="1680"/>
                              </a:lnTo>
                              <a:lnTo>
                                <a:pt x="2292" y="1682"/>
                              </a:lnTo>
                              <a:lnTo>
                                <a:pt x="2301" y="1684"/>
                              </a:lnTo>
                              <a:lnTo>
                                <a:pt x="2308" y="1688"/>
                              </a:lnTo>
                              <a:lnTo>
                                <a:pt x="2313" y="1695"/>
                              </a:lnTo>
                              <a:lnTo>
                                <a:pt x="2318" y="1701"/>
                              </a:lnTo>
                              <a:lnTo>
                                <a:pt x="2321" y="1709"/>
                              </a:lnTo>
                              <a:lnTo>
                                <a:pt x="2323" y="1718"/>
                              </a:lnTo>
                              <a:lnTo>
                                <a:pt x="2324" y="1726"/>
                              </a:lnTo>
                              <a:lnTo>
                                <a:pt x="2242" y="1726"/>
                              </a:lnTo>
                              <a:close/>
                              <a:moveTo>
                                <a:pt x="2864" y="1796"/>
                              </a:moveTo>
                              <a:lnTo>
                                <a:pt x="2864" y="1796"/>
                              </a:lnTo>
                              <a:lnTo>
                                <a:pt x="2855" y="1803"/>
                              </a:lnTo>
                              <a:lnTo>
                                <a:pt x="2846" y="1808"/>
                              </a:lnTo>
                              <a:lnTo>
                                <a:pt x="2840" y="1811"/>
                              </a:lnTo>
                              <a:lnTo>
                                <a:pt x="2834" y="1813"/>
                              </a:lnTo>
                              <a:lnTo>
                                <a:pt x="2828" y="1814"/>
                              </a:lnTo>
                              <a:lnTo>
                                <a:pt x="2820" y="1815"/>
                              </a:lnTo>
                              <a:lnTo>
                                <a:pt x="2820" y="1815"/>
                              </a:lnTo>
                              <a:lnTo>
                                <a:pt x="2814" y="1814"/>
                              </a:lnTo>
                              <a:lnTo>
                                <a:pt x="2808" y="1814"/>
                              </a:lnTo>
                              <a:lnTo>
                                <a:pt x="2800" y="1812"/>
                              </a:lnTo>
                              <a:lnTo>
                                <a:pt x="2792" y="1807"/>
                              </a:lnTo>
                              <a:lnTo>
                                <a:pt x="2784" y="1802"/>
                              </a:lnTo>
                              <a:lnTo>
                                <a:pt x="2781" y="1797"/>
                              </a:lnTo>
                              <a:lnTo>
                                <a:pt x="2778" y="1793"/>
                              </a:lnTo>
                              <a:lnTo>
                                <a:pt x="2776" y="1787"/>
                              </a:lnTo>
                              <a:lnTo>
                                <a:pt x="2773" y="1781"/>
                              </a:lnTo>
                              <a:lnTo>
                                <a:pt x="2771" y="1774"/>
                              </a:lnTo>
                              <a:lnTo>
                                <a:pt x="2770" y="1766"/>
                              </a:lnTo>
                              <a:lnTo>
                                <a:pt x="2907" y="1766"/>
                              </a:lnTo>
                              <a:lnTo>
                                <a:pt x="2907" y="1766"/>
                              </a:lnTo>
                              <a:lnTo>
                                <a:pt x="2908" y="1750"/>
                              </a:lnTo>
                              <a:lnTo>
                                <a:pt x="2908" y="1750"/>
                              </a:lnTo>
                              <a:lnTo>
                                <a:pt x="2907" y="1737"/>
                              </a:lnTo>
                              <a:lnTo>
                                <a:pt x="2906" y="1725"/>
                              </a:lnTo>
                              <a:lnTo>
                                <a:pt x="2904" y="1712"/>
                              </a:lnTo>
                              <a:lnTo>
                                <a:pt x="2901" y="1701"/>
                              </a:lnTo>
                              <a:lnTo>
                                <a:pt x="2897" y="1691"/>
                              </a:lnTo>
                              <a:lnTo>
                                <a:pt x="2893" y="1682"/>
                              </a:lnTo>
                              <a:lnTo>
                                <a:pt x="2888" y="1673"/>
                              </a:lnTo>
                              <a:lnTo>
                                <a:pt x="2883" y="1665"/>
                              </a:lnTo>
                              <a:lnTo>
                                <a:pt x="2876" y="1657"/>
                              </a:lnTo>
                              <a:lnTo>
                                <a:pt x="2868" y="1652"/>
                              </a:lnTo>
                              <a:lnTo>
                                <a:pt x="2861" y="1646"/>
                              </a:lnTo>
                              <a:lnTo>
                                <a:pt x="2853" y="1642"/>
                              </a:lnTo>
                              <a:lnTo>
                                <a:pt x="2844" y="1639"/>
                              </a:lnTo>
                              <a:lnTo>
                                <a:pt x="2834" y="1635"/>
                              </a:lnTo>
                              <a:lnTo>
                                <a:pt x="2824" y="1634"/>
                              </a:lnTo>
                              <a:lnTo>
                                <a:pt x="2814" y="1633"/>
                              </a:lnTo>
                              <a:lnTo>
                                <a:pt x="2814" y="1633"/>
                              </a:lnTo>
                              <a:lnTo>
                                <a:pt x="2803" y="1634"/>
                              </a:lnTo>
                              <a:lnTo>
                                <a:pt x="2793" y="1635"/>
                              </a:lnTo>
                              <a:lnTo>
                                <a:pt x="2783" y="1639"/>
                              </a:lnTo>
                              <a:lnTo>
                                <a:pt x="2775" y="1642"/>
                              </a:lnTo>
                              <a:lnTo>
                                <a:pt x="2766" y="1646"/>
                              </a:lnTo>
                              <a:lnTo>
                                <a:pt x="2757" y="1653"/>
                              </a:lnTo>
                              <a:lnTo>
                                <a:pt x="2750" y="1658"/>
                              </a:lnTo>
                              <a:lnTo>
                                <a:pt x="2743" y="1666"/>
                              </a:lnTo>
                              <a:lnTo>
                                <a:pt x="2736" y="1674"/>
                              </a:lnTo>
                              <a:lnTo>
                                <a:pt x="2730" y="1683"/>
                              </a:lnTo>
                              <a:lnTo>
                                <a:pt x="2726" y="1693"/>
                              </a:lnTo>
                              <a:lnTo>
                                <a:pt x="2722" y="1703"/>
                              </a:lnTo>
                              <a:lnTo>
                                <a:pt x="2719" y="1714"/>
                              </a:lnTo>
                              <a:lnTo>
                                <a:pt x="2716" y="1726"/>
                              </a:lnTo>
                              <a:lnTo>
                                <a:pt x="2715" y="1737"/>
                              </a:lnTo>
                              <a:lnTo>
                                <a:pt x="2715" y="1750"/>
                              </a:lnTo>
                              <a:lnTo>
                                <a:pt x="2715" y="1750"/>
                              </a:lnTo>
                              <a:lnTo>
                                <a:pt x="2715" y="1762"/>
                              </a:lnTo>
                              <a:lnTo>
                                <a:pt x="2716" y="1774"/>
                              </a:lnTo>
                              <a:lnTo>
                                <a:pt x="2718" y="1786"/>
                              </a:lnTo>
                              <a:lnTo>
                                <a:pt x="2722" y="1797"/>
                              </a:lnTo>
                              <a:lnTo>
                                <a:pt x="2726" y="1807"/>
                              </a:lnTo>
                              <a:lnTo>
                                <a:pt x="2732" y="1817"/>
                              </a:lnTo>
                              <a:lnTo>
                                <a:pt x="2737" y="1826"/>
                              </a:lnTo>
                              <a:lnTo>
                                <a:pt x="2744" y="1834"/>
                              </a:lnTo>
                              <a:lnTo>
                                <a:pt x="2750" y="1840"/>
                              </a:lnTo>
                              <a:lnTo>
                                <a:pt x="2758" y="1847"/>
                              </a:lnTo>
                              <a:lnTo>
                                <a:pt x="2767" y="1853"/>
                              </a:lnTo>
                              <a:lnTo>
                                <a:pt x="2777" y="1857"/>
                              </a:lnTo>
                              <a:lnTo>
                                <a:pt x="2787" y="1860"/>
                              </a:lnTo>
                              <a:lnTo>
                                <a:pt x="2797" y="1864"/>
                              </a:lnTo>
                              <a:lnTo>
                                <a:pt x="2809" y="1865"/>
                              </a:lnTo>
                              <a:lnTo>
                                <a:pt x="2820" y="1866"/>
                              </a:lnTo>
                              <a:lnTo>
                                <a:pt x="2820" y="1866"/>
                              </a:lnTo>
                              <a:lnTo>
                                <a:pt x="2831" y="1865"/>
                              </a:lnTo>
                              <a:lnTo>
                                <a:pt x="2842" y="1864"/>
                              </a:lnTo>
                              <a:lnTo>
                                <a:pt x="2852" y="1860"/>
                              </a:lnTo>
                              <a:lnTo>
                                <a:pt x="2862" y="1857"/>
                              </a:lnTo>
                              <a:lnTo>
                                <a:pt x="2872" y="1851"/>
                              </a:lnTo>
                              <a:lnTo>
                                <a:pt x="2882" y="1846"/>
                              </a:lnTo>
                              <a:lnTo>
                                <a:pt x="2890" y="1838"/>
                              </a:lnTo>
                              <a:lnTo>
                                <a:pt x="2898" y="1830"/>
                              </a:lnTo>
                              <a:lnTo>
                                <a:pt x="2864" y="1796"/>
                              </a:lnTo>
                              <a:close/>
                              <a:moveTo>
                                <a:pt x="2771" y="1726"/>
                              </a:moveTo>
                              <a:lnTo>
                                <a:pt x="2771" y="1726"/>
                              </a:lnTo>
                              <a:lnTo>
                                <a:pt x="2772" y="1716"/>
                              </a:lnTo>
                              <a:lnTo>
                                <a:pt x="2776" y="1707"/>
                              </a:lnTo>
                              <a:lnTo>
                                <a:pt x="2779" y="1699"/>
                              </a:lnTo>
                              <a:lnTo>
                                <a:pt x="2783" y="1693"/>
                              </a:lnTo>
                              <a:lnTo>
                                <a:pt x="2790" y="1687"/>
                              </a:lnTo>
                              <a:lnTo>
                                <a:pt x="2797" y="1684"/>
                              </a:lnTo>
                              <a:lnTo>
                                <a:pt x="2804" y="1680"/>
                              </a:lnTo>
                              <a:lnTo>
                                <a:pt x="2813" y="1680"/>
                              </a:lnTo>
                              <a:lnTo>
                                <a:pt x="2813" y="1680"/>
                              </a:lnTo>
                              <a:lnTo>
                                <a:pt x="2823" y="1682"/>
                              </a:lnTo>
                              <a:lnTo>
                                <a:pt x="2831" y="1684"/>
                              </a:lnTo>
                              <a:lnTo>
                                <a:pt x="2839" y="1688"/>
                              </a:lnTo>
                              <a:lnTo>
                                <a:pt x="2844" y="1695"/>
                              </a:lnTo>
                              <a:lnTo>
                                <a:pt x="2849" y="1701"/>
                              </a:lnTo>
                              <a:lnTo>
                                <a:pt x="2852" y="1709"/>
                              </a:lnTo>
                              <a:lnTo>
                                <a:pt x="2854" y="1718"/>
                              </a:lnTo>
                              <a:lnTo>
                                <a:pt x="2855" y="1726"/>
                              </a:lnTo>
                              <a:lnTo>
                                <a:pt x="2771" y="1726"/>
                              </a:lnTo>
                              <a:close/>
                              <a:moveTo>
                                <a:pt x="2639" y="1783"/>
                              </a:moveTo>
                              <a:lnTo>
                                <a:pt x="2639" y="1783"/>
                              </a:lnTo>
                              <a:lnTo>
                                <a:pt x="2639" y="1791"/>
                              </a:lnTo>
                              <a:lnTo>
                                <a:pt x="2640" y="1796"/>
                              </a:lnTo>
                              <a:lnTo>
                                <a:pt x="2642" y="1802"/>
                              </a:lnTo>
                              <a:lnTo>
                                <a:pt x="2644" y="1806"/>
                              </a:lnTo>
                              <a:lnTo>
                                <a:pt x="2648" y="1810"/>
                              </a:lnTo>
                              <a:lnTo>
                                <a:pt x="2652" y="1812"/>
                              </a:lnTo>
                              <a:lnTo>
                                <a:pt x="2656" y="1813"/>
                              </a:lnTo>
                              <a:lnTo>
                                <a:pt x="2663" y="1813"/>
                              </a:lnTo>
                              <a:lnTo>
                                <a:pt x="2663" y="1813"/>
                              </a:lnTo>
                              <a:lnTo>
                                <a:pt x="2671" y="1813"/>
                              </a:lnTo>
                              <a:lnTo>
                                <a:pt x="2680" y="1811"/>
                              </a:lnTo>
                              <a:lnTo>
                                <a:pt x="2688" y="1807"/>
                              </a:lnTo>
                              <a:lnTo>
                                <a:pt x="2696" y="1803"/>
                              </a:lnTo>
                              <a:lnTo>
                                <a:pt x="2690" y="1855"/>
                              </a:lnTo>
                              <a:lnTo>
                                <a:pt x="2690" y="1855"/>
                              </a:lnTo>
                              <a:lnTo>
                                <a:pt x="2680" y="1859"/>
                              </a:lnTo>
                              <a:lnTo>
                                <a:pt x="2668" y="1862"/>
                              </a:lnTo>
                              <a:lnTo>
                                <a:pt x="2655" y="1865"/>
                              </a:lnTo>
                              <a:lnTo>
                                <a:pt x="2643" y="1866"/>
                              </a:lnTo>
                              <a:lnTo>
                                <a:pt x="2643" y="1866"/>
                              </a:lnTo>
                              <a:lnTo>
                                <a:pt x="2636" y="1865"/>
                              </a:lnTo>
                              <a:lnTo>
                                <a:pt x="2628" y="1864"/>
                              </a:lnTo>
                              <a:lnTo>
                                <a:pt x="2621" y="1861"/>
                              </a:lnTo>
                              <a:lnTo>
                                <a:pt x="2616" y="1859"/>
                              </a:lnTo>
                              <a:lnTo>
                                <a:pt x="2610" y="1856"/>
                              </a:lnTo>
                              <a:lnTo>
                                <a:pt x="2605" y="1853"/>
                              </a:lnTo>
                              <a:lnTo>
                                <a:pt x="2601" y="1848"/>
                              </a:lnTo>
                              <a:lnTo>
                                <a:pt x="2597" y="1843"/>
                              </a:lnTo>
                              <a:lnTo>
                                <a:pt x="2591" y="1833"/>
                              </a:lnTo>
                              <a:lnTo>
                                <a:pt x="2587" y="1821"/>
                              </a:lnTo>
                              <a:lnTo>
                                <a:pt x="2585" y="1810"/>
                              </a:lnTo>
                              <a:lnTo>
                                <a:pt x="2584" y="1797"/>
                              </a:lnTo>
                              <a:lnTo>
                                <a:pt x="2584" y="1689"/>
                              </a:lnTo>
                              <a:lnTo>
                                <a:pt x="2549" y="1689"/>
                              </a:lnTo>
                              <a:lnTo>
                                <a:pt x="2549" y="1639"/>
                              </a:lnTo>
                              <a:lnTo>
                                <a:pt x="2584" y="1639"/>
                              </a:lnTo>
                              <a:lnTo>
                                <a:pt x="2584" y="1581"/>
                              </a:lnTo>
                              <a:lnTo>
                                <a:pt x="2639" y="1554"/>
                              </a:lnTo>
                              <a:lnTo>
                                <a:pt x="2639" y="1639"/>
                              </a:lnTo>
                              <a:lnTo>
                                <a:pt x="2688" y="1639"/>
                              </a:lnTo>
                              <a:lnTo>
                                <a:pt x="2688" y="1689"/>
                              </a:lnTo>
                              <a:lnTo>
                                <a:pt x="2639" y="1689"/>
                              </a:lnTo>
                              <a:lnTo>
                                <a:pt x="2639" y="1783"/>
                              </a:lnTo>
                              <a:close/>
                              <a:moveTo>
                                <a:pt x="2532" y="1855"/>
                              </a:moveTo>
                              <a:lnTo>
                                <a:pt x="2532" y="1855"/>
                              </a:lnTo>
                              <a:lnTo>
                                <a:pt x="2522" y="1859"/>
                              </a:lnTo>
                              <a:lnTo>
                                <a:pt x="2511" y="1862"/>
                              </a:lnTo>
                              <a:lnTo>
                                <a:pt x="2499" y="1865"/>
                              </a:lnTo>
                              <a:lnTo>
                                <a:pt x="2487" y="1866"/>
                              </a:lnTo>
                              <a:lnTo>
                                <a:pt x="2487" y="1866"/>
                              </a:lnTo>
                              <a:lnTo>
                                <a:pt x="2478" y="1865"/>
                              </a:lnTo>
                              <a:lnTo>
                                <a:pt x="2471" y="1864"/>
                              </a:lnTo>
                              <a:lnTo>
                                <a:pt x="2464" y="1861"/>
                              </a:lnTo>
                              <a:lnTo>
                                <a:pt x="2458" y="1859"/>
                              </a:lnTo>
                              <a:lnTo>
                                <a:pt x="2453" y="1856"/>
                              </a:lnTo>
                              <a:lnTo>
                                <a:pt x="2448" y="1853"/>
                              </a:lnTo>
                              <a:lnTo>
                                <a:pt x="2443" y="1848"/>
                              </a:lnTo>
                              <a:lnTo>
                                <a:pt x="2440" y="1843"/>
                              </a:lnTo>
                              <a:lnTo>
                                <a:pt x="2434" y="1833"/>
                              </a:lnTo>
                              <a:lnTo>
                                <a:pt x="2430" y="1821"/>
                              </a:lnTo>
                              <a:lnTo>
                                <a:pt x="2427" y="1810"/>
                              </a:lnTo>
                              <a:lnTo>
                                <a:pt x="2427" y="1797"/>
                              </a:lnTo>
                              <a:lnTo>
                                <a:pt x="2427" y="1689"/>
                              </a:lnTo>
                              <a:lnTo>
                                <a:pt x="2393" y="1689"/>
                              </a:lnTo>
                              <a:lnTo>
                                <a:pt x="2393" y="1639"/>
                              </a:lnTo>
                              <a:lnTo>
                                <a:pt x="2427" y="1639"/>
                              </a:lnTo>
                              <a:lnTo>
                                <a:pt x="2427" y="1581"/>
                              </a:lnTo>
                              <a:lnTo>
                                <a:pt x="2482" y="1554"/>
                              </a:lnTo>
                              <a:lnTo>
                                <a:pt x="2482" y="1639"/>
                              </a:lnTo>
                              <a:lnTo>
                                <a:pt x="2528" y="1639"/>
                              </a:lnTo>
                              <a:lnTo>
                                <a:pt x="2528" y="1689"/>
                              </a:lnTo>
                              <a:lnTo>
                                <a:pt x="2482" y="1689"/>
                              </a:lnTo>
                              <a:lnTo>
                                <a:pt x="2482" y="1783"/>
                              </a:lnTo>
                              <a:lnTo>
                                <a:pt x="2482" y="1783"/>
                              </a:lnTo>
                              <a:lnTo>
                                <a:pt x="2482" y="1791"/>
                              </a:lnTo>
                              <a:lnTo>
                                <a:pt x="2483" y="1796"/>
                              </a:lnTo>
                              <a:lnTo>
                                <a:pt x="2485" y="1802"/>
                              </a:lnTo>
                              <a:lnTo>
                                <a:pt x="2488" y="1806"/>
                              </a:lnTo>
                              <a:lnTo>
                                <a:pt x="2491" y="1810"/>
                              </a:lnTo>
                              <a:lnTo>
                                <a:pt x="2495" y="1812"/>
                              </a:lnTo>
                              <a:lnTo>
                                <a:pt x="2500" y="1813"/>
                              </a:lnTo>
                              <a:lnTo>
                                <a:pt x="2505" y="1813"/>
                              </a:lnTo>
                              <a:lnTo>
                                <a:pt x="2505" y="1813"/>
                              </a:lnTo>
                              <a:lnTo>
                                <a:pt x="2514" y="1813"/>
                              </a:lnTo>
                              <a:lnTo>
                                <a:pt x="2523" y="1811"/>
                              </a:lnTo>
                              <a:lnTo>
                                <a:pt x="2531" y="1807"/>
                              </a:lnTo>
                              <a:lnTo>
                                <a:pt x="2538" y="1803"/>
                              </a:lnTo>
                              <a:lnTo>
                                <a:pt x="2532" y="1855"/>
                              </a:lnTo>
                              <a:close/>
                              <a:moveTo>
                                <a:pt x="3074" y="1700"/>
                              </a:moveTo>
                              <a:lnTo>
                                <a:pt x="3074" y="1700"/>
                              </a:lnTo>
                              <a:lnTo>
                                <a:pt x="3066" y="1695"/>
                              </a:lnTo>
                              <a:lnTo>
                                <a:pt x="3057" y="1691"/>
                              </a:lnTo>
                              <a:lnTo>
                                <a:pt x="3047" y="1689"/>
                              </a:lnTo>
                              <a:lnTo>
                                <a:pt x="3037" y="1688"/>
                              </a:lnTo>
                              <a:lnTo>
                                <a:pt x="3037" y="1688"/>
                              </a:lnTo>
                              <a:lnTo>
                                <a:pt x="3028" y="1689"/>
                              </a:lnTo>
                              <a:lnTo>
                                <a:pt x="3020" y="1691"/>
                              </a:lnTo>
                              <a:lnTo>
                                <a:pt x="3013" y="1696"/>
                              </a:lnTo>
                              <a:lnTo>
                                <a:pt x="3007" y="1701"/>
                              </a:lnTo>
                              <a:lnTo>
                                <a:pt x="3003" y="1708"/>
                              </a:lnTo>
                              <a:lnTo>
                                <a:pt x="3001" y="1717"/>
                              </a:lnTo>
                              <a:lnTo>
                                <a:pt x="2999" y="1728"/>
                              </a:lnTo>
                              <a:lnTo>
                                <a:pt x="2998" y="1740"/>
                              </a:lnTo>
                              <a:lnTo>
                                <a:pt x="2998" y="1860"/>
                              </a:lnTo>
                              <a:lnTo>
                                <a:pt x="2943" y="1860"/>
                              </a:lnTo>
                              <a:lnTo>
                                <a:pt x="2943" y="1639"/>
                              </a:lnTo>
                              <a:lnTo>
                                <a:pt x="2998" y="1639"/>
                              </a:lnTo>
                              <a:lnTo>
                                <a:pt x="2998" y="1657"/>
                              </a:lnTo>
                              <a:lnTo>
                                <a:pt x="2998" y="1657"/>
                              </a:lnTo>
                              <a:lnTo>
                                <a:pt x="3003" y="1652"/>
                              </a:lnTo>
                              <a:lnTo>
                                <a:pt x="3009" y="1646"/>
                              </a:lnTo>
                              <a:lnTo>
                                <a:pt x="3014" y="1643"/>
                              </a:lnTo>
                              <a:lnTo>
                                <a:pt x="3021" y="1640"/>
                              </a:lnTo>
                              <a:lnTo>
                                <a:pt x="3026" y="1636"/>
                              </a:lnTo>
                              <a:lnTo>
                                <a:pt x="3033" y="1635"/>
                              </a:lnTo>
                              <a:lnTo>
                                <a:pt x="3039" y="1634"/>
                              </a:lnTo>
                              <a:lnTo>
                                <a:pt x="3047" y="1633"/>
                              </a:lnTo>
                              <a:lnTo>
                                <a:pt x="3047" y="1633"/>
                              </a:lnTo>
                              <a:lnTo>
                                <a:pt x="3058" y="1634"/>
                              </a:lnTo>
                              <a:lnTo>
                                <a:pt x="3069" y="1637"/>
                              </a:lnTo>
                              <a:lnTo>
                                <a:pt x="3079" y="1641"/>
                              </a:lnTo>
                              <a:lnTo>
                                <a:pt x="3088" y="1646"/>
                              </a:lnTo>
                              <a:lnTo>
                                <a:pt x="3074" y="1700"/>
                              </a:lnTo>
                              <a:close/>
                              <a:moveTo>
                                <a:pt x="593" y="1579"/>
                              </a:moveTo>
                              <a:lnTo>
                                <a:pt x="593" y="1607"/>
                              </a:lnTo>
                              <a:lnTo>
                                <a:pt x="537" y="1607"/>
                              </a:lnTo>
                              <a:lnTo>
                                <a:pt x="537" y="1551"/>
                              </a:lnTo>
                              <a:lnTo>
                                <a:pt x="593" y="1551"/>
                              </a:lnTo>
                              <a:lnTo>
                                <a:pt x="593" y="1579"/>
                              </a:lnTo>
                              <a:close/>
                              <a:moveTo>
                                <a:pt x="975" y="1639"/>
                              </a:moveTo>
                              <a:lnTo>
                                <a:pt x="1030" y="1639"/>
                              </a:lnTo>
                              <a:lnTo>
                                <a:pt x="1030" y="1738"/>
                              </a:lnTo>
                              <a:lnTo>
                                <a:pt x="1030" y="1860"/>
                              </a:lnTo>
                              <a:lnTo>
                                <a:pt x="975" y="1860"/>
                              </a:lnTo>
                              <a:lnTo>
                                <a:pt x="975" y="1639"/>
                              </a:lnTo>
                              <a:close/>
                              <a:moveTo>
                                <a:pt x="1030" y="1579"/>
                              </a:moveTo>
                              <a:lnTo>
                                <a:pt x="1030" y="1607"/>
                              </a:lnTo>
                              <a:lnTo>
                                <a:pt x="975" y="1607"/>
                              </a:lnTo>
                              <a:lnTo>
                                <a:pt x="975" y="1551"/>
                              </a:lnTo>
                              <a:lnTo>
                                <a:pt x="1030" y="1551"/>
                              </a:lnTo>
                              <a:lnTo>
                                <a:pt x="1030" y="1579"/>
                              </a:lnTo>
                              <a:close/>
                              <a:moveTo>
                                <a:pt x="2539" y="2042"/>
                              </a:moveTo>
                              <a:lnTo>
                                <a:pt x="2539" y="2042"/>
                              </a:lnTo>
                              <a:lnTo>
                                <a:pt x="2534" y="2038"/>
                              </a:lnTo>
                              <a:lnTo>
                                <a:pt x="2528" y="2033"/>
                              </a:lnTo>
                              <a:lnTo>
                                <a:pt x="2523" y="2030"/>
                              </a:lnTo>
                              <a:lnTo>
                                <a:pt x="2516" y="2027"/>
                              </a:lnTo>
                              <a:lnTo>
                                <a:pt x="2511" y="2025"/>
                              </a:lnTo>
                              <a:lnTo>
                                <a:pt x="2504" y="2024"/>
                              </a:lnTo>
                              <a:lnTo>
                                <a:pt x="2490" y="2021"/>
                              </a:lnTo>
                              <a:lnTo>
                                <a:pt x="2490" y="2021"/>
                              </a:lnTo>
                              <a:lnTo>
                                <a:pt x="2480" y="2022"/>
                              </a:lnTo>
                              <a:lnTo>
                                <a:pt x="2471" y="2024"/>
                              </a:lnTo>
                              <a:lnTo>
                                <a:pt x="2462" y="2027"/>
                              </a:lnTo>
                              <a:lnTo>
                                <a:pt x="2453" y="2030"/>
                              </a:lnTo>
                              <a:lnTo>
                                <a:pt x="2446" y="2035"/>
                              </a:lnTo>
                              <a:lnTo>
                                <a:pt x="2439" y="2039"/>
                              </a:lnTo>
                              <a:lnTo>
                                <a:pt x="2432" y="2046"/>
                              </a:lnTo>
                              <a:lnTo>
                                <a:pt x="2426" y="2052"/>
                              </a:lnTo>
                              <a:lnTo>
                                <a:pt x="2421" y="2060"/>
                              </a:lnTo>
                              <a:lnTo>
                                <a:pt x="2416" y="2069"/>
                              </a:lnTo>
                              <a:lnTo>
                                <a:pt x="2413" y="2078"/>
                              </a:lnTo>
                              <a:lnTo>
                                <a:pt x="2409" y="2089"/>
                              </a:lnTo>
                              <a:lnTo>
                                <a:pt x="2406" y="2099"/>
                              </a:lnTo>
                              <a:lnTo>
                                <a:pt x="2405" y="2111"/>
                              </a:lnTo>
                              <a:lnTo>
                                <a:pt x="2404" y="2123"/>
                              </a:lnTo>
                              <a:lnTo>
                                <a:pt x="2403" y="2136"/>
                              </a:lnTo>
                              <a:lnTo>
                                <a:pt x="2403" y="2136"/>
                              </a:lnTo>
                              <a:lnTo>
                                <a:pt x="2404" y="2149"/>
                              </a:lnTo>
                              <a:lnTo>
                                <a:pt x="2405" y="2161"/>
                              </a:lnTo>
                              <a:lnTo>
                                <a:pt x="2406" y="2174"/>
                              </a:lnTo>
                              <a:lnTo>
                                <a:pt x="2409" y="2186"/>
                              </a:lnTo>
                              <a:lnTo>
                                <a:pt x="2411" y="2196"/>
                              </a:lnTo>
                              <a:lnTo>
                                <a:pt x="2416" y="2206"/>
                              </a:lnTo>
                              <a:lnTo>
                                <a:pt x="2420" y="2214"/>
                              </a:lnTo>
                              <a:lnTo>
                                <a:pt x="2426" y="2222"/>
                              </a:lnTo>
                              <a:lnTo>
                                <a:pt x="2431" y="2230"/>
                              </a:lnTo>
                              <a:lnTo>
                                <a:pt x="2438" y="2235"/>
                              </a:lnTo>
                              <a:lnTo>
                                <a:pt x="2445" y="2241"/>
                              </a:lnTo>
                              <a:lnTo>
                                <a:pt x="2452" y="2245"/>
                              </a:lnTo>
                              <a:lnTo>
                                <a:pt x="2461" y="2250"/>
                              </a:lnTo>
                              <a:lnTo>
                                <a:pt x="2470" y="2252"/>
                              </a:lnTo>
                              <a:lnTo>
                                <a:pt x="2479" y="2253"/>
                              </a:lnTo>
                              <a:lnTo>
                                <a:pt x="2489" y="2254"/>
                              </a:lnTo>
                              <a:lnTo>
                                <a:pt x="2489" y="2254"/>
                              </a:lnTo>
                              <a:lnTo>
                                <a:pt x="2495" y="2253"/>
                              </a:lnTo>
                              <a:lnTo>
                                <a:pt x="2503" y="2252"/>
                              </a:lnTo>
                              <a:lnTo>
                                <a:pt x="2510" y="2251"/>
                              </a:lnTo>
                              <a:lnTo>
                                <a:pt x="2515" y="2249"/>
                              </a:lnTo>
                              <a:lnTo>
                                <a:pt x="2522" y="2245"/>
                              </a:lnTo>
                              <a:lnTo>
                                <a:pt x="2528" y="2242"/>
                              </a:lnTo>
                              <a:lnTo>
                                <a:pt x="2534" y="2238"/>
                              </a:lnTo>
                              <a:lnTo>
                                <a:pt x="2539" y="2232"/>
                              </a:lnTo>
                              <a:lnTo>
                                <a:pt x="2539" y="2249"/>
                              </a:lnTo>
                              <a:lnTo>
                                <a:pt x="2595" y="2249"/>
                              </a:lnTo>
                              <a:lnTo>
                                <a:pt x="2595" y="1934"/>
                              </a:lnTo>
                              <a:lnTo>
                                <a:pt x="2539" y="1962"/>
                              </a:lnTo>
                              <a:lnTo>
                                <a:pt x="2539" y="2042"/>
                              </a:lnTo>
                              <a:close/>
                              <a:moveTo>
                                <a:pt x="2501" y="2203"/>
                              </a:moveTo>
                              <a:lnTo>
                                <a:pt x="2501" y="2203"/>
                              </a:lnTo>
                              <a:lnTo>
                                <a:pt x="2493" y="2202"/>
                              </a:lnTo>
                              <a:lnTo>
                                <a:pt x="2487" y="2200"/>
                              </a:lnTo>
                              <a:lnTo>
                                <a:pt x="2479" y="2197"/>
                              </a:lnTo>
                              <a:lnTo>
                                <a:pt x="2472" y="2190"/>
                              </a:lnTo>
                              <a:lnTo>
                                <a:pt x="2467" y="2181"/>
                              </a:lnTo>
                              <a:lnTo>
                                <a:pt x="2462" y="2169"/>
                              </a:lnTo>
                              <a:lnTo>
                                <a:pt x="2460" y="2154"/>
                              </a:lnTo>
                              <a:lnTo>
                                <a:pt x="2459" y="2134"/>
                              </a:lnTo>
                              <a:lnTo>
                                <a:pt x="2459" y="2134"/>
                              </a:lnTo>
                              <a:lnTo>
                                <a:pt x="2460" y="2117"/>
                              </a:lnTo>
                              <a:lnTo>
                                <a:pt x="2462" y="2103"/>
                              </a:lnTo>
                              <a:lnTo>
                                <a:pt x="2467" y="2092"/>
                              </a:lnTo>
                              <a:lnTo>
                                <a:pt x="2472" y="2084"/>
                              </a:lnTo>
                              <a:lnTo>
                                <a:pt x="2479" y="2079"/>
                              </a:lnTo>
                              <a:lnTo>
                                <a:pt x="2485" y="2074"/>
                              </a:lnTo>
                              <a:lnTo>
                                <a:pt x="2493" y="2073"/>
                              </a:lnTo>
                              <a:lnTo>
                                <a:pt x="2500" y="2072"/>
                              </a:lnTo>
                              <a:lnTo>
                                <a:pt x="2500" y="2072"/>
                              </a:lnTo>
                              <a:lnTo>
                                <a:pt x="2507" y="2073"/>
                              </a:lnTo>
                              <a:lnTo>
                                <a:pt x="2514" y="2074"/>
                              </a:lnTo>
                              <a:lnTo>
                                <a:pt x="2520" y="2076"/>
                              </a:lnTo>
                              <a:lnTo>
                                <a:pt x="2525" y="2080"/>
                              </a:lnTo>
                              <a:lnTo>
                                <a:pt x="2530" y="2083"/>
                              </a:lnTo>
                              <a:lnTo>
                                <a:pt x="2534" y="2086"/>
                              </a:lnTo>
                              <a:lnTo>
                                <a:pt x="2539" y="2094"/>
                              </a:lnTo>
                              <a:lnTo>
                                <a:pt x="2539" y="2181"/>
                              </a:lnTo>
                              <a:lnTo>
                                <a:pt x="2539" y="2181"/>
                              </a:lnTo>
                              <a:lnTo>
                                <a:pt x="2533" y="2189"/>
                              </a:lnTo>
                              <a:lnTo>
                                <a:pt x="2525" y="2196"/>
                              </a:lnTo>
                              <a:lnTo>
                                <a:pt x="2520" y="2199"/>
                              </a:lnTo>
                              <a:lnTo>
                                <a:pt x="2514" y="2201"/>
                              </a:lnTo>
                              <a:lnTo>
                                <a:pt x="2507" y="2202"/>
                              </a:lnTo>
                              <a:lnTo>
                                <a:pt x="2501" y="2203"/>
                              </a:lnTo>
                              <a:lnTo>
                                <a:pt x="2501" y="2203"/>
                              </a:lnTo>
                              <a:close/>
                              <a:moveTo>
                                <a:pt x="672" y="2089"/>
                              </a:moveTo>
                              <a:lnTo>
                                <a:pt x="672" y="2089"/>
                              </a:lnTo>
                              <a:lnTo>
                                <a:pt x="664" y="2084"/>
                              </a:lnTo>
                              <a:lnTo>
                                <a:pt x="656" y="2080"/>
                              </a:lnTo>
                              <a:lnTo>
                                <a:pt x="646" y="2078"/>
                              </a:lnTo>
                              <a:lnTo>
                                <a:pt x="636" y="2076"/>
                              </a:lnTo>
                              <a:lnTo>
                                <a:pt x="636" y="2076"/>
                              </a:lnTo>
                              <a:lnTo>
                                <a:pt x="627" y="2078"/>
                              </a:lnTo>
                              <a:lnTo>
                                <a:pt x="618" y="2080"/>
                              </a:lnTo>
                              <a:lnTo>
                                <a:pt x="611" y="2084"/>
                              </a:lnTo>
                              <a:lnTo>
                                <a:pt x="606" y="2090"/>
                              </a:lnTo>
                              <a:lnTo>
                                <a:pt x="601" y="2096"/>
                              </a:lnTo>
                              <a:lnTo>
                                <a:pt x="599" y="2105"/>
                              </a:lnTo>
                              <a:lnTo>
                                <a:pt x="597" y="2116"/>
                              </a:lnTo>
                              <a:lnTo>
                                <a:pt x="596" y="2128"/>
                              </a:lnTo>
                              <a:lnTo>
                                <a:pt x="596" y="2249"/>
                              </a:lnTo>
                              <a:lnTo>
                                <a:pt x="542" y="2249"/>
                              </a:lnTo>
                              <a:lnTo>
                                <a:pt x="542" y="2027"/>
                              </a:lnTo>
                              <a:lnTo>
                                <a:pt x="596" y="2027"/>
                              </a:lnTo>
                              <a:lnTo>
                                <a:pt x="596" y="2046"/>
                              </a:lnTo>
                              <a:lnTo>
                                <a:pt x="596" y="2046"/>
                              </a:lnTo>
                              <a:lnTo>
                                <a:pt x="601" y="2040"/>
                              </a:lnTo>
                              <a:lnTo>
                                <a:pt x="607" y="2035"/>
                              </a:lnTo>
                              <a:lnTo>
                                <a:pt x="613" y="2031"/>
                              </a:lnTo>
                              <a:lnTo>
                                <a:pt x="619" y="2028"/>
                              </a:lnTo>
                              <a:lnTo>
                                <a:pt x="625" y="2025"/>
                              </a:lnTo>
                              <a:lnTo>
                                <a:pt x="631" y="2024"/>
                              </a:lnTo>
                              <a:lnTo>
                                <a:pt x="639" y="2022"/>
                              </a:lnTo>
                              <a:lnTo>
                                <a:pt x="646" y="2021"/>
                              </a:lnTo>
                              <a:lnTo>
                                <a:pt x="646" y="2021"/>
                              </a:lnTo>
                              <a:lnTo>
                                <a:pt x="657" y="2022"/>
                              </a:lnTo>
                              <a:lnTo>
                                <a:pt x="668" y="2026"/>
                              </a:lnTo>
                              <a:lnTo>
                                <a:pt x="679" y="2030"/>
                              </a:lnTo>
                              <a:lnTo>
                                <a:pt x="688" y="2036"/>
                              </a:lnTo>
                              <a:lnTo>
                                <a:pt x="672" y="2089"/>
                              </a:lnTo>
                              <a:close/>
                              <a:moveTo>
                                <a:pt x="241" y="2027"/>
                              </a:moveTo>
                              <a:lnTo>
                                <a:pt x="295" y="2027"/>
                              </a:lnTo>
                              <a:lnTo>
                                <a:pt x="232" y="2249"/>
                              </a:lnTo>
                              <a:lnTo>
                                <a:pt x="184" y="2249"/>
                              </a:lnTo>
                              <a:lnTo>
                                <a:pt x="160" y="2157"/>
                              </a:lnTo>
                              <a:lnTo>
                                <a:pt x="160" y="2157"/>
                              </a:lnTo>
                              <a:lnTo>
                                <a:pt x="148" y="2108"/>
                              </a:lnTo>
                              <a:lnTo>
                                <a:pt x="148" y="2108"/>
                              </a:lnTo>
                              <a:lnTo>
                                <a:pt x="142" y="2132"/>
                              </a:lnTo>
                              <a:lnTo>
                                <a:pt x="136" y="2158"/>
                              </a:lnTo>
                              <a:lnTo>
                                <a:pt x="110" y="2249"/>
                              </a:lnTo>
                              <a:lnTo>
                                <a:pt x="63" y="2249"/>
                              </a:lnTo>
                              <a:lnTo>
                                <a:pt x="63" y="2247"/>
                              </a:lnTo>
                              <a:lnTo>
                                <a:pt x="0" y="2027"/>
                              </a:lnTo>
                              <a:lnTo>
                                <a:pt x="57" y="2027"/>
                              </a:lnTo>
                              <a:lnTo>
                                <a:pt x="77" y="2110"/>
                              </a:lnTo>
                              <a:lnTo>
                                <a:pt x="77" y="2110"/>
                              </a:lnTo>
                              <a:lnTo>
                                <a:pt x="83" y="2136"/>
                              </a:lnTo>
                              <a:lnTo>
                                <a:pt x="88" y="2164"/>
                              </a:lnTo>
                              <a:lnTo>
                                <a:pt x="88" y="2164"/>
                              </a:lnTo>
                              <a:lnTo>
                                <a:pt x="95" y="2136"/>
                              </a:lnTo>
                              <a:lnTo>
                                <a:pt x="102" y="2108"/>
                              </a:lnTo>
                              <a:lnTo>
                                <a:pt x="125" y="2027"/>
                              </a:lnTo>
                              <a:lnTo>
                                <a:pt x="172" y="2027"/>
                              </a:lnTo>
                              <a:lnTo>
                                <a:pt x="195" y="2108"/>
                              </a:lnTo>
                              <a:lnTo>
                                <a:pt x="195" y="2108"/>
                              </a:lnTo>
                              <a:lnTo>
                                <a:pt x="202" y="2135"/>
                              </a:lnTo>
                              <a:lnTo>
                                <a:pt x="209" y="2165"/>
                              </a:lnTo>
                              <a:lnTo>
                                <a:pt x="209" y="2165"/>
                              </a:lnTo>
                              <a:lnTo>
                                <a:pt x="213" y="2139"/>
                              </a:lnTo>
                              <a:lnTo>
                                <a:pt x="220" y="2108"/>
                              </a:lnTo>
                              <a:lnTo>
                                <a:pt x="241" y="2027"/>
                              </a:lnTo>
                              <a:close/>
                              <a:moveTo>
                                <a:pt x="406" y="2021"/>
                              </a:moveTo>
                              <a:lnTo>
                                <a:pt x="406" y="2021"/>
                              </a:lnTo>
                              <a:lnTo>
                                <a:pt x="396" y="2022"/>
                              </a:lnTo>
                              <a:lnTo>
                                <a:pt x="385" y="2024"/>
                              </a:lnTo>
                              <a:lnTo>
                                <a:pt x="375" y="2027"/>
                              </a:lnTo>
                              <a:lnTo>
                                <a:pt x="366" y="2030"/>
                              </a:lnTo>
                              <a:lnTo>
                                <a:pt x="358" y="2035"/>
                              </a:lnTo>
                              <a:lnTo>
                                <a:pt x="349" y="2040"/>
                              </a:lnTo>
                              <a:lnTo>
                                <a:pt x="341" y="2047"/>
                              </a:lnTo>
                              <a:lnTo>
                                <a:pt x="334" y="2054"/>
                              </a:lnTo>
                              <a:lnTo>
                                <a:pt x="328" y="2062"/>
                              </a:lnTo>
                              <a:lnTo>
                                <a:pt x="322" y="2071"/>
                              </a:lnTo>
                              <a:lnTo>
                                <a:pt x="317" y="2081"/>
                              </a:lnTo>
                              <a:lnTo>
                                <a:pt x="313" y="2091"/>
                              </a:lnTo>
                              <a:lnTo>
                                <a:pt x="310" y="2102"/>
                              </a:lnTo>
                              <a:lnTo>
                                <a:pt x="308" y="2113"/>
                              </a:lnTo>
                              <a:lnTo>
                                <a:pt x="306" y="2125"/>
                              </a:lnTo>
                              <a:lnTo>
                                <a:pt x="306" y="2138"/>
                              </a:lnTo>
                              <a:lnTo>
                                <a:pt x="306" y="2138"/>
                              </a:lnTo>
                              <a:lnTo>
                                <a:pt x="306" y="2150"/>
                              </a:lnTo>
                              <a:lnTo>
                                <a:pt x="308" y="2163"/>
                              </a:lnTo>
                              <a:lnTo>
                                <a:pt x="310" y="2174"/>
                              </a:lnTo>
                              <a:lnTo>
                                <a:pt x="313" y="2185"/>
                              </a:lnTo>
                              <a:lnTo>
                                <a:pt x="317" y="2194"/>
                              </a:lnTo>
                              <a:lnTo>
                                <a:pt x="322" y="2204"/>
                              </a:lnTo>
                              <a:lnTo>
                                <a:pt x="328" y="2213"/>
                              </a:lnTo>
                              <a:lnTo>
                                <a:pt x="334" y="2221"/>
                              </a:lnTo>
                              <a:lnTo>
                                <a:pt x="341" y="2229"/>
                              </a:lnTo>
                              <a:lnTo>
                                <a:pt x="349" y="2235"/>
                              </a:lnTo>
                              <a:lnTo>
                                <a:pt x="358" y="2241"/>
                              </a:lnTo>
                              <a:lnTo>
                                <a:pt x="366" y="2245"/>
                              </a:lnTo>
                              <a:lnTo>
                                <a:pt x="375" y="2249"/>
                              </a:lnTo>
                              <a:lnTo>
                                <a:pt x="385" y="2252"/>
                              </a:lnTo>
                              <a:lnTo>
                                <a:pt x="396" y="2253"/>
                              </a:lnTo>
                              <a:lnTo>
                                <a:pt x="406" y="2254"/>
                              </a:lnTo>
                              <a:lnTo>
                                <a:pt x="406" y="2254"/>
                              </a:lnTo>
                              <a:lnTo>
                                <a:pt x="417" y="2253"/>
                              </a:lnTo>
                              <a:lnTo>
                                <a:pt x="428" y="2252"/>
                              </a:lnTo>
                              <a:lnTo>
                                <a:pt x="438" y="2249"/>
                              </a:lnTo>
                              <a:lnTo>
                                <a:pt x="447" y="2245"/>
                              </a:lnTo>
                              <a:lnTo>
                                <a:pt x="456" y="2241"/>
                              </a:lnTo>
                              <a:lnTo>
                                <a:pt x="465" y="2235"/>
                              </a:lnTo>
                              <a:lnTo>
                                <a:pt x="472" y="2229"/>
                              </a:lnTo>
                              <a:lnTo>
                                <a:pt x="479" y="2221"/>
                              </a:lnTo>
                              <a:lnTo>
                                <a:pt x="486" y="2213"/>
                              </a:lnTo>
                              <a:lnTo>
                                <a:pt x="491" y="2204"/>
                              </a:lnTo>
                              <a:lnTo>
                                <a:pt x="496" y="2194"/>
                              </a:lnTo>
                              <a:lnTo>
                                <a:pt x="500" y="2185"/>
                              </a:lnTo>
                              <a:lnTo>
                                <a:pt x="503" y="2174"/>
                              </a:lnTo>
                              <a:lnTo>
                                <a:pt x="505" y="2163"/>
                              </a:lnTo>
                              <a:lnTo>
                                <a:pt x="508" y="2150"/>
                              </a:lnTo>
                              <a:lnTo>
                                <a:pt x="508" y="2138"/>
                              </a:lnTo>
                              <a:lnTo>
                                <a:pt x="508" y="2138"/>
                              </a:lnTo>
                              <a:lnTo>
                                <a:pt x="508" y="2125"/>
                              </a:lnTo>
                              <a:lnTo>
                                <a:pt x="505" y="2113"/>
                              </a:lnTo>
                              <a:lnTo>
                                <a:pt x="503" y="2102"/>
                              </a:lnTo>
                              <a:lnTo>
                                <a:pt x="500" y="2091"/>
                              </a:lnTo>
                              <a:lnTo>
                                <a:pt x="496" y="2081"/>
                              </a:lnTo>
                              <a:lnTo>
                                <a:pt x="491" y="2071"/>
                              </a:lnTo>
                              <a:lnTo>
                                <a:pt x="486" y="2062"/>
                              </a:lnTo>
                              <a:lnTo>
                                <a:pt x="479" y="2054"/>
                              </a:lnTo>
                              <a:lnTo>
                                <a:pt x="472" y="2047"/>
                              </a:lnTo>
                              <a:lnTo>
                                <a:pt x="465" y="2040"/>
                              </a:lnTo>
                              <a:lnTo>
                                <a:pt x="456" y="2035"/>
                              </a:lnTo>
                              <a:lnTo>
                                <a:pt x="447" y="2030"/>
                              </a:lnTo>
                              <a:lnTo>
                                <a:pt x="438" y="2027"/>
                              </a:lnTo>
                              <a:lnTo>
                                <a:pt x="428" y="2024"/>
                              </a:lnTo>
                              <a:lnTo>
                                <a:pt x="417" y="2022"/>
                              </a:lnTo>
                              <a:lnTo>
                                <a:pt x="406" y="2021"/>
                              </a:lnTo>
                              <a:lnTo>
                                <a:pt x="406" y="2021"/>
                              </a:lnTo>
                              <a:close/>
                              <a:moveTo>
                                <a:pt x="406" y="2202"/>
                              </a:moveTo>
                              <a:lnTo>
                                <a:pt x="406" y="2202"/>
                              </a:lnTo>
                              <a:lnTo>
                                <a:pt x="396" y="2201"/>
                              </a:lnTo>
                              <a:lnTo>
                                <a:pt x="387" y="2198"/>
                              </a:lnTo>
                              <a:lnTo>
                                <a:pt x="381" y="2192"/>
                              </a:lnTo>
                              <a:lnTo>
                                <a:pt x="374" y="2185"/>
                              </a:lnTo>
                              <a:lnTo>
                                <a:pt x="369" y="2176"/>
                              </a:lnTo>
                              <a:lnTo>
                                <a:pt x="364" y="2165"/>
                              </a:lnTo>
                              <a:lnTo>
                                <a:pt x="362" y="2151"/>
                              </a:lnTo>
                              <a:lnTo>
                                <a:pt x="362" y="2138"/>
                              </a:lnTo>
                              <a:lnTo>
                                <a:pt x="362" y="2138"/>
                              </a:lnTo>
                              <a:lnTo>
                                <a:pt x="362" y="2124"/>
                              </a:lnTo>
                              <a:lnTo>
                                <a:pt x="364" y="2111"/>
                              </a:lnTo>
                              <a:lnTo>
                                <a:pt x="369" y="2101"/>
                              </a:lnTo>
                              <a:lnTo>
                                <a:pt x="374" y="2091"/>
                              </a:lnTo>
                              <a:lnTo>
                                <a:pt x="381" y="2083"/>
                              </a:lnTo>
                              <a:lnTo>
                                <a:pt x="387" y="2078"/>
                              </a:lnTo>
                              <a:lnTo>
                                <a:pt x="396" y="2074"/>
                              </a:lnTo>
                              <a:lnTo>
                                <a:pt x="406" y="2073"/>
                              </a:lnTo>
                              <a:lnTo>
                                <a:pt x="406" y="2073"/>
                              </a:lnTo>
                              <a:lnTo>
                                <a:pt x="416" y="2074"/>
                              </a:lnTo>
                              <a:lnTo>
                                <a:pt x="425" y="2078"/>
                              </a:lnTo>
                              <a:lnTo>
                                <a:pt x="433" y="2083"/>
                              </a:lnTo>
                              <a:lnTo>
                                <a:pt x="439" y="2091"/>
                              </a:lnTo>
                              <a:lnTo>
                                <a:pt x="445" y="2101"/>
                              </a:lnTo>
                              <a:lnTo>
                                <a:pt x="448" y="2111"/>
                              </a:lnTo>
                              <a:lnTo>
                                <a:pt x="450" y="2124"/>
                              </a:lnTo>
                              <a:lnTo>
                                <a:pt x="451" y="2138"/>
                              </a:lnTo>
                              <a:lnTo>
                                <a:pt x="451" y="2138"/>
                              </a:lnTo>
                              <a:lnTo>
                                <a:pt x="450" y="2151"/>
                              </a:lnTo>
                              <a:lnTo>
                                <a:pt x="448" y="2165"/>
                              </a:lnTo>
                              <a:lnTo>
                                <a:pt x="445" y="2176"/>
                              </a:lnTo>
                              <a:lnTo>
                                <a:pt x="439" y="2185"/>
                              </a:lnTo>
                              <a:lnTo>
                                <a:pt x="433" y="2192"/>
                              </a:lnTo>
                              <a:lnTo>
                                <a:pt x="425" y="2198"/>
                              </a:lnTo>
                              <a:lnTo>
                                <a:pt x="416" y="2201"/>
                              </a:lnTo>
                              <a:lnTo>
                                <a:pt x="406" y="2202"/>
                              </a:lnTo>
                              <a:lnTo>
                                <a:pt x="406" y="2202"/>
                              </a:lnTo>
                              <a:close/>
                              <a:moveTo>
                                <a:pt x="2269" y="2089"/>
                              </a:moveTo>
                              <a:lnTo>
                                <a:pt x="2269" y="2089"/>
                              </a:lnTo>
                              <a:lnTo>
                                <a:pt x="2260" y="2084"/>
                              </a:lnTo>
                              <a:lnTo>
                                <a:pt x="2251" y="2080"/>
                              </a:lnTo>
                              <a:lnTo>
                                <a:pt x="2242" y="2078"/>
                              </a:lnTo>
                              <a:lnTo>
                                <a:pt x="2233" y="2076"/>
                              </a:lnTo>
                              <a:lnTo>
                                <a:pt x="2233" y="2076"/>
                              </a:lnTo>
                              <a:lnTo>
                                <a:pt x="2223" y="2078"/>
                              </a:lnTo>
                              <a:lnTo>
                                <a:pt x="2215" y="2080"/>
                              </a:lnTo>
                              <a:lnTo>
                                <a:pt x="2208" y="2084"/>
                              </a:lnTo>
                              <a:lnTo>
                                <a:pt x="2203" y="2090"/>
                              </a:lnTo>
                              <a:lnTo>
                                <a:pt x="2198" y="2096"/>
                              </a:lnTo>
                              <a:lnTo>
                                <a:pt x="2195" y="2105"/>
                              </a:lnTo>
                              <a:lnTo>
                                <a:pt x="2193" y="2116"/>
                              </a:lnTo>
                              <a:lnTo>
                                <a:pt x="2193" y="2128"/>
                              </a:lnTo>
                              <a:lnTo>
                                <a:pt x="2193" y="2249"/>
                              </a:lnTo>
                              <a:lnTo>
                                <a:pt x="2138" y="2249"/>
                              </a:lnTo>
                              <a:lnTo>
                                <a:pt x="2138" y="2027"/>
                              </a:lnTo>
                              <a:lnTo>
                                <a:pt x="2193" y="2027"/>
                              </a:lnTo>
                              <a:lnTo>
                                <a:pt x="2193" y="2046"/>
                              </a:lnTo>
                              <a:lnTo>
                                <a:pt x="2193" y="2046"/>
                              </a:lnTo>
                              <a:lnTo>
                                <a:pt x="2197" y="2040"/>
                              </a:lnTo>
                              <a:lnTo>
                                <a:pt x="2203" y="2035"/>
                              </a:lnTo>
                              <a:lnTo>
                                <a:pt x="2208" y="2031"/>
                              </a:lnTo>
                              <a:lnTo>
                                <a:pt x="2215" y="2028"/>
                              </a:lnTo>
                              <a:lnTo>
                                <a:pt x="2222" y="2025"/>
                              </a:lnTo>
                              <a:lnTo>
                                <a:pt x="2228" y="2024"/>
                              </a:lnTo>
                              <a:lnTo>
                                <a:pt x="2235" y="2022"/>
                              </a:lnTo>
                              <a:lnTo>
                                <a:pt x="2242" y="2021"/>
                              </a:lnTo>
                              <a:lnTo>
                                <a:pt x="2242" y="2021"/>
                              </a:lnTo>
                              <a:lnTo>
                                <a:pt x="2253" y="2022"/>
                              </a:lnTo>
                              <a:lnTo>
                                <a:pt x="2264" y="2026"/>
                              </a:lnTo>
                              <a:lnTo>
                                <a:pt x="2275" y="2030"/>
                              </a:lnTo>
                              <a:lnTo>
                                <a:pt x="2283" y="2036"/>
                              </a:lnTo>
                              <a:lnTo>
                                <a:pt x="2269" y="2089"/>
                              </a:lnTo>
                              <a:close/>
                              <a:moveTo>
                                <a:pt x="1836" y="2027"/>
                              </a:moveTo>
                              <a:lnTo>
                                <a:pt x="1891" y="2027"/>
                              </a:lnTo>
                              <a:lnTo>
                                <a:pt x="1828" y="2249"/>
                              </a:lnTo>
                              <a:lnTo>
                                <a:pt x="1780" y="2249"/>
                              </a:lnTo>
                              <a:lnTo>
                                <a:pt x="1756" y="2157"/>
                              </a:lnTo>
                              <a:lnTo>
                                <a:pt x="1756" y="2157"/>
                              </a:lnTo>
                              <a:lnTo>
                                <a:pt x="1744" y="2108"/>
                              </a:lnTo>
                              <a:lnTo>
                                <a:pt x="1744" y="2108"/>
                              </a:lnTo>
                              <a:lnTo>
                                <a:pt x="1738" y="2132"/>
                              </a:lnTo>
                              <a:lnTo>
                                <a:pt x="1732" y="2158"/>
                              </a:lnTo>
                              <a:lnTo>
                                <a:pt x="1707" y="2249"/>
                              </a:lnTo>
                              <a:lnTo>
                                <a:pt x="1660" y="2249"/>
                              </a:lnTo>
                              <a:lnTo>
                                <a:pt x="1659" y="2247"/>
                              </a:lnTo>
                              <a:lnTo>
                                <a:pt x="1597" y="2027"/>
                              </a:lnTo>
                              <a:lnTo>
                                <a:pt x="1653" y="2027"/>
                              </a:lnTo>
                              <a:lnTo>
                                <a:pt x="1674" y="2110"/>
                              </a:lnTo>
                              <a:lnTo>
                                <a:pt x="1674" y="2110"/>
                              </a:lnTo>
                              <a:lnTo>
                                <a:pt x="1680" y="2136"/>
                              </a:lnTo>
                              <a:lnTo>
                                <a:pt x="1685" y="2164"/>
                              </a:lnTo>
                              <a:lnTo>
                                <a:pt x="1685" y="2164"/>
                              </a:lnTo>
                              <a:lnTo>
                                <a:pt x="1691" y="2136"/>
                              </a:lnTo>
                              <a:lnTo>
                                <a:pt x="1699" y="2108"/>
                              </a:lnTo>
                              <a:lnTo>
                                <a:pt x="1722" y="2027"/>
                              </a:lnTo>
                              <a:lnTo>
                                <a:pt x="1768" y="2027"/>
                              </a:lnTo>
                              <a:lnTo>
                                <a:pt x="1791" y="2108"/>
                              </a:lnTo>
                              <a:lnTo>
                                <a:pt x="1791" y="2108"/>
                              </a:lnTo>
                              <a:lnTo>
                                <a:pt x="1798" y="2135"/>
                              </a:lnTo>
                              <a:lnTo>
                                <a:pt x="1804" y="2165"/>
                              </a:lnTo>
                              <a:lnTo>
                                <a:pt x="1804" y="2165"/>
                              </a:lnTo>
                              <a:lnTo>
                                <a:pt x="1810" y="2139"/>
                              </a:lnTo>
                              <a:lnTo>
                                <a:pt x="1817" y="2108"/>
                              </a:lnTo>
                              <a:lnTo>
                                <a:pt x="1836" y="2027"/>
                              </a:lnTo>
                              <a:close/>
                              <a:moveTo>
                                <a:pt x="2002" y="2021"/>
                              </a:moveTo>
                              <a:lnTo>
                                <a:pt x="2002" y="2021"/>
                              </a:lnTo>
                              <a:lnTo>
                                <a:pt x="1992" y="2022"/>
                              </a:lnTo>
                              <a:lnTo>
                                <a:pt x="1981" y="2024"/>
                              </a:lnTo>
                              <a:lnTo>
                                <a:pt x="1971" y="2027"/>
                              </a:lnTo>
                              <a:lnTo>
                                <a:pt x="1962" y="2030"/>
                              </a:lnTo>
                              <a:lnTo>
                                <a:pt x="1953" y="2035"/>
                              </a:lnTo>
                              <a:lnTo>
                                <a:pt x="1945" y="2041"/>
                              </a:lnTo>
                              <a:lnTo>
                                <a:pt x="1937" y="2047"/>
                              </a:lnTo>
                              <a:lnTo>
                                <a:pt x="1930" y="2054"/>
                              </a:lnTo>
                              <a:lnTo>
                                <a:pt x="1924" y="2062"/>
                              </a:lnTo>
                              <a:lnTo>
                                <a:pt x="1918" y="2071"/>
                              </a:lnTo>
                              <a:lnTo>
                                <a:pt x="1913" y="2081"/>
                              </a:lnTo>
                              <a:lnTo>
                                <a:pt x="1909" y="2091"/>
                              </a:lnTo>
                              <a:lnTo>
                                <a:pt x="1906" y="2102"/>
                              </a:lnTo>
                              <a:lnTo>
                                <a:pt x="1903" y="2114"/>
                              </a:lnTo>
                              <a:lnTo>
                                <a:pt x="1902" y="2125"/>
                              </a:lnTo>
                              <a:lnTo>
                                <a:pt x="1902" y="2138"/>
                              </a:lnTo>
                              <a:lnTo>
                                <a:pt x="1902" y="2138"/>
                              </a:lnTo>
                              <a:lnTo>
                                <a:pt x="1902" y="2150"/>
                              </a:lnTo>
                              <a:lnTo>
                                <a:pt x="1903" y="2163"/>
                              </a:lnTo>
                              <a:lnTo>
                                <a:pt x="1906" y="2174"/>
                              </a:lnTo>
                              <a:lnTo>
                                <a:pt x="1909" y="2185"/>
                              </a:lnTo>
                              <a:lnTo>
                                <a:pt x="1913" y="2194"/>
                              </a:lnTo>
                              <a:lnTo>
                                <a:pt x="1918" y="2204"/>
                              </a:lnTo>
                              <a:lnTo>
                                <a:pt x="1924" y="2213"/>
                              </a:lnTo>
                              <a:lnTo>
                                <a:pt x="1930" y="2221"/>
                              </a:lnTo>
                              <a:lnTo>
                                <a:pt x="1937" y="2229"/>
                              </a:lnTo>
                              <a:lnTo>
                                <a:pt x="1945" y="2235"/>
                              </a:lnTo>
                              <a:lnTo>
                                <a:pt x="1953" y="2241"/>
                              </a:lnTo>
                              <a:lnTo>
                                <a:pt x="1962" y="2245"/>
                              </a:lnTo>
                              <a:lnTo>
                                <a:pt x="1971" y="2249"/>
                              </a:lnTo>
                              <a:lnTo>
                                <a:pt x="1981" y="2252"/>
                              </a:lnTo>
                              <a:lnTo>
                                <a:pt x="1992" y="2253"/>
                              </a:lnTo>
                              <a:lnTo>
                                <a:pt x="2002" y="2254"/>
                              </a:lnTo>
                              <a:lnTo>
                                <a:pt x="2002" y="2254"/>
                              </a:lnTo>
                              <a:lnTo>
                                <a:pt x="2013" y="2253"/>
                              </a:lnTo>
                              <a:lnTo>
                                <a:pt x="2024" y="2252"/>
                              </a:lnTo>
                              <a:lnTo>
                                <a:pt x="2034" y="2249"/>
                              </a:lnTo>
                              <a:lnTo>
                                <a:pt x="2043" y="2245"/>
                              </a:lnTo>
                              <a:lnTo>
                                <a:pt x="2052" y="2241"/>
                              </a:lnTo>
                              <a:lnTo>
                                <a:pt x="2061" y="2235"/>
                              </a:lnTo>
                              <a:lnTo>
                                <a:pt x="2068" y="2229"/>
                              </a:lnTo>
                              <a:lnTo>
                                <a:pt x="2075" y="2221"/>
                              </a:lnTo>
                              <a:lnTo>
                                <a:pt x="2081" y="2213"/>
                              </a:lnTo>
                              <a:lnTo>
                                <a:pt x="2087" y="2204"/>
                              </a:lnTo>
                              <a:lnTo>
                                <a:pt x="2091" y="2194"/>
                              </a:lnTo>
                              <a:lnTo>
                                <a:pt x="2096" y="2185"/>
                              </a:lnTo>
                              <a:lnTo>
                                <a:pt x="2099" y="2174"/>
                              </a:lnTo>
                              <a:lnTo>
                                <a:pt x="2101" y="2163"/>
                              </a:lnTo>
                              <a:lnTo>
                                <a:pt x="2104" y="2150"/>
                              </a:lnTo>
                              <a:lnTo>
                                <a:pt x="2104" y="2138"/>
                              </a:lnTo>
                              <a:lnTo>
                                <a:pt x="2104" y="2138"/>
                              </a:lnTo>
                              <a:lnTo>
                                <a:pt x="2104" y="2125"/>
                              </a:lnTo>
                              <a:lnTo>
                                <a:pt x="2101" y="2114"/>
                              </a:lnTo>
                              <a:lnTo>
                                <a:pt x="2099" y="2102"/>
                              </a:lnTo>
                              <a:lnTo>
                                <a:pt x="2096" y="2091"/>
                              </a:lnTo>
                              <a:lnTo>
                                <a:pt x="2091" y="2081"/>
                              </a:lnTo>
                              <a:lnTo>
                                <a:pt x="2087" y="2071"/>
                              </a:lnTo>
                              <a:lnTo>
                                <a:pt x="2081" y="2062"/>
                              </a:lnTo>
                              <a:lnTo>
                                <a:pt x="2075" y="2054"/>
                              </a:lnTo>
                              <a:lnTo>
                                <a:pt x="2068" y="2047"/>
                              </a:lnTo>
                              <a:lnTo>
                                <a:pt x="2061" y="2041"/>
                              </a:lnTo>
                              <a:lnTo>
                                <a:pt x="2052" y="2035"/>
                              </a:lnTo>
                              <a:lnTo>
                                <a:pt x="2043" y="2030"/>
                              </a:lnTo>
                              <a:lnTo>
                                <a:pt x="2034" y="2027"/>
                              </a:lnTo>
                              <a:lnTo>
                                <a:pt x="2024" y="2024"/>
                              </a:lnTo>
                              <a:lnTo>
                                <a:pt x="2013" y="2022"/>
                              </a:lnTo>
                              <a:lnTo>
                                <a:pt x="2002" y="2021"/>
                              </a:lnTo>
                              <a:lnTo>
                                <a:pt x="2002" y="2021"/>
                              </a:lnTo>
                              <a:close/>
                              <a:moveTo>
                                <a:pt x="2002" y="2202"/>
                              </a:moveTo>
                              <a:lnTo>
                                <a:pt x="2002" y="2202"/>
                              </a:lnTo>
                              <a:lnTo>
                                <a:pt x="1992" y="2201"/>
                              </a:lnTo>
                              <a:lnTo>
                                <a:pt x="1984" y="2198"/>
                              </a:lnTo>
                              <a:lnTo>
                                <a:pt x="1977" y="2192"/>
                              </a:lnTo>
                              <a:lnTo>
                                <a:pt x="1970" y="2185"/>
                              </a:lnTo>
                              <a:lnTo>
                                <a:pt x="1964" y="2176"/>
                              </a:lnTo>
                              <a:lnTo>
                                <a:pt x="1960" y="2165"/>
                              </a:lnTo>
                              <a:lnTo>
                                <a:pt x="1958" y="2151"/>
                              </a:lnTo>
                              <a:lnTo>
                                <a:pt x="1958" y="2138"/>
                              </a:lnTo>
                              <a:lnTo>
                                <a:pt x="1958" y="2138"/>
                              </a:lnTo>
                              <a:lnTo>
                                <a:pt x="1958" y="2124"/>
                              </a:lnTo>
                              <a:lnTo>
                                <a:pt x="1960" y="2112"/>
                              </a:lnTo>
                              <a:lnTo>
                                <a:pt x="1964" y="2101"/>
                              </a:lnTo>
                              <a:lnTo>
                                <a:pt x="1970" y="2091"/>
                              </a:lnTo>
                              <a:lnTo>
                                <a:pt x="1977" y="2083"/>
                              </a:lnTo>
                              <a:lnTo>
                                <a:pt x="1984" y="2078"/>
                              </a:lnTo>
                              <a:lnTo>
                                <a:pt x="1992" y="2074"/>
                              </a:lnTo>
                              <a:lnTo>
                                <a:pt x="2002" y="2073"/>
                              </a:lnTo>
                              <a:lnTo>
                                <a:pt x="2002" y="2073"/>
                              </a:lnTo>
                              <a:lnTo>
                                <a:pt x="2012" y="2074"/>
                              </a:lnTo>
                              <a:lnTo>
                                <a:pt x="2021" y="2078"/>
                              </a:lnTo>
                              <a:lnTo>
                                <a:pt x="2029" y="2083"/>
                              </a:lnTo>
                              <a:lnTo>
                                <a:pt x="2035" y="2091"/>
                              </a:lnTo>
                              <a:lnTo>
                                <a:pt x="2041" y="2101"/>
                              </a:lnTo>
                              <a:lnTo>
                                <a:pt x="2044" y="2112"/>
                              </a:lnTo>
                              <a:lnTo>
                                <a:pt x="2046" y="2124"/>
                              </a:lnTo>
                              <a:lnTo>
                                <a:pt x="2047" y="2138"/>
                              </a:lnTo>
                              <a:lnTo>
                                <a:pt x="2047" y="2138"/>
                              </a:lnTo>
                              <a:lnTo>
                                <a:pt x="2046" y="2151"/>
                              </a:lnTo>
                              <a:lnTo>
                                <a:pt x="2044" y="2165"/>
                              </a:lnTo>
                              <a:lnTo>
                                <a:pt x="2041" y="2176"/>
                              </a:lnTo>
                              <a:lnTo>
                                <a:pt x="2035" y="2185"/>
                              </a:lnTo>
                              <a:lnTo>
                                <a:pt x="2029" y="2192"/>
                              </a:lnTo>
                              <a:lnTo>
                                <a:pt x="2021" y="2198"/>
                              </a:lnTo>
                              <a:lnTo>
                                <a:pt x="2012" y="2201"/>
                              </a:lnTo>
                              <a:lnTo>
                                <a:pt x="2002" y="2202"/>
                              </a:lnTo>
                              <a:lnTo>
                                <a:pt x="2002" y="2202"/>
                              </a:lnTo>
                              <a:close/>
                              <a:moveTo>
                                <a:pt x="837" y="2100"/>
                              </a:moveTo>
                              <a:lnTo>
                                <a:pt x="904" y="2249"/>
                              </a:lnTo>
                              <a:lnTo>
                                <a:pt x="843" y="2249"/>
                              </a:lnTo>
                              <a:lnTo>
                                <a:pt x="797" y="2146"/>
                              </a:lnTo>
                              <a:lnTo>
                                <a:pt x="767" y="2182"/>
                              </a:lnTo>
                              <a:lnTo>
                                <a:pt x="767" y="2249"/>
                              </a:lnTo>
                              <a:lnTo>
                                <a:pt x="713" y="2249"/>
                              </a:lnTo>
                              <a:lnTo>
                                <a:pt x="713" y="1962"/>
                              </a:lnTo>
                              <a:lnTo>
                                <a:pt x="767" y="1934"/>
                              </a:lnTo>
                              <a:lnTo>
                                <a:pt x="767" y="2112"/>
                              </a:lnTo>
                              <a:lnTo>
                                <a:pt x="767" y="2112"/>
                              </a:lnTo>
                              <a:lnTo>
                                <a:pt x="788" y="2083"/>
                              </a:lnTo>
                              <a:lnTo>
                                <a:pt x="832" y="2027"/>
                              </a:lnTo>
                              <a:lnTo>
                                <a:pt x="896" y="2027"/>
                              </a:lnTo>
                              <a:lnTo>
                                <a:pt x="837" y="2100"/>
                              </a:lnTo>
                              <a:close/>
                              <a:moveTo>
                                <a:pt x="1097" y="2249"/>
                              </a:moveTo>
                              <a:lnTo>
                                <a:pt x="1042" y="2249"/>
                              </a:lnTo>
                              <a:lnTo>
                                <a:pt x="1042" y="2027"/>
                              </a:lnTo>
                              <a:lnTo>
                                <a:pt x="1097" y="2027"/>
                              </a:lnTo>
                              <a:lnTo>
                                <a:pt x="1097" y="2046"/>
                              </a:lnTo>
                              <a:lnTo>
                                <a:pt x="1097" y="2046"/>
                              </a:lnTo>
                              <a:lnTo>
                                <a:pt x="1103" y="2040"/>
                              </a:lnTo>
                              <a:lnTo>
                                <a:pt x="1108" y="2036"/>
                              </a:lnTo>
                              <a:lnTo>
                                <a:pt x="1115" y="2031"/>
                              </a:lnTo>
                              <a:lnTo>
                                <a:pt x="1121" y="2028"/>
                              </a:lnTo>
                              <a:lnTo>
                                <a:pt x="1129" y="2026"/>
                              </a:lnTo>
                              <a:lnTo>
                                <a:pt x="1137" y="2024"/>
                              </a:lnTo>
                              <a:lnTo>
                                <a:pt x="1144" y="2022"/>
                              </a:lnTo>
                              <a:lnTo>
                                <a:pt x="1153" y="2021"/>
                              </a:lnTo>
                              <a:lnTo>
                                <a:pt x="1153" y="2021"/>
                              </a:lnTo>
                              <a:lnTo>
                                <a:pt x="1163" y="2022"/>
                              </a:lnTo>
                              <a:lnTo>
                                <a:pt x="1172" y="2024"/>
                              </a:lnTo>
                              <a:lnTo>
                                <a:pt x="1180" y="2026"/>
                              </a:lnTo>
                              <a:lnTo>
                                <a:pt x="1189" y="2028"/>
                              </a:lnTo>
                              <a:lnTo>
                                <a:pt x="1195" y="2032"/>
                              </a:lnTo>
                              <a:lnTo>
                                <a:pt x="1202" y="2037"/>
                              </a:lnTo>
                              <a:lnTo>
                                <a:pt x="1208" y="2041"/>
                              </a:lnTo>
                              <a:lnTo>
                                <a:pt x="1214" y="2048"/>
                              </a:lnTo>
                              <a:lnTo>
                                <a:pt x="1218" y="2054"/>
                              </a:lnTo>
                              <a:lnTo>
                                <a:pt x="1223" y="2062"/>
                              </a:lnTo>
                              <a:lnTo>
                                <a:pt x="1226" y="2070"/>
                              </a:lnTo>
                              <a:lnTo>
                                <a:pt x="1229" y="2080"/>
                              </a:lnTo>
                              <a:lnTo>
                                <a:pt x="1232" y="2090"/>
                              </a:lnTo>
                              <a:lnTo>
                                <a:pt x="1233" y="2100"/>
                              </a:lnTo>
                              <a:lnTo>
                                <a:pt x="1234" y="2111"/>
                              </a:lnTo>
                              <a:lnTo>
                                <a:pt x="1235" y="2123"/>
                              </a:lnTo>
                              <a:lnTo>
                                <a:pt x="1235" y="2249"/>
                              </a:lnTo>
                              <a:lnTo>
                                <a:pt x="1180" y="2249"/>
                              </a:lnTo>
                              <a:lnTo>
                                <a:pt x="1180" y="2126"/>
                              </a:lnTo>
                              <a:lnTo>
                                <a:pt x="1180" y="2126"/>
                              </a:lnTo>
                              <a:lnTo>
                                <a:pt x="1179" y="2114"/>
                              </a:lnTo>
                              <a:lnTo>
                                <a:pt x="1178" y="2102"/>
                              </a:lnTo>
                              <a:lnTo>
                                <a:pt x="1174" y="2093"/>
                              </a:lnTo>
                              <a:lnTo>
                                <a:pt x="1170" y="2085"/>
                              </a:lnTo>
                              <a:lnTo>
                                <a:pt x="1164" y="2080"/>
                              </a:lnTo>
                              <a:lnTo>
                                <a:pt x="1158" y="2075"/>
                              </a:lnTo>
                              <a:lnTo>
                                <a:pt x="1149" y="2073"/>
                              </a:lnTo>
                              <a:lnTo>
                                <a:pt x="1139" y="2072"/>
                              </a:lnTo>
                              <a:lnTo>
                                <a:pt x="1139" y="2072"/>
                              </a:lnTo>
                              <a:lnTo>
                                <a:pt x="1130" y="2073"/>
                              </a:lnTo>
                              <a:lnTo>
                                <a:pt x="1121" y="2075"/>
                              </a:lnTo>
                              <a:lnTo>
                                <a:pt x="1114" y="2080"/>
                              </a:lnTo>
                              <a:lnTo>
                                <a:pt x="1108" y="2086"/>
                              </a:lnTo>
                              <a:lnTo>
                                <a:pt x="1104" y="2093"/>
                              </a:lnTo>
                              <a:lnTo>
                                <a:pt x="1100" y="2103"/>
                              </a:lnTo>
                              <a:lnTo>
                                <a:pt x="1098" y="2114"/>
                              </a:lnTo>
                              <a:lnTo>
                                <a:pt x="1097" y="2126"/>
                              </a:lnTo>
                              <a:lnTo>
                                <a:pt x="1097" y="2249"/>
                              </a:lnTo>
                              <a:close/>
                              <a:moveTo>
                                <a:pt x="1408" y="2042"/>
                              </a:moveTo>
                              <a:lnTo>
                                <a:pt x="1408" y="2042"/>
                              </a:lnTo>
                              <a:lnTo>
                                <a:pt x="1403" y="2038"/>
                              </a:lnTo>
                              <a:lnTo>
                                <a:pt x="1397" y="2033"/>
                              </a:lnTo>
                              <a:lnTo>
                                <a:pt x="1392" y="2030"/>
                              </a:lnTo>
                              <a:lnTo>
                                <a:pt x="1385" y="2027"/>
                              </a:lnTo>
                              <a:lnTo>
                                <a:pt x="1378" y="2025"/>
                              </a:lnTo>
                              <a:lnTo>
                                <a:pt x="1372" y="2024"/>
                              </a:lnTo>
                              <a:lnTo>
                                <a:pt x="1365" y="2022"/>
                              </a:lnTo>
                              <a:lnTo>
                                <a:pt x="1359" y="2021"/>
                              </a:lnTo>
                              <a:lnTo>
                                <a:pt x="1359" y="2021"/>
                              </a:lnTo>
                              <a:lnTo>
                                <a:pt x="1349" y="2022"/>
                              </a:lnTo>
                              <a:lnTo>
                                <a:pt x="1340" y="2024"/>
                              </a:lnTo>
                              <a:lnTo>
                                <a:pt x="1331" y="2026"/>
                              </a:lnTo>
                              <a:lnTo>
                                <a:pt x="1322" y="2030"/>
                              </a:lnTo>
                              <a:lnTo>
                                <a:pt x="1314" y="2033"/>
                              </a:lnTo>
                              <a:lnTo>
                                <a:pt x="1308" y="2039"/>
                              </a:lnTo>
                              <a:lnTo>
                                <a:pt x="1301" y="2046"/>
                              </a:lnTo>
                              <a:lnTo>
                                <a:pt x="1295" y="2052"/>
                              </a:lnTo>
                              <a:lnTo>
                                <a:pt x="1289" y="2060"/>
                              </a:lnTo>
                              <a:lnTo>
                                <a:pt x="1285" y="2069"/>
                              </a:lnTo>
                              <a:lnTo>
                                <a:pt x="1280" y="2078"/>
                              </a:lnTo>
                              <a:lnTo>
                                <a:pt x="1277" y="2089"/>
                              </a:lnTo>
                              <a:lnTo>
                                <a:pt x="1275" y="2099"/>
                              </a:lnTo>
                              <a:lnTo>
                                <a:pt x="1273" y="2111"/>
                              </a:lnTo>
                              <a:lnTo>
                                <a:pt x="1271" y="2123"/>
                              </a:lnTo>
                              <a:lnTo>
                                <a:pt x="1271" y="2135"/>
                              </a:lnTo>
                              <a:lnTo>
                                <a:pt x="1271" y="2135"/>
                              </a:lnTo>
                              <a:lnTo>
                                <a:pt x="1271" y="2149"/>
                              </a:lnTo>
                              <a:lnTo>
                                <a:pt x="1273" y="2161"/>
                              </a:lnTo>
                              <a:lnTo>
                                <a:pt x="1275" y="2174"/>
                              </a:lnTo>
                              <a:lnTo>
                                <a:pt x="1277" y="2186"/>
                              </a:lnTo>
                              <a:lnTo>
                                <a:pt x="1280" y="2196"/>
                              </a:lnTo>
                              <a:lnTo>
                                <a:pt x="1285" y="2206"/>
                              </a:lnTo>
                              <a:lnTo>
                                <a:pt x="1289" y="2214"/>
                              </a:lnTo>
                              <a:lnTo>
                                <a:pt x="1295" y="2222"/>
                              </a:lnTo>
                              <a:lnTo>
                                <a:pt x="1300" y="2230"/>
                              </a:lnTo>
                              <a:lnTo>
                                <a:pt x="1307" y="2235"/>
                              </a:lnTo>
                              <a:lnTo>
                                <a:pt x="1313" y="2241"/>
                              </a:lnTo>
                              <a:lnTo>
                                <a:pt x="1321" y="2245"/>
                              </a:lnTo>
                              <a:lnTo>
                                <a:pt x="1330" y="2249"/>
                              </a:lnTo>
                              <a:lnTo>
                                <a:pt x="1339" y="2252"/>
                              </a:lnTo>
                              <a:lnTo>
                                <a:pt x="1348" y="2253"/>
                              </a:lnTo>
                              <a:lnTo>
                                <a:pt x="1357" y="2254"/>
                              </a:lnTo>
                              <a:lnTo>
                                <a:pt x="1357" y="2254"/>
                              </a:lnTo>
                              <a:lnTo>
                                <a:pt x="1364" y="2253"/>
                              </a:lnTo>
                              <a:lnTo>
                                <a:pt x="1372" y="2252"/>
                              </a:lnTo>
                              <a:lnTo>
                                <a:pt x="1378" y="2251"/>
                              </a:lnTo>
                              <a:lnTo>
                                <a:pt x="1385" y="2249"/>
                              </a:lnTo>
                              <a:lnTo>
                                <a:pt x="1391" y="2245"/>
                              </a:lnTo>
                              <a:lnTo>
                                <a:pt x="1397" y="2242"/>
                              </a:lnTo>
                              <a:lnTo>
                                <a:pt x="1403" y="2238"/>
                              </a:lnTo>
                              <a:lnTo>
                                <a:pt x="1408" y="2232"/>
                              </a:lnTo>
                              <a:lnTo>
                                <a:pt x="1408" y="2238"/>
                              </a:lnTo>
                              <a:lnTo>
                                <a:pt x="1408" y="2238"/>
                              </a:lnTo>
                              <a:lnTo>
                                <a:pt x="1408" y="2246"/>
                              </a:lnTo>
                              <a:lnTo>
                                <a:pt x="1407" y="2256"/>
                              </a:lnTo>
                              <a:lnTo>
                                <a:pt x="1404" y="2266"/>
                              </a:lnTo>
                              <a:lnTo>
                                <a:pt x="1402" y="2271"/>
                              </a:lnTo>
                              <a:lnTo>
                                <a:pt x="1399" y="2275"/>
                              </a:lnTo>
                              <a:lnTo>
                                <a:pt x="1395" y="2279"/>
                              </a:lnTo>
                              <a:lnTo>
                                <a:pt x="1391" y="2284"/>
                              </a:lnTo>
                              <a:lnTo>
                                <a:pt x="1385" y="2287"/>
                              </a:lnTo>
                              <a:lnTo>
                                <a:pt x="1378" y="2290"/>
                              </a:lnTo>
                              <a:lnTo>
                                <a:pt x="1370" y="2293"/>
                              </a:lnTo>
                              <a:lnTo>
                                <a:pt x="1361" y="2295"/>
                              </a:lnTo>
                              <a:lnTo>
                                <a:pt x="1350" y="2296"/>
                              </a:lnTo>
                              <a:lnTo>
                                <a:pt x="1337" y="2296"/>
                              </a:lnTo>
                              <a:lnTo>
                                <a:pt x="1334" y="2296"/>
                              </a:lnTo>
                              <a:lnTo>
                                <a:pt x="1354" y="2339"/>
                              </a:lnTo>
                              <a:lnTo>
                                <a:pt x="1355" y="2339"/>
                              </a:lnTo>
                              <a:lnTo>
                                <a:pt x="1355" y="2339"/>
                              </a:lnTo>
                              <a:lnTo>
                                <a:pt x="1369" y="2339"/>
                              </a:lnTo>
                              <a:lnTo>
                                <a:pt x="1381" y="2338"/>
                              </a:lnTo>
                              <a:lnTo>
                                <a:pt x="1392" y="2335"/>
                              </a:lnTo>
                              <a:lnTo>
                                <a:pt x="1403" y="2332"/>
                              </a:lnTo>
                              <a:lnTo>
                                <a:pt x="1413" y="2328"/>
                              </a:lnTo>
                              <a:lnTo>
                                <a:pt x="1421" y="2324"/>
                              </a:lnTo>
                              <a:lnTo>
                                <a:pt x="1429" y="2318"/>
                              </a:lnTo>
                              <a:lnTo>
                                <a:pt x="1436" y="2311"/>
                              </a:lnTo>
                              <a:lnTo>
                                <a:pt x="1442" y="2304"/>
                              </a:lnTo>
                              <a:lnTo>
                                <a:pt x="1448" y="2296"/>
                              </a:lnTo>
                              <a:lnTo>
                                <a:pt x="1452" y="2286"/>
                              </a:lnTo>
                              <a:lnTo>
                                <a:pt x="1456" y="2276"/>
                              </a:lnTo>
                              <a:lnTo>
                                <a:pt x="1459" y="2266"/>
                              </a:lnTo>
                              <a:lnTo>
                                <a:pt x="1461" y="2254"/>
                              </a:lnTo>
                              <a:lnTo>
                                <a:pt x="1462" y="2242"/>
                              </a:lnTo>
                              <a:lnTo>
                                <a:pt x="1462" y="2229"/>
                              </a:lnTo>
                              <a:lnTo>
                                <a:pt x="1462" y="2027"/>
                              </a:lnTo>
                              <a:lnTo>
                                <a:pt x="1408" y="2027"/>
                              </a:lnTo>
                              <a:lnTo>
                                <a:pt x="1408" y="2042"/>
                              </a:lnTo>
                              <a:close/>
                              <a:moveTo>
                                <a:pt x="1408" y="2094"/>
                              </a:moveTo>
                              <a:lnTo>
                                <a:pt x="1408" y="2181"/>
                              </a:lnTo>
                              <a:lnTo>
                                <a:pt x="1408" y="2181"/>
                              </a:lnTo>
                              <a:lnTo>
                                <a:pt x="1401" y="2189"/>
                              </a:lnTo>
                              <a:lnTo>
                                <a:pt x="1393" y="2197"/>
                              </a:lnTo>
                              <a:lnTo>
                                <a:pt x="1387" y="2199"/>
                              </a:lnTo>
                              <a:lnTo>
                                <a:pt x="1382" y="2201"/>
                              </a:lnTo>
                              <a:lnTo>
                                <a:pt x="1376" y="2202"/>
                              </a:lnTo>
                              <a:lnTo>
                                <a:pt x="1369" y="2203"/>
                              </a:lnTo>
                              <a:lnTo>
                                <a:pt x="1369" y="2203"/>
                              </a:lnTo>
                              <a:lnTo>
                                <a:pt x="1362" y="2202"/>
                              </a:lnTo>
                              <a:lnTo>
                                <a:pt x="1354" y="2200"/>
                              </a:lnTo>
                              <a:lnTo>
                                <a:pt x="1348" y="2197"/>
                              </a:lnTo>
                              <a:lnTo>
                                <a:pt x="1341" y="2190"/>
                              </a:lnTo>
                              <a:lnTo>
                                <a:pt x="1335" y="2181"/>
                              </a:lnTo>
                              <a:lnTo>
                                <a:pt x="1331" y="2169"/>
                              </a:lnTo>
                              <a:lnTo>
                                <a:pt x="1329" y="2154"/>
                              </a:lnTo>
                              <a:lnTo>
                                <a:pt x="1328" y="2134"/>
                              </a:lnTo>
                              <a:lnTo>
                                <a:pt x="1328" y="2134"/>
                              </a:lnTo>
                              <a:lnTo>
                                <a:pt x="1329" y="2117"/>
                              </a:lnTo>
                              <a:lnTo>
                                <a:pt x="1331" y="2103"/>
                              </a:lnTo>
                              <a:lnTo>
                                <a:pt x="1335" y="2092"/>
                              </a:lnTo>
                              <a:lnTo>
                                <a:pt x="1341" y="2084"/>
                              </a:lnTo>
                              <a:lnTo>
                                <a:pt x="1348" y="2079"/>
                              </a:lnTo>
                              <a:lnTo>
                                <a:pt x="1354" y="2074"/>
                              </a:lnTo>
                              <a:lnTo>
                                <a:pt x="1362" y="2073"/>
                              </a:lnTo>
                              <a:lnTo>
                                <a:pt x="1369" y="2072"/>
                              </a:lnTo>
                              <a:lnTo>
                                <a:pt x="1369" y="2072"/>
                              </a:lnTo>
                              <a:lnTo>
                                <a:pt x="1376" y="2073"/>
                              </a:lnTo>
                              <a:lnTo>
                                <a:pt x="1383" y="2074"/>
                              </a:lnTo>
                              <a:lnTo>
                                <a:pt x="1388" y="2076"/>
                              </a:lnTo>
                              <a:lnTo>
                                <a:pt x="1394" y="2080"/>
                              </a:lnTo>
                              <a:lnTo>
                                <a:pt x="1398" y="2083"/>
                              </a:lnTo>
                              <a:lnTo>
                                <a:pt x="1402" y="2086"/>
                              </a:lnTo>
                              <a:lnTo>
                                <a:pt x="1408" y="2094"/>
                              </a:lnTo>
                              <a:lnTo>
                                <a:pt x="1408" y="2094"/>
                              </a:lnTo>
                              <a:close/>
                              <a:moveTo>
                                <a:pt x="938" y="2027"/>
                              </a:moveTo>
                              <a:lnTo>
                                <a:pt x="993" y="2027"/>
                              </a:lnTo>
                              <a:lnTo>
                                <a:pt x="993" y="2123"/>
                              </a:lnTo>
                              <a:lnTo>
                                <a:pt x="993" y="2249"/>
                              </a:lnTo>
                              <a:lnTo>
                                <a:pt x="938" y="2249"/>
                              </a:lnTo>
                              <a:lnTo>
                                <a:pt x="938" y="2027"/>
                              </a:lnTo>
                              <a:close/>
                              <a:moveTo>
                                <a:pt x="993" y="1967"/>
                              </a:moveTo>
                              <a:lnTo>
                                <a:pt x="993" y="1995"/>
                              </a:lnTo>
                              <a:lnTo>
                                <a:pt x="938" y="1995"/>
                              </a:lnTo>
                              <a:lnTo>
                                <a:pt x="938" y="1940"/>
                              </a:lnTo>
                              <a:lnTo>
                                <a:pt x="993" y="1940"/>
                              </a:lnTo>
                              <a:lnTo>
                                <a:pt x="993" y="1967"/>
                              </a:lnTo>
                              <a:close/>
                              <a:moveTo>
                                <a:pt x="2309" y="1962"/>
                              </a:moveTo>
                              <a:lnTo>
                                <a:pt x="2364" y="1934"/>
                              </a:lnTo>
                              <a:lnTo>
                                <a:pt x="2364" y="2127"/>
                              </a:lnTo>
                              <a:lnTo>
                                <a:pt x="2364" y="2249"/>
                              </a:lnTo>
                              <a:lnTo>
                                <a:pt x="2309" y="2249"/>
                              </a:lnTo>
                              <a:lnTo>
                                <a:pt x="2309" y="1962"/>
                              </a:lnTo>
                              <a:close/>
                              <a:moveTo>
                                <a:pt x="397" y="757"/>
                              </a:moveTo>
                              <a:lnTo>
                                <a:pt x="850" y="757"/>
                              </a:lnTo>
                              <a:lnTo>
                                <a:pt x="850" y="495"/>
                              </a:lnTo>
                              <a:lnTo>
                                <a:pt x="397" y="495"/>
                              </a:lnTo>
                              <a:lnTo>
                                <a:pt x="397" y="288"/>
                              </a:lnTo>
                              <a:lnTo>
                                <a:pt x="898" y="288"/>
                              </a:lnTo>
                              <a:lnTo>
                                <a:pt x="732" y="0"/>
                              </a:lnTo>
                              <a:lnTo>
                                <a:pt x="22" y="0"/>
                              </a:lnTo>
                              <a:lnTo>
                                <a:pt x="22" y="1251"/>
                              </a:lnTo>
                              <a:lnTo>
                                <a:pt x="1023" y="1251"/>
                              </a:lnTo>
                              <a:lnTo>
                                <a:pt x="1023" y="963"/>
                              </a:lnTo>
                              <a:lnTo>
                                <a:pt x="397" y="963"/>
                              </a:lnTo>
                              <a:lnTo>
                                <a:pt x="397" y="757"/>
                              </a:lnTo>
                              <a:close/>
                              <a:moveTo>
                                <a:pt x="1690" y="0"/>
                              </a:moveTo>
                              <a:lnTo>
                                <a:pt x="1477" y="409"/>
                              </a:lnTo>
                              <a:lnTo>
                                <a:pt x="1265" y="0"/>
                              </a:lnTo>
                              <a:lnTo>
                                <a:pt x="850" y="0"/>
                              </a:lnTo>
                              <a:lnTo>
                                <a:pt x="1287" y="757"/>
                              </a:lnTo>
                              <a:lnTo>
                                <a:pt x="1287" y="1251"/>
                              </a:lnTo>
                              <a:lnTo>
                                <a:pt x="1661" y="1251"/>
                              </a:lnTo>
                              <a:lnTo>
                                <a:pt x="1661" y="757"/>
                              </a:lnTo>
                              <a:lnTo>
                                <a:pt x="2099" y="0"/>
                              </a:lnTo>
                              <a:lnTo>
                                <a:pt x="1690" y="0"/>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14="http://schemas.microsoft.com/office/drawing/2010/main" xmlns:arto="http://schemas.microsoft.com/office/word/2006/arto">
          <w:pict w14:anchorId="084BA229">
            <v:group id="Group 4" style="position:absolute;margin-left:453.75pt;margin-top:-65.05pt;width:96.5pt;height:113pt;z-index:251658242" coordsize="772,904" o:spid="_x0000_s1026" w14:anchorId="5BFFFF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">
              <v:shape id="Freeform 5" style="position:absolute;width:619;height:226;visibility:visible;mso-wrap-style:square;v-text-anchor:top" coordsize="2473,902" o:spid="_x0000_s1027" fillcolor="#ffe600 [3215]" stroked="f" path="m2473,l,902,2473,466,24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">
                <v:path arrowok="t" o:connecttype="custom" o:connectlocs="619,0;0,226;619,117;619,0" o:connectangles="0,0,0,0"/>
              </v:shape>
              <v:shape id="Freeform 6" style="position:absolute;top:319;width:772;height:585;visibility:visible;mso-wrap-style:square;v-text-anchor:top" coordsize="3088,2339" o:spid="_x0000_s1028" fillcolor="white [3212]" stroked="f" path="m257,1763r,l257,1755r-1,-6l253,1736r-6,-11l241,1716r-8,-7l225,1704r-6,-5l212,1696r,l220,1690r6,-5l232,1678r5,-7l242,1663r2,-9l246,1645r,-10l246,1635r,-9l245,1618r-2,-8l241,1602r-4,-8l233,1588r-6,-6l222,1577r-7,-5l209,1568r-8,-3l192,1561r-9,-2l173,1557r-10,l152,1556r-130,l22,1860r129,l151,1860r12,l174,1859r11,-2l195,1854r10,-4l214,1846r8,-6l228,1835r7,-7l241,1821r5,-8l249,1804r4,-9l255,1785r1,-11l257,1763r,xm151,1810r-73,l78,1722r73,l151,1722r11,1l171,1725r8,3l185,1733r6,6l194,1747r2,8l198,1765r,l196,1775r-2,9l190,1792r-5,5l179,1803r-8,3l161,1808r-10,2l151,1810xm150,1673r-72,l78,1608r70,l148,1608r9,1l166,1610r6,2l178,1615r4,6l185,1626r2,7l188,1641r,l188,1646r-1,6l184,1657r-3,5l175,1666r-6,3l161,1672r-11,1l150,1673xm296,1764r,-125l351,1639r,122l351,1761r,12l353,1785r3,9l361,1802r5,5l373,1812r9,2l392,1815r,l402,1814r7,-2l417,1807r6,-5l427,1794r3,-10l433,1773r,-12l433,1639r55,l488,1860r-55,l433,1843r,l428,1848r-6,5l416,1857r-7,2l403,1862r-8,2l387,1865r-7,1l380,1866r-14,-1l355,1862r-10,-3l336,1855r-8,-6l321,1844r-5,-8l310,1828r-3,-7l304,1813r-5,-18l297,1779r-1,-15l296,1764xm1135,1860r-56,l1079,1639r56,l1135,1657r,l1140,1652r6,-6l1152,1643r7,-3l1167,1636r6,-1l1182,1634r8,-1l1190,1633r10,1l1208,1635r9,2l1225,1640r8,3l1239,1648r6,5l1250,1659r6,7l1259,1674r5,8l1266,1690r2,10l1270,1711r1,11l1271,1734r,126l1216,1860r,-122l1216,1738r,-13l1214,1714r-3,-9l1206,1697r-5,-6l1194,1687r-8,-2l1176,1684r,l1167,1685r-9,2l1151,1691r-5,6l1140,1705r-3,10l1135,1726r,12l1135,1860xm593,1742r,118l537,1860r,-221l593,1639r,103xm641,1573r55,-27l696,1747r,113l641,1860r,-287xm871,1654r,l866,1648r-5,-3l854,1641r-5,-2l842,1636r-7,-2l822,1633r,l812,1634r-10,1l794,1637r-8,4l778,1645r-8,6l764,1657r-6,7l753,1672r-5,8l744,1689r-3,10l738,1710r-2,12l735,1734r,13l735,1747r,14l736,1773r2,12l741,1796r3,11l747,1817r5,9l757,1834r7,7l769,1847r8,6l785,1857r7,3l801,1864r10,1l821,1866r,l828,1865r6,-1l841,1862r7,-2l853,1857r7,-3l865,1849r6,-5l871,1860r55,l926,1546r-55,27l871,1654xm832,1815r,l826,1814r-8,-2l811,1808r-6,-6l799,1793r-4,-12l791,1765r-1,-19l790,1746r1,-18l795,1715r4,-11l805,1696r5,-7l818,1686r6,-2l832,1684r,l839,1684r6,2l852,1688r4,3l861,1695r4,3l871,1706r,87l871,1793r-7,8l856,1807r-4,4l845,1813r-5,1l832,1815r,xm2069,1633r,l2064,1634r-7,1l2044,1639r-12,6l2021,1654r,-103l1966,1579r,281l2021,1860r,-16l2021,1844r4,5l2032,1854r5,3l2044,1860r5,2l2057,1864r7,1l2070,1866r,l2080,1865r10,-1l2099,1861r9,-4l2116,1853r6,-5l2129,1841r5,-6l2140,1826r4,-9l2148,1807r3,-10l2154,1786r1,-12l2157,1761r1,-14l2158,1747r-1,-13l2155,1722r-2,-12l2151,1699r-3,-10l2143,1680r-4,-8l2133,1664r-5,-7l2121,1651r-8,-6l2106,1641r-8,-4l2089,1635r-10,-1l2069,1633r,xm2059,1684r,l2067,1685r8,2l2081,1691r7,7l2094,1706r3,11l2100,1730r1,16l2101,1746r-1,16l2098,1776r-2,11l2091,1797r-6,8l2078,1811r-8,3l2061,1815r,l2053,1814r-7,-1l2041,1810r-6,-3l2026,1800r-5,-6l2021,1706r,l2024,1701r5,-4l2033,1693r4,-4l2043,1687r5,-2l2054,1684r5,l2059,1684xm1445,1654r,l1440,1650r-5,-5l1428,1642r-5,-3l1416,1636r-7,-2l1403,1634r-7,-1l1396,1633r-10,1l1376,1635r-9,2l1360,1641r-8,4l1344,1651r-6,6l1332,1664r-5,8l1322,1680r-4,9l1314,1699r-2,11l1310,1722r-1,12l1309,1747r,l1309,1761r1,12l1312,1785r2,11l1318,1807r3,10l1327,1826r4,8l1338,1841r5,6l1351,1853r8,4l1366,1860r9,4l1385,1865r10,l1395,1865r7,l1408,1864r7,-2l1421,1860r7,-3l1434,1853r5,-4l1445,1844r,5l1445,1849r,9l1444,1868r-3,10l1439,1882r-3,5l1433,1891r-5,5l1421,1899r-6,2l1407,1904r-10,1l1386,1908r-12,l1372,1908r19,43l1392,1951r,l1405,1951r12,-3l1429,1946r10,-3l1449,1940r9,-5l1466,1929r7,-6l1480,1915r4,-8l1490,1898r3,-10l1497,1877r2,-11l1500,1854r,-15l1500,1639r-55,l1445,1654xm1445,1706r,87l1445,1793r-7,8l1429,1808r-4,3l1419,1813r-6,1l1406,1815r,l1398,1814r-6,-2l1384,1807r-6,-5l1373,1793r-4,-12l1365,1765r-1,-19l1364,1746r1,-18l1369,1715r4,-11l1378,1696r6,-7l1392,1686r6,-2l1406,1684r,l1413,1684r6,2l1426,1688r4,2l1435,1695r4,3l1445,1706r,xm1671,1693r,l1684,1686r13,-4l1712,1678r15,-1l1727,1677r10,1l1745,1679r6,3l1757,1686r4,4l1765,1696r2,5l1767,1709r,16l1767,1725r-10,-5l1745,1717r-12,-2l1719,1714r,l1704,1715r-15,3l1674,1722r-7,4l1660,1730r-6,4l1649,1740r-6,6l1639,1752r-3,8l1633,1769r-1,9l1631,1786r,l1632,1797r1,10l1636,1815r3,9l1642,1830r6,7l1652,1843r7,5l1664,1853r7,3l1685,1861r15,4l1714,1866r,l1726,1864r8,-2l1740,1860r8,-3l1755,1853r6,-5l1767,1843r,17l1822,1860r,-150l1822,1710r,-9l1821,1694r-2,-8l1817,1678r-5,-6l1809,1665r-6,-6l1798,1654r-6,-4l1786,1645r-8,-3l1770,1639r-9,-3l1753,1635r-10,-1l1733,1633r,l1721,1634r-10,l1700,1636r-11,3l1679,1642r-10,3l1659,1650r-10,5l1671,1693xm1686,1786r,l1686,1780r3,-7l1692,1768r4,-5l1702,1760r6,-2l1716,1755r8,l1724,1755r12,l1747,1758r10,3l1767,1766r,30l1767,1796r-2,5l1760,1805r-4,5l1750,1813r-5,3l1738,1818r-6,1l1724,1821r,l1716,1819r-8,-2l1702,1815r-6,-4l1692,1806r-3,-5l1687,1794r-1,-8l1686,1786xm2333,1796r,l2325,1803r-10,5l2310,1811r-7,2l2297,1814r-7,1l2290,1815r-5,-1l2278,1814r-8,-2l2261,1807r-7,-5l2250,1797r-3,-4l2245,1787r-2,-6l2242,1774r-2,-8l2376,1766r,l2377,1750r,l2377,1737r-2,-12l2374,1712r-3,-11l2367,1691r-4,-9l2357,1673r-5,-8l2345,1657r-6,-5l2331,1646r-9,-4l2313,1639r-9,-4l2294,1634r-11,-1l2283,1633r-9,1l2264,1635r-10,4l2244,1642r-9,4l2227,1653r-8,5l2213,1666r-7,8l2201,1683r-5,10l2192,1703r-3,11l2186,1726r-1,11l2184,1750r,l2185,1762r1,12l2189,1786r3,11l2196,1807r5,10l2206,1826r7,8l2221,1840r7,7l2237,1853r9,4l2256,1860r11,4l2278,1865r12,1l2290,1866r11,-1l2311,1864r11,-4l2332,1857r10,-6l2351,1846r9,-8l2368,1830r-35,-34xm2242,1726r,l2243,1716r2,-9l2248,1699r6,-6l2259,1687r7,-3l2274,1680r8,l2282,1680r10,2l2301,1684r7,4l2313,1695r5,6l2321,1709r2,9l2324,1726r-82,xm2864,1796r,l2855,1803r-9,5l2840,1811r-6,2l2828,1814r-8,1l2820,1815r-6,-1l2808,1814r-8,-2l2792,1807r-8,-5l2781,1797r-3,-4l2776,1787r-3,-6l2771,1774r-1,-8l2907,1766r,l2908,1750r,l2907,1737r-1,-12l2904,1712r-3,-11l2897,1691r-4,-9l2888,1673r-5,-8l2876,1657r-8,-5l2861,1646r-8,-4l2844,1639r-10,-4l2824,1634r-10,-1l2814,1633r-11,1l2793,1635r-10,4l2775,1642r-9,4l2757,1653r-7,5l2743,1666r-7,8l2730,1683r-4,10l2722,1703r-3,11l2716,1726r-1,11l2715,1750r,l2715,1762r1,12l2718,1786r4,11l2726,1807r6,10l2737,1826r7,8l2750,1840r8,7l2767,1853r10,4l2787,1860r10,4l2809,1865r11,1l2820,1866r11,-1l2842,1864r10,-4l2862,1857r10,-6l2882,1846r8,-8l2898,1830r-34,-34xm2771,1726r,l2772,1716r4,-9l2779,1699r4,-6l2790,1687r7,-3l2804,1680r9,l2813,1680r10,2l2831,1684r8,4l2844,1695r5,6l2852,1709r2,9l2855,1726r-84,xm2639,1783r,l2639,1791r1,5l2642,1802r2,4l2648,1810r4,2l2656,1813r7,l2663,1813r8,l2680,1811r8,-4l2696,1803r-6,52l2690,1855r-10,4l2668,1862r-13,3l2643,1866r,l2636,1865r-8,-1l2621,1861r-5,-2l2610,1856r-5,-3l2601,1848r-4,-5l2591,1833r-4,-12l2585,1810r-1,-13l2584,1689r-35,l2549,1639r35,l2584,1581r55,-27l2639,1639r49,l2688,1689r-49,l2639,1783xm2532,1855r,l2522,1859r-11,3l2499,1865r-12,1l2487,1866r-9,-1l2471,1864r-7,-3l2458,1859r-5,-3l2448,1853r-5,-5l2440,1843r-6,-10l2430,1821r-3,-11l2427,1797r,-108l2393,1689r,-50l2427,1639r,-58l2482,1554r,85l2528,1639r,50l2482,1689r,94l2482,1783r,8l2483,1796r2,6l2488,1806r3,4l2495,1812r5,1l2505,1813r,l2514,1813r9,-2l2531,1807r7,-4l2532,1855xm3074,1700r,l3066,1695r-9,-4l3047,1689r-10,-1l3037,1688r-9,1l3020,1691r-7,5l3007,1701r-4,7l3001,1717r-2,11l2998,1740r,120l2943,1860r,-221l2998,1639r,18l2998,1657r5,-5l3009,1646r5,-3l3021,1640r5,-4l3033,1635r6,-1l3047,1633r,l3058,1634r11,3l3079,1641r9,5l3074,1700xm593,1579r,28l537,1607r,-56l593,1551r,28xm975,1639r55,l1030,1738r,122l975,1860r,-221xm1030,1579r,28l975,1607r,-56l1030,1551r,28xm2539,2042r,l2534,2038r-6,-5l2523,2030r-7,-3l2511,2025r-7,-1l2490,2021r,l2480,2022r-9,2l2462,2027r-9,3l2446,2035r-7,4l2432,2046r-6,6l2421,2060r-5,9l2413,2078r-4,11l2406,2099r-1,12l2404,2123r-1,13l2403,2136r1,13l2405,2161r1,13l2409,2186r2,10l2416,2206r4,8l2426,2222r5,8l2438,2235r7,6l2452,2245r9,5l2470,2252r9,1l2489,2254r,l2495,2253r8,-1l2510,2251r5,-2l2522,2245r6,-3l2534,2238r5,-6l2539,2249r56,l2595,1934r-56,28l2539,2042xm2501,2203r,l2493,2202r-6,-2l2479,2197r-7,-7l2467,2181r-5,-12l2460,2154r-1,-20l2459,2134r1,-17l2462,2103r5,-11l2472,2084r7,-5l2485,2074r8,-1l2500,2072r,l2507,2073r7,1l2520,2076r5,4l2530,2083r4,3l2539,2094r,87l2539,2181r-6,8l2525,2196r-5,3l2514,2201r-7,1l2501,2203r,xm672,2089r,l664,2084r-8,-4l646,2078r-10,-2l636,2076r-9,2l618,2080r-7,4l606,2090r-5,6l599,2105r-2,11l596,2128r,121l542,2249r,-222l596,2027r,19l596,2046r5,-6l607,2035r6,-4l619,2028r6,-3l631,2024r8,-2l646,2021r,l657,2022r11,4l679,2030r9,6l672,2089xm241,2027r54,l232,2249r-48,l160,2157r,l148,2108r,l142,2132r-6,26l110,2249r-47,l63,2247,,2027r57,l77,2110r,l83,2136r5,28l88,2164r7,-28l102,2108r23,-81l172,2027r23,81l195,2108r7,27l209,2165r,l213,2139r7,-31l241,2027xm406,2021r,l396,2022r-11,2l375,2027r-9,3l358,2035r-9,5l341,2047r-7,7l328,2062r-6,9l317,2081r-4,10l310,2102r-2,11l306,2125r,13l306,2138r,12l308,2163r2,11l313,2185r4,9l322,2204r6,9l334,2221r7,8l349,2235r9,6l366,2245r9,4l385,2252r11,1l406,2254r,l417,2253r11,-1l438,2249r9,-4l456,2241r9,-6l472,2229r7,-8l486,2213r5,-9l496,2194r4,-9l503,2174r2,-11l508,2150r,-12l508,2138r,-13l505,2113r-2,-11l500,2091r-4,-10l491,2071r-5,-9l479,2054r-7,-7l465,2040r-9,-5l447,2030r-9,-3l428,2024r-11,-2l406,2021r,xm406,2202r,l396,2201r-9,-3l381,2192r-7,-7l369,2176r-5,-11l362,2151r,-13l362,2138r,-14l364,2111r5,-10l374,2091r7,-8l387,2078r9,-4l406,2073r,l416,2074r9,4l433,2083r6,8l445,2101r3,10l450,2124r1,14l451,2138r-1,13l448,2165r-3,11l439,2185r-6,7l425,2198r-9,3l406,2202r,xm2269,2089r,l2260,2084r-9,-4l2242,2078r-9,-2l2233,2076r-10,2l2215,2080r-7,4l2203,2090r-5,6l2195,2105r-2,11l2193,2128r,121l2138,2249r,-222l2193,2027r,19l2193,2046r4,-6l2203,2035r5,-4l2215,2028r7,-3l2228,2024r7,-2l2242,2021r,l2253,2022r11,4l2275,2030r8,6l2269,2089xm1836,2027r55,l1828,2249r-48,l1756,2157r,l1744,2108r,l1738,2132r-6,26l1707,2249r-47,l1659,2247r-62,-220l1653,2027r21,83l1674,2110r6,26l1685,2164r,l1691,2136r8,-28l1722,2027r46,l1791,2108r,l1798,2135r6,30l1804,2165r6,-26l1817,2108r19,-81xm2002,2021r,l1992,2022r-11,2l1971,2027r-9,3l1953,2035r-8,6l1937,2047r-7,7l1924,2062r-6,9l1913,2081r-4,10l1906,2102r-3,12l1902,2125r,13l1902,2138r,12l1903,2163r3,11l1909,2185r4,9l1918,2204r6,9l1930,2221r7,8l1945,2235r8,6l1962,2245r9,4l1981,2252r11,1l2002,2254r,l2013,2253r11,-1l2034,2249r9,-4l2052,2241r9,-6l2068,2229r7,-8l2081,2213r6,-9l2091,2194r5,-9l2099,2174r2,-11l2104,2150r,-12l2104,2138r,-13l2101,2114r-2,-12l2096,2091r-5,-10l2087,2071r-6,-9l2075,2054r-7,-7l2061,2041r-9,-6l2043,2030r-9,-3l2024,2024r-11,-2l2002,2021r,xm2002,2202r,l1992,2201r-8,-3l1977,2192r-7,-7l1964,2176r-4,-11l1958,2151r,-13l1958,2138r,-14l1960,2112r4,-11l1970,2091r7,-8l1984,2078r8,-4l2002,2073r,l2012,2074r9,4l2029,2083r6,8l2041,2101r3,11l2046,2124r1,14l2047,2138r-1,13l2044,2165r-3,11l2035,2185r-6,7l2021,2198r-9,3l2002,2202r,xm837,2100r67,149l843,2249,797,2146r-30,36l767,2249r-54,l713,1962r54,-28l767,2112r,l788,2083r44,-56l896,2027r-59,73xm1097,2249r-55,l1042,2027r55,l1097,2046r,l1103,2040r5,-4l1115,2031r6,-3l1129,2026r8,-2l1144,2022r9,-1l1153,2021r10,1l1172,2024r8,2l1189,2028r6,4l1202,2037r6,4l1214,2048r4,6l1223,2062r3,8l1229,2080r3,10l1233,2100r1,11l1235,2123r,126l1180,2249r,-123l1180,2126r-1,-12l1178,2102r-4,-9l1170,2085r-6,-5l1158,2075r-9,-2l1139,2072r,l1130,2073r-9,2l1114,2080r-6,6l1104,2093r-4,10l1098,2114r-1,12l1097,2249xm1408,2042r,l1403,2038r-6,-5l1392,2030r-7,-3l1378,2025r-6,-1l1365,2022r-6,-1l1359,2021r-10,1l1340,2024r-9,2l1322,2030r-8,3l1308,2039r-7,7l1295,2052r-6,8l1285,2069r-5,9l1277,2089r-2,10l1273,2111r-2,12l1271,2135r,l1271,2149r2,12l1275,2174r2,12l1280,2196r5,10l1289,2214r6,8l1300,2230r7,5l1313,2241r8,4l1330,2249r9,3l1348,2253r9,1l1357,2254r7,-1l1372,2252r6,-1l1385,2249r6,-4l1397,2242r6,-4l1408,2232r,6l1408,2238r,8l1407,2256r-3,10l1402,2271r-3,4l1395,2279r-4,5l1385,2287r-7,3l1370,2293r-9,2l1350,2296r-13,l1334,2296r20,43l1355,2339r,l1369,2339r12,-1l1392,2335r11,-3l1413,2328r8,-4l1429,2318r7,-7l1442,2304r6,-8l1452,2286r4,-10l1459,2266r2,-12l1462,2242r,-13l1462,2027r-54,l1408,2042xm1408,2094r,87l1408,2181r-7,8l1393,2197r-6,2l1382,2201r-6,1l1369,2203r,l1362,2202r-8,-2l1348,2197r-7,-7l1335,2181r-4,-12l1329,2154r-1,-20l1328,2134r1,-17l1331,2103r4,-11l1341,2084r7,-5l1354,2074r8,-1l1369,2072r,l1376,2073r7,1l1388,2076r6,4l1398,2083r4,3l1408,2094r,xm938,2027r55,l993,2123r,126l938,2249r,-222xm993,1967r,28l938,1995r,-55l993,1940r,27xm2309,1962r55,-28l2364,2127r,122l2309,2249r,-287xm397,757r453,l850,495r-453,l397,288r501,l732,,22,r,1251l1023,1251r,-288l397,963r,-206xm1690,l1477,409,1265,,850,r437,757l1287,1251r374,l1661,757,2099,,16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">
                <v:path arrowok="t" o:connecttype="custom" o:connectlocs="58,397;63,449;38,453;88,440;104,464;285,413;304,435;174,387;185,428;215,464;208,421;505,465;540,437;525,433;515,421;327,434;361,461;368,481;342,445;432,419;408,445;456,428;422,447;427,454;560,442;557,413;573,467;580,427;727,438;683,421;713,465;660,446;651,463;616,465;624,453;750,410;244,465;604,517;628,563;621,519;157,520;168,522;51,534;78,544;126,544;94,546;110,546;549,510;399,507;484,512;501,564;515,510;501,518;192,484;301,509;277,522;320,520;346,562;351,583;339,550;248,531;99,241" o:connectangles="0,0,0,0,0,0,0,0,0,0,0,0,0,0,0,0,0,0,0,0,0,0,0,0,0,0,0,0,0,0,0,0,0,0,0,0,0,0,0,0,0,0,0,0,0,0,0,0,0,0,0,0,0,0,0,0,0,0,0,0,0,0"/>
                <o:lock v:ext="edit" verticies="t"/>
              </v:shape>
            </v:group>
          </w:pict>
        </mc:Fallback>
      </mc:AlternateContent>
    </w:r>
    <w:r w:rsidR="001F6E0E">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60189" w14:textId="77777777" w:rsidR="001F6E0E" w:rsidRDefault="001F6E0E">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24" w:type="pct"/>
      <w:tblCellMar>
        <w:left w:w="0" w:type="dxa"/>
      </w:tblCellMar>
      <w:tblLook w:val="0000" w:firstRow="0" w:lastRow="0" w:firstColumn="0" w:lastColumn="0" w:noHBand="0" w:noVBand="0"/>
    </w:tblPr>
    <w:tblGrid>
      <w:gridCol w:w="9240"/>
      <w:gridCol w:w="1301"/>
    </w:tblGrid>
    <w:tr w:rsidR="001F6E0E" w14:paraId="38417F92" w14:textId="77777777" w:rsidTr="001C7712">
      <w:trPr>
        <w:trHeight w:val="187"/>
      </w:trPr>
      <w:tc>
        <w:tcPr>
          <w:tcW w:w="7952" w:type="dxa"/>
        </w:tcPr>
        <w:p w14:paraId="7B508F27" w14:textId="1C556886" w:rsidR="001F6E0E" w:rsidRPr="00063078" w:rsidRDefault="00E9306A" w:rsidP="00E1705E">
          <w:pPr>
            <w:pStyle w:val="Footer"/>
            <w:rPr>
              <w:szCs w:val="16"/>
            </w:rPr>
          </w:pPr>
          <w:r>
            <w:rPr>
              <w:szCs w:val="16"/>
            </w:rPr>
            <w:t>A</w:t>
          </w:r>
          <w:r w:rsidR="00216980">
            <w:rPr>
              <w:szCs w:val="16"/>
            </w:rPr>
            <w:t xml:space="preserve"> national strategy for </w:t>
          </w:r>
          <w:r w:rsidR="008A78F3">
            <w:rPr>
              <w:szCs w:val="16"/>
            </w:rPr>
            <w:t>o</w:t>
          </w:r>
          <w:r w:rsidR="00216980">
            <w:rPr>
              <w:szCs w:val="16"/>
            </w:rPr>
            <w:t xml:space="preserve">pen </w:t>
          </w:r>
          <w:r w:rsidR="008A78F3">
            <w:rPr>
              <w:szCs w:val="16"/>
            </w:rPr>
            <w:t>a</w:t>
          </w:r>
          <w:r w:rsidR="00216980">
            <w:rPr>
              <w:szCs w:val="16"/>
            </w:rPr>
            <w:t xml:space="preserve">ccess </w:t>
          </w:r>
          <w:r>
            <w:rPr>
              <w:szCs w:val="16"/>
            </w:rPr>
            <w:t xml:space="preserve">— </w:t>
          </w:r>
          <w:r w:rsidR="008A78F3">
            <w:rPr>
              <w:szCs w:val="16"/>
            </w:rPr>
            <w:t>briefing paper</w:t>
          </w:r>
        </w:p>
      </w:tc>
      <w:tc>
        <w:tcPr>
          <w:tcW w:w="1120" w:type="dxa"/>
        </w:tcPr>
        <w:p w14:paraId="5C90C0CE" w14:textId="77777777" w:rsidR="001F6E0E" w:rsidRDefault="001F6E0E" w:rsidP="0011391E">
          <w:pPr>
            <w:pStyle w:val="Footer"/>
            <w:jc w:val="center"/>
            <w:rPr>
              <w:szCs w:val="16"/>
            </w:rPr>
          </w:pPr>
          <w:r>
            <w:rPr>
              <w:szCs w:val="16"/>
            </w:rPr>
            <w:t>EY</w:t>
          </w:r>
          <w:r w:rsidRPr="00625D2E">
            <w:rPr>
              <w:szCs w:val="16"/>
            </w:rPr>
            <w:t xml:space="preserve"> </w:t>
          </w:r>
          <w:r w:rsidRPr="00625D2E">
            <w:rPr>
              <w:rFonts w:ascii="Symbol" w:eastAsia="Symbol" w:hAnsi="Symbol" w:cs="Symbol"/>
              <w:szCs w:val="16"/>
            </w:rPr>
            <w:t>÷</w:t>
          </w:r>
          <w:r w:rsidRPr="00625D2E">
            <w:rPr>
              <w:szCs w:val="16"/>
            </w:rPr>
            <w:t xml:space="preserve"> </w:t>
          </w:r>
          <w:r>
            <w:rPr>
              <w:szCs w:val="16"/>
            </w:rPr>
            <w:t xml:space="preserve"> </w:t>
          </w:r>
          <w:r w:rsidRPr="00D3139D">
            <w:rPr>
              <w:szCs w:val="16"/>
            </w:rPr>
            <w:fldChar w:fldCharType="begin"/>
          </w:r>
          <w:r w:rsidRPr="00D3139D">
            <w:rPr>
              <w:szCs w:val="16"/>
            </w:rPr>
            <w:instrText xml:space="preserve"> PAGE </w:instrText>
          </w:r>
          <w:r w:rsidRPr="00D3139D">
            <w:rPr>
              <w:szCs w:val="16"/>
            </w:rPr>
            <w:fldChar w:fldCharType="separate"/>
          </w:r>
          <w:r>
            <w:rPr>
              <w:noProof/>
              <w:szCs w:val="16"/>
            </w:rPr>
            <w:t>1</w:t>
          </w:r>
          <w:r w:rsidRPr="00D3139D">
            <w:rPr>
              <w:szCs w:val="16"/>
            </w:rPr>
            <w:fldChar w:fldCharType="end"/>
          </w:r>
        </w:p>
      </w:tc>
    </w:tr>
  </w:tbl>
  <w:p w14:paraId="43C7CA9F" w14:textId="63E89715" w:rsidR="001F6E0E" w:rsidRPr="00E462BE" w:rsidRDefault="001F6E0E" w:rsidP="00E1705E">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6000" w:type="pct"/>
      <w:tblCellMar>
        <w:left w:w="0" w:type="dxa"/>
      </w:tblCellMar>
      <w:tblLook w:val="0000" w:firstRow="0" w:lastRow="0" w:firstColumn="0" w:lastColumn="0" w:noHBand="0" w:noVBand="0"/>
    </w:tblPr>
    <w:tblGrid>
      <w:gridCol w:w="8364"/>
      <w:gridCol w:w="2471"/>
    </w:tblGrid>
    <w:tr w:rsidR="00D1668E" w14:paraId="7E55A4E0" w14:textId="77777777" w:rsidTr="003E3FA2">
      <w:trPr>
        <w:trHeight w:val="279"/>
      </w:trPr>
      <w:tc>
        <w:tcPr>
          <w:tcW w:w="8364" w:type="dxa"/>
        </w:tcPr>
        <w:p w14:paraId="4B14EE34" w14:textId="0BA0F702" w:rsidR="00D1668E" w:rsidRPr="00063078" w:rsidRDefault="00D1668E" w:rsidP="00E1705E">
          <w:pPr>
            <w:pStyle w:val="Footer"/>
            <w:rPr>
              <w:szCs w:val="16"/>
            </w:rPr>
          </w:pPr>
          <w:r>
            <w:rPr>
              <w:szCs w:val="16"/>
            </w:rPr>
            <w:t xml:space="preserve">A national strategy for </w:t>
          </w:r>
          <w:r w:rsidR="00376C7A">
            <w:rPr>
              <w:szCs w:val="16"/>
            </w:rPr>
            <w:t>o</w:t>
          </w:r>
          <w:r>
            <w:rPr>
              <w:szCs w:val="16"/>
            </w:rPr>
            <w:t xml:space="preserve">pen </w:t>
          </w:r>
          <w:r w:rsidR="00376C7A">
            <w:rPr>
              <w:szCs w:val="16"/>
            </w:rPr>
            <w:t>a</w:t>
          </w:r>
          <w:r>
            <w:rPr>
              <w:szCs w:val="16"/>
            </w:rPr>
            <w:t xml:space="preserve">ccess — </w:t>
          </w:r>
          <w:r w:rsidR="00983417">
            <w:rPr>
              <w:szCs w:val="16"/>
            </w:rPr>
            <w:t>briefing paper</w:t>
          </w:r>
        </w:p>
      </w:tc>
      <w:tc>
        <w:tcPr>
          <w:tcW w:w="2471" w:type="dxa"/>
        </w:tcPr>
        <w:p w14:paraId="7D033002" w14:textId="77777777" w:rsidR="00D1668E" w:rsidRDefault="00D1668E" w:rsidP="00354A8A">
          <w:pPr>
            <w:pStyle w:val="Footer"/>
            <w:rPr>
              <w:szCs w:val="16"/>
            </w:rPr>
          </w:pPr>
          <w:r>
            <w:rPr>
              <w:szCs w:val="16"/>
            </w:rPr>
            <w:t>EY</w:t>
          </w:r>
          <w:r w:rsidRPr="00625D2E">
            <w:rPr>
              <w:szCs w:val="16"/>
            </w:rPr>
            <w:t xml:space="preserve"> </w:t>
          </w:r>
          <w:r w:rsidRPr="00625D2E">
            <w:rPr>
              <w:rFonts w:ascii="Symbol" w:eastAsia="Symbol" w:hAnsi="Symbol" w:cs="Symbol"/>
              <w:szCs w:val="16"/>
            </w:rPr>
            <w:t>÷</w:t>
          </w:r>
          <w:r w:rsidRPr="00625D2E">
            <w:rPr>
              <w:szCs w:val="16"/>
            </w:rPr>
            <w:t xml:space="preserve"> </w:t>
          </w:r>
          <w:r>
            <w:rPr>
              <w:szCs w:val="16"/>
            </w:rPr>
            <w:t xml:space="preserve"> </w:t>
          </w:r>
          <w:r w:rsidRPr="00D3139D">
            <w:rPr>
              <w:szCs w:val="16"/>
            </w:rPr>
            <w:fldChar w:fldCharType="begin"/>
          </w:r>
          <w:r w:rsidRPr="00D3139D">
            <w:rPr>
              <w:szCs w:val="16"/>
            </w:rPr>
            <w:instrText xml:space="preserve"> PAGE </w:instrText>
          </w:r>
          <w:r w:rsidRPr="00D3139D">
            <w:rPr>
              <w:szCs w:val="16"/>
            </w:rPr>
            <w:fldChar w:fldCharType="separate"/>
          </w:r>
          <w:r>
            <w:rPr>
              <w:noProof/>
              <w:szCs w:val="16"/>
            </w:rPr>
            <w:t>1</w:t>
          </w:r>
          <w:r w:rsidRPr="00D3139D">
            <w:rPr>
              <w:szCs w:val="16"/>
            </w:rPr>
            <w:fldChar w:fldCharType="end"/>
          </w:r>
        </w:p>
      </w:tc>
    </w:tr>
  </w:tbl>
  <w:p w14:paraId="36A311CC" w14:textId="77777777" w:rsidR="00D1668E" w:rsidRPr="00E462BE" w:rsidRDefault="00D1668E" w:rsidP="00E1705E">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DC48E" w14:textId="77777777" w:rsidR="001F6E0E" w:rsidRPr="00094D83" w:rsidRDefault="001F6E0E" w:rsidP="00E170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A276B5" w14:textId="77777777" w:rsidR="00E94FAF" w:rsidRDefault="00E94FAF">
      <w:r>
        <w:separator/>
      </w:r>
    </w:p>
  </w:footnote>
  <w:footnote w:type="continuationSeparator" w:id="0">
    <w:p w14:paraId="1134E070" w14:textId="77777777" w:rsidR="00E94FAF" w:rsidRDefault="00E94FAF">
      <w:r>
        <w:continuationSeparator/>
      </w:r>
    </w:p>
  </w:footnote>
  <w:footnote w:type="continuationNotice" w:id="1">
    <w:p w14:paraId="036DCDE8" w14:textId="77777777" w:rsidR="00E94FAF" w:rsidRDefault="00E94FAF"/>
  </w:footnote>
  <w:footnote w:id="2">
    <w:p w14:paraId="751540EF" w14:textId="77777777" w:rsidR="00F67D9F" w:rsidRDefault="00F67D9F" w:rsidP="00F67D9F">
      <w:pPr>
        <w:pStyle w:val="FootnoteText"/>
      </w:pPr>
      <w:r>
        <w:rPr>
          <w:rStyle w:val="FootnoteReference"/>
        </w:rPr>
        <w:footnoteRef/>
      </w:r>
      <w:r>
        <w:t xml:space="preserve"> Australian Government Department of Industry, Science, and Innovation SRI</w:t>
      </w:r>
    </w:p>
  </w:footnote>
  <w:footnote w:id="3">
    <w:p w14:paraId="230462FA" w14:textId="0A6D55A4" w:rsidR="00E46529" w:rsidRDefault="00E46529" w:rsidP="00E46529">
      <w:pPr>
        <w:pStyle w:val="FootnoteText"/>
      </w:pPr>
      <w:r>
        <w:rPr>
          <w:rStyle w:val="FootnoteReference"/>
        </w:rPr>
        <w:footnoteRef/>
      </w:r>
      <w:r>
        <w:t xml:space="preserve"> Science and Technology Australia, </w:t>
      </w:r>
      <w:hyperlink r:id="rId1" w:history="1">
        <w:r w:rsidR="004F3359" w:rsidRPr="004F3359">
          <w:t>https://scienceandtechnologyaustralia.org.au/australians-overwhelmingly-trust-in-science/</w:t>
        </w:r>
      </w:hyperlink>
      <w:r w:rsidR="004F3359">
        <w:t>.</w:t>
      </w:r>
    </w:p>
  </w:footnote>
  <w:footnote w:id="4">
    <w:p w14:paraId="3AD5C5DE" w14:textId="77777777" w:rsidR="005A7CBD" w:rsidRDefault="005A7CBD" w:rsidP="005A7CBD">
      <w:pPr>
        <w:pStyle w:val="FootnoteText"/>
      </w:pPr>
      <w:r>
        <w:rPr>
          <w:rStyle w:val="FootnoteReference"/>
        </w:rPr>
        <w:footnoteRef/>
      </w:r>
      <w:r>
        <w:t xml:space="preserve"> Estimate based on a recent survey of Australian stakeholder’s expenditure on access and publishing in academic journals, and CAUL published aggregate data.</w:t>
      </w:r>
    </w:p>
  </w:footnote>
  <w:footnote w:id="5">
    <w:p w14:paraId="3614A021" w14:textId="77777777" w:rsidR="005A7CBD" w:rsidRDefault="005A7CBD" w:rsidP="005A7CBD">
      <w:pPr>
        <w:pStyle w:val="FootnoteText"/>
      </w:pPr>
      <w:r>
        <w:rPr>
          <w:rStyle w:val="FootnoteReference"/>
        </w:rPr>
        <w:footnoteRef/>
      </w:r>
      <w:r>
        <w:t xml:space="preserve"> Based on the number of published papers and average hourly costs of academic peer reviewers.</w:t>
      </w:r>
    </w:p>
  </w:footnote>
  <w:footnote w:id="6">
    <w:p w14:paraId="6D238CBA" w14:textId="0E6D7235" w:rsidR="00777A8A" w:rsidRDefault="00777A8A">
      <w:pPr>
        <w:pStyle w:val="FootnoteText"/>
      </w:pPr>
      <w:r>
        <w:rPr>
          <w:rStyle w:val="FootnoteReference"/>
        </w:rPr>
        <w:footnoteRef/>
      </w:r>
      <w:r>
        <w:t xml:space="preserve"> </w:t>
      </w:r>
      <w:r w:rsidR="0067353B">
        <w:t xml:space="preserve">Springer Nature, </w:t>
      </w:r>
      <w:r w:rsidR="0067353B">
        <w:rPr>
          <w:i/>
          <w:iCs/>
        </w:rPr>
        <w:t>Open Research</w:t>
      </w:r>
      <w:r w:rsidR="0067353B">
        <w:t xml:space="preserve">, </w:t>
      </w:r>
      <w:r w:rsidR="00C7051E">
        <w:t xml:space="preserve">Accessed June </w:t>
      </w:r>
      <w:r w:rsidR="0067353B">
        <w:t>2022,</w:t>
      </w:r>
      <w:r>
        <w:t xml:space="preserve"> </w:t>
      </w:r>
      <w:r w:rsidR="00172078" w:rsidRPr="00172078">
        <w:t>https://www.springernature.com/gp/open-research/about/the-fundamentals-of-open-access-and-open-research</w:t>
      </w:r>
      <w:r w:rsidR="00EA4ED9">
        <w:t>.</w:t>
      </w:r>
    </w:p>
  </w:footnote>
  <w:footnote w:id="7">
    <w:p w14:paraId="1E55AA42" w14:textId="6D945A59" w:rsidR="000C29E7" w:rsidRDefault="000C29E7">
      <w:pPr>
        <w:pStyle w:val="FootnoteText"/>
      </w:pPr>
      <w:r>
        <w:rPr>
          <w:rStyle w:val="FootnoteReference"/>
        </w:rPr>
        <w:footnoteRef/>
      </w:r>
      <w:r w:rsidR="006A501B">
        <w:t xml:space="preserve"> </w:t>
      </w:r>
      <w:r w:rsidR="00C7051E">
        <w:t xml:space="preserve">Curtin open Knowledge Initiative, </w:t>
      </w:r>
      <w:r w:rsidR="00C7051E">
        <w:rPr>
          <w:i/>
          <w:iCs/>
        </w:rPr>
        <w:t>COKI: Australia</w:t>
      </w:r>
      <w:r w:rsidR="00C7051E">
        <w:t xml:space="preserve">, Access June 2022, </w:t>
      </w:r>
      <w:r w:rsidR="00C7051E" w:rsidRPr="00815FFA">
        <w:t>https://open.coki.ac/country/AUS/</w:t>
      </w:r>
      <w:r w:rsidR="006A501B">
        <w:t>.</w:t>
      </w:r>
    </w:p>
  </w:footnote>
  <w:footnote w:id="8">
    <w:p w14:paraId="3B01A613" w14:textId="5D4E6FC5" w:rsidR="001F6E0E" w:rsidRDefault="001F6E0E">
      <w:pPr>
        <w:pStyle w:val="FootnoteText"/>
      </w:pPr>
      <w:r>
        <w:rPr>
          <w:rStyle w:val="FootnoteReference"/>
        </w:rPr>
        <w:footnoteRef/>
      </w:r>
      <w:r>
        <w:t xml:space="preserve"> </w:t>
      </w:r>
      <w:r w:rsidR="00C7051E">
        <w:t xml:space="preserve">Australian Research Council, </w:t>
      </w:r>
      <w:r w:rsidR="00C7051E">
        <w:rPr>
          <w:i/>
          <w:iCs/>
        </w:rPr>
        <w:t xml:space="preserve">ERA 2023, </w:t>
      </w:r>
      <w:r w:rsidR="00C7051E">
        <w:t xml:space="preserve">Accessed June 2022, </w:t>
      </w:r>
      <w:r w:rsidRPr="0097036B">
        <w:t>https://www.arc.gov.au/evaluating-research/excellence-research-australia/era-2023</w:t>
      </w:r>
      <w:r w:rsidR="00CB2417">
        <w:t>.</w:t>
      </w:r>
    </w:p>
  </w:footnote>
  <w:footnote w:id="9">
    <w:p w14:paraId="7FD4F6A6" w14:textId="2522B28F" w:rsidR="00CC3B5D" w:rsidRPr="00CC3B5D" w:rsidRDefault="00CC3B5D">
      <w:pPr>
        <w:pStyle w:val="FootnoteText"/>
        <w:rPr>
          <w:lang w:val="en-US"/>
        </w:rPr>
      </w:pPr>
      <w:r>
        <w:rPr>
          <w:rStyle w:val="FootnoteReference"/>
        </w:rPr>
        <w:footnoteRef/>
      </w:r>
      <w:r>
        <w:t xml:space="preserve"> </w:t>
      </w:r>
      <w:r w:rsidR="008249D1">
        <w:rPr>
          <w:lang w:val="en-US"/>
        </w:rPr>
        <w:t>Clarivate Web of Science Database</w:t>
      </w:r>
      <w:r w:rsidR="00CB2417">
        <w:rPr>
          <w:lang w:val="en-US"/>
        </w:rPr>
        <w:t>.</w:t>
      </w:r>
    </w:p>
  </w:footnote>
  <w:footnote w:id="10">
    <w:p w14:paraId="72FD9B6A" w14:textId="1B1AB6DA" w:rsidR="0070758A" w:rsidRDefault="0070758A">
      <w:pPr>
        <w:pStyle w:val="FootnoteText"/>
      </w:pPr>
      <w:r>
        <w:rPr>
          <w:rStyle w:val="FootnoteReference"/>
        </w:rPr>
        <w:footnoteRef/>
      </w:r>
      <w:r>
        <w:t xml:space="preserve"> </w:t>
      </w:r>
      <w:r w:rsidR="008249D1">
        <w:rPr>
          <w:lang w:val="en-US"/>
        </w:rPr>
        <w:t>Clarivate Web of Science Database</w:t>
      </w:r>
      <w:r w:rsidR="00CB2417">
        <w:rPr>
          <w:lang w:val="en-US"/>
        </w:rPr>
        <w:t>.</w:t>
      </w:r>
    </w:p>
  </w:footnote>
  <w:footnote w:id="11">
    <w:p w14:paraId="45995E96" w14:textId="0266DEDF" w:rsidR="000A1D03" w:rsidRPr="000A1D03" w:rsidRDefault="000A1D03" w:rsidP="000A1D03">
      <w:pPr>
        <w:pStyle w:val="FootnoteText"/>
      </w:pPr>
      <w:r>
        <w:rPr>
          <w:rStyle w:val="FootnoteReference"/>
        </w:rPr>
        <w:footnoteRef/>
      </w:r>
      <w:r>
        <w:t xml:space="preserve"> </w:t>
      </w:r>
      <w:r w:rsidR="00D51770">
        <w:t xml:space="preserve">Curtin </w:t>
      </w:r>
      <w:r w:rsidR="00211265">
        <w:t>O</w:t>
      </w:r>
      <w:r w:rsidR="00D51770">
        <w:t xml:space="preserve">pen Knowledge Initiative, </w:t>
      </w:r>
      <w:r w:rsidR="00D51770">
        <w:rPr>
          <w:i/>
          <w:iCs/>
        </w:rPr>
        <w:t>COKI: Australia</w:t>
      </w:r>
      <w:r w:rsidR="00D51770">
        <w:t xml:space="preserve">, Access June 2022, </w:t>
      </w:r>
      <w:r w:rsidR="00D51770" w:rsidRPr="00815FFA">
        <w:t>https://open.coki.ac/country/AUS/</w:t>
      </w:r>
      <w:r w:rsidR="00CB2417">
        <w:t>.</w:t>
      </w:r>
    </w:p>
  </w:footnote>
  <w:footnote w:id="12">
    <w:p w14:paraId="3656032E" w14:textId="5C7E4842" w:rsidR="001F6E0E" w:rsidRDefault="001F6E0E">
      <w:pPr>
        <w:pStyle w:val="FootnoteText"/>
      </w:pPr>
      <w:r>
        <w:rPr>
          <w:rStyle w:val="FootnoteReference"/>
        </w:rPr>
        <w:footnoteRef/>
      </w:r>
      <w:r w:rsidR="00CB2417">
        <w:t xml:space="preserve"> </w:t>
      </w:r>
      <w:r w:rsidR="00D51770">
        <w:t xml:space="preserve">Frazier, K. 2005, </w:t>
      </w:r>
      <w:r w:rsidR="00D51770">
        <w:rPr>
          <w:i/>
          <w:iCs/>
        </w:rPr>
        <w:t>What</w:t>
      </w:r>
      <w:r w:rsidR="00FC2299">
        <w:rPr>
          <w:i/>
          <w:iCs/>
        </w:rPr>
        <w:t>’</w:t>
      </w:r>
      <w:r w:rsidR="00D51770">
        <w:rPr>
          <w:i/>
          <w:iCs/>
        </w:rPr>
        <w:t>s the Big Deal?</w:t>
      </w:r>
      <w:r w:rsidR="00D51770">
        <w:t xml:space="preserve"> The Serials Librarian</w:t>
      </w:r>
      <w:r w:rsidR="00CB2417">
        <w:t>.</w:t>
      </w:r>
    </w:p>
  </w:footnote>
  <w:footnote w:id="13">
    <w:p w14:paraId="05E2B698" w14:textId="77777777" w:rsidR="00EE4EB3" w:rsidRDefault="00EE4EB3" w:rsidP="00EE4EB3">
      <w:pPr>
        <w:pStyle w:val="FootnoteText"/>
      </w:pPr>
      <w:r>
        <w:rPr>
          <w:rStyle w:val="FootnoteReference"/>
        </w:rPr>
        <w:footnoteRef/>
      </w:r>
      <w:r>
        <w:t xml:space="preserve"> Berstrom, T, Courant, P, McAfee, R, &amp; Williams, M. 2014, </w:t>
      </w:r>
      <w:r>
        <w:rPr>
          <w:i/>
          <w:iCs/>
        </w:rPr>
        <w:t>Evaluating big deal journal bundles</w:t>
      </w:r>
      <w:r>
        <w:t>, PNAS.</w:t>
      </w:r>
    </w:p>
  </w:footnote>
  <w:footnote w:id="14">
    <w:p w14:paraId="4A1DE2EA" w14:textId="6B011A29" w:rsidR="00E75D75" w:rsidRDefault="00E75D75">
      <w:pPr>
        <w:pStyle w:val="FootnoteText"/>
      </w:pPr>
      <w:r>
        <w:rPr>
          <w:rStyle w:val="FootnoteReference"/>
        </w:rPr>
        <w:footnoteRef/>
      </w:r>
      <w:r>
        <w:t xml:space="preserve"> </w:t>
      </w:r>
      <w:r w:rsidR="00D51770">
        <w:t xml:space="preserve">Foley, C. 2021, </w:t>
      </w:r>
      <w:r w:rsidR="00D51770">
        <w:rPr>
          <w:i/>
          <w:iCs/>
        </w:rPr>
        <w:t xml:space="preserve">Unlocking the academic library: Open Access, </w:t>
      </w:r>
      <w:r w:rsidR="00D51770">
        <w:t>Australian Office of Chief Scientist</w:t>
      </w:r>
      <w:r w:rsidR="00CB2417">
        <w:t>.</w:t>
      </w:r>
    </w:p>
  </w:footnote>
  <w:footnote w:id="15">
    <w:p w14:paraId="3BEC2D46" w14:textId="77777777" w:rsidR="00E155B1" w:rsidRPr="009E47E9" w:rsidRDefault="00E155B1" w:rsidP="00E155B1">
      <w:pPr>
        <w:pStyle w:val="FootnoteText"/>
        <w:rPr>
          <w:lang w:val="en-US"/>
        </w:rPr>
      </w:pPr>
      <w:r>
        <w:rPr>
          <w:rStyle w:val="FootnoteReference"/>
        </w:rPr>
        <w:footnoteRef/>
      </w:r>
      <w:r>
        <w:t xml:space="preserve"> Clarivate Web of Science data.</w:t>
      </w:r>
    </w:p>
  </w:footnote>
  <w:footnote w:id="16">
    <w:p w14:paraId="5C72D029" w14:textId="611286CE" w:rsidR="006D3457" w:rsidRDefault="006D3457" w:rsidP="006D3457">
      <w:pPr>
        <w:pStyle w:val="FootnoteText"/>
      </w:pPr>
      <w:r>
        <w:rPr>
          <w:rStyle w:val="FootnoteReference"/>
        </w:rPr>
        <w:footnoteRef/>
      </w:r>
      <w:r>
        <w:t xml:space="preserve"> Curtin open Knowledge Initiative, </w:t>
      </w:r>
      <w:r>
        <w:rPr>
          <w:i/>
          <w:iCs/>
        </w:rPr>
        <w:t>COKI: Australia</w:t>
      </w:r>
      <w:r>
        <w:t>, Access</w:t>
      </w:r>
      <w:r w:rsidR="00897460">
        <w:t>ed</w:t>
      </w:r>
      <w:r>
        <w:t xml:space="preserve"> June 2022, </w:t>
      </w:r>
      <w:r w:rsidRPr="00815FFA">
        <w:t>https://open.coki.ac/country/AUS/</w:t>
      </w:r>
      <w:r>
        <w:t>.</w:t>
      </w:r>
    </w:p>
  </w:footnote>
  <w:footnote w:id="17">
    <w:p w14:paraId="3BA89D32" w14:textId="77777777" w:rsidR="006D3457" w:rsidRPr="001420CC" w:rsidRDefault="006D3457" w:rsidP="006D3457">
      <w:pPr>
        <w:pStyle w:val="FootnoteText"/>
        <w:rPr>
          <w:lang w:val="en-US"/>
        </w:rPr>
      </w:pPr>
      <w:r>
        <w:rPr>
          <w:rStyle w:val="FootnoteReference"/>
        </w:rPr>
        <w:footnoteRef/>
      </w:r>
      <w:r>
        <w:t xml:space="preserve"> </w:t>
      </w:r>
      <w:r>
        <w:rPr>
          <w:lang w:val="en-US"/>
        </w:rPr>
        <w:t>Based on an historical growth rate from COKI data.</w:t>
      </w:r>
    </w:p>
  </w:footnote>
  <w:footnote w:id="18">
    <w:p w14:paraId="7C285F3E" w14:textId="713A039E" w:rsidR="00850228" w:rsidRDefault="00850228" w:rsidP="00850228">
      <w:pPr>
        <w:pStyle w:val="FootnoteText"/>
      </w:pPr>
      <w:r>
        <w:rPr>
          <w:rStyle w:val="FootnoteReference"/>
        </w:rPr>
        <w:footnoteRef/>
      </w:r>
      <w:r>
        <w:t xml:space="preserve"> CAUL, </w:t>
      </w:r>
      <w:r>
        <w:rPr>
          <w:i/>
          <w:iCs/>
        </w:rPr>
        <w:t>Read and publish agreements negotiated by CAUL-</w:t>
      </w:r>
      <w:r w:rsidRPr="00592CB5">
        <w:rPr>
          <w:i/>
          <w:iCs/>
        </w:rPr>
        <w:t>Elsevier</w:t>
      </w:r>
      <w:r>
        <w:t>.</w:t>
      </w:r>
    </w:p>
  </w:footnote>
  <w:footnote w:id="19">
    <w:p w14:paraId="33DAD37F" w14:textId="77777777" w:rsidR="00850228" w:rsidRDefault="00850228" w:rsidP="00850228">
      <w:pPr>
        <w:pStyle w:val="FootnoteText"/>
      </w:pPr>
      <w:r>
        <w:rPr>
          <w:rStyle w:val="FootnoteReference"/>
        </w:rPr>
        <w:footnoteRef/>
      </w:r>
      <w:r>
        <w:t xml:space="preserve"> </w:t>
      </w:r>
      <w:r w:rsidRPr="00FE3950">
        <w:t>https://www.cambridge.org/core/services/open-access-policies/read-and-publish-agreements/oa-agreement-caul</w:t>
      </w:r>
    </w:p>
  </w:footnote>
  <w:footnote w:id="20">
    <w:p w14:paraId="6CF08048" w14:textId="71740EA5" w:rsidR="00850228" w:rsidRDefault="00850228" w:rsidP="00850228">
      <w:pPr>
        <w:pStyle w:val="FootnoteText"/>
      </w:pPr>
      <w:r>
        <w:rPr>
          <w:rStyle w:val="FootnoteReference"/>
        </w:rPr>
        <w:footnoteRef/>
      </w:r>
      <w:r>
        <w:t xml:space="preserve">CAUL, </w:t>
      </w:r>
      <w:r>
        <w:rPr>
          <w:i/>
          <w:iCs/>
        </w:rPr>
        <w:t>Read and publish agreements negotiated by CAUL-CSIRO Publishing</w:t>
      </w:r>
      <w:r>
        <w:t>.</w:t>
      </w:r>
    </w:p>
  </w:footnote>
  <w:footnote w:id="21">
    <w:p w14:paraId="61763F7E" w14:textId="78F334E0" w:rsidR="00850228" w:rsidRDefault="00850228" w:rsidP="00850228">
      <w:pPr>
        <w:pStyle w:val="FootnoteText"/>
      </w:pPr>
      <w:r>
        <w:rPr>
          <w:rStyle w:val="FootnoteReference"/>
        </w:rPr>
        <w:footnoteRef/>
      </w:r>
      <w:r>
        <w:t xml:space="preserve"> CAUL, </w:t>
      </w:r>
      <w:r>
        <w:rPr>
          <w:i/>
          <w:iCs/>
        </w:rPr>
        <w:t>Read and publish agreements negotiated by CAUL-Wiley</w:t>
      </w:r>
      <w:r>
        <w:t>.</w:t>
      </w:r>
    </w:p>
  </w:footnote>
  <w:footnote w:id="22">
    <w:p w14:paraId="106EB000" w14:textId="77777777" w:rsidR="00850228" w:rsidRDefault="00850228" w:rsidP="00850228">
      <w:pPr>
        <w:pStyle w:val="FootnoteText"/>
      </w:pPr>
      <w:r>
        <w:rPr>
          <w:rStyle w:val="FootnoteReference"/>
        </w:rPr>
        <w:footnoteRef/>
      </w:r>
      <w:r>
        <w:t xml:space="preserve"> Australian Research Council, </w:t>
      </w:r>
      <w:r w:rsidRPr="00592CB5">
        <w:rPr>
          <w:i/>
        </w:rPr>
        <w:t xml:space="preserve">Open Access </w:t>
      </w:r>
      <w:r w:rsidRPr="00592CB5">
        <w:rPr>
          <w:i/>
          <w:iCs/>
        </w:rPr>
        <w:t>Policy</w:t>
      </w:r>
      <w:r>
        <w:t>, 2013, Australian Research Council.</w:t>
      </w:r>
    </w:p>
  </w:footnote>
  <w:footnote w:id="23">
    <w:p w14:paraId="3CF2DA12" w14:textId="10C451FC" w:rsidR="004B0509" w:rsidRPr="002B7B55" w:rsidRDefault="004B0509" w:rsidP="004B0509">
      <w:pPr>
        <w:pStyle w:val="FootnoteText"/>
      </w:pPr>
      <w:r>
        <w:rPr>
          <w:rStyle w:val="FootnoteReference"/>
        </w:rPr>
        <w:footnoteRef/>
      </w:r>
      <w:r>
        <w:t xml:space="preserve"> Nature 2022, </w:t>
      </w:r>
      <w:r>
        <w:rPr>
          <w:i/>
          <w:iCs/>
        </w:rPr>
        <w:t xml:space="preserve">US </w:t>
      </w:r>
      <w:r w:rsidR="007E12C9">
        <w:rPr>
          <w:i/>
          <w:iCs/>
        </w:rPr>
        <w:t>G</w:t>
      </w:r>
      <w:r>
        <w:rPr>
          <w:i/>
          <w:iCs/>
        </w:rPr>
        <w:t xml:space="preserve">overnment reveals big changes to open-access policy, </w:t>
      </w:r>
      <w:r>
        <w:t>viewed September 2022</w:t>
      </w:r>
      <w:r w:rsidR="007E12C9">
        <w:t>.</w:t>
      </w:r>
    </w:p>
  </w:footnote>
  <w:footnote w:id="24">
    <w:p w14:paraId="355118A1" w14:textId="73B7EC45" w:rsidR="004B0509" w:rsidRDefault="004B0509" w:rsidP="004B0509">
      <w:pPr>
        <w:pStyle w:val="FootnoteText"/>
      </w:pPr>
      <w:r>
        <w:rPr>
          <w:rStyle w:val="FootnoteReference"/>
        </w:rPr>
        <w:footnoteRef/>
      </w:r>
      <w:r>
        <w:t xml:space="preserve"> There are other open access models </w:t>
      </w:r>
      <w:r w:rsidR="003F17B1">
        <w:t>in</w:t>
      </w:r>
      <w:r>
        <w:t xml:space="preserve"> the U</w:t>
      </w:r>
      <w:r w:rsidR="00F911E5">
        <w:t>nited States</w:t>
      </w:r>
      <w:r>
        <w:t>, including individual universities negotiating transformative agreements with publishe</w:t>
      </w:r>
      <w:r w:rsidR="003F17B1">
        <w:t>r</w:t>
      </w:r>
      <w:r w:rsidR="00AA24E4">
        <w:t>s</w:t>
      </w:r>
      <w:r w:rsidR="007E12C9">
        <w:t>.</w:t>
      </w:r>
    </w:p>
  </w:footnote>
  <w:footnote w:id="25">
    <w:p w14:paraId="6BD52E20" w14:textId="1A6626EC" w:rsidR="00D77C7E" w:rsidRDefault="00D77C7E">
      <w:pPr>
        <w:pStyle w:val="FootnoteText"/>
      </w:pPr>
      <w:r>
        <w:rPr>
          <w:rStyle w:val="FootnoteReference"/>
        </w:rPr>
        <w:footnoteRef/>
      </w:r>
      <w:r>
        <w:t xml:space="preserve"> Natalia, N, Rycko, N, Seiwicz, K &amp; Szprot, J 2021, </w:t>
      </w:r>
      <w:r>
        <w:rPr>
          <w:i/>
          <w:iCs/>
        </w:rPr>
        <w:t>Transformative Agreement: Overview, Case Studies, and Legal Analysis</w:t>
      </w:r>
      <w:r>
        <w:t>, Wydawnictiwa ICM Wasszawa</w:t>
      </w:r>
      <w:r w:rsidR="007E12C9">
        <w:t>.</w:t>
      </w:r>
    </w:p>
  </w:footnote>
  <w:footnote w:id="26">
    <w:p w14:paraId="23DB6686" w14:textId="39B78B12" w:rsidR="00F512F0" w:rsidRDefault="00F512F0">
      <w:pPr>
        <w:pStyle w:val="FootnoteText"/>
      </w:pPr>
      <w:r>
        <w:rPr>
          <w:rStyle w:val="FootnoteReference"/>
        </w:rPr>
        <w:footnoteRef/>
      </w:r>
      <w:r>
        <w:t xml:space="preserve"> </w:t>
      </w:r>
      <w:r w:rsidR="00272BC8">
        <w:t xml:space="preserve">Open Access, </w:t>
      </w:r>
      <w:r w:rsidR="00272BC8">
        <w:rPr>
          <w:i/>
          <w:iCs/>
        </w:rPr>
        <w:t xml:space="preserve">National open access strategy, </w:t>
      </w:r>
      <w:r w:rsidR="00272BC8">
        <w:t>viewed June 2022, Swiss National Science Foundation</w:t>
      </w:r>
      <w:r w:rsidR="00F911E5">
        <w:t>.</w:t>
      </w:r>
    </w:p>
  </w:footnote>
  <w:footnote w:id="27">
    <w:p w14:paraId="0FEC852D" w14:textId="74726821" w:rsidR="004718B2" w:rsidRDefault="004718B2">
      <w:pPr>
        <w:pStyle w:val="FootnoteText"/>
      </w:pPr>
      <w:r>
        <w:rPr>
          <w:rStyle w:val="FootnoteReference"/>
        </w:rPr>
        <w:footnoteRef/>
      </w:r>
      <w:r>
        <w:t xml:space="preserve"> Natalia, N, Rycko, N, Seiwicz, K &amp; Szprot, J 2021, </w:t>
      </w:r>
      <w:r>
        <w:rPr>
          <w:i/>
          <w:iCs/>
        </w:rPr>
        <w:t>Transformative Agreement: Overview, Case Studies, and Legal Analysis</w:t>
      </w:r>
      <w:r>
        <w:t>, Wydawnictiwa ICM Wasszawa</w:t>
      </w:r>
      <w:r w:rsidR="00F911E5">
        <w:t>.</w:t>
      </w:r>
    </w:p>
  </w:footnote>
  <w:footnote w:id="28">
    <w:p w14:paraId="7A0CD17B" w14:textId="178493A0" w:rsidR="00D77C7E" w:rsidRDefault="00D77C7E">
      <w:pPr>
        <w:pStyle w:val="FootnoteText"/>
      </w:pPr>
      <w:r>
        <w:rPr>
          <w:rStyle w:val="FootnoteReference"/>
        </w:rPr>
        <w:footnoteRef/>
      </w:r>
      <w:r>
        <w:t xml:space="preserve"> Nature 2020, </w:t>
      </w:r>
      <w:r w:rsidR="00AB5562">
        <w:rPr>
          <w:i/>
          <w:iCs/>
        </w:rPr>
        <w:t>India pushes bold ‘one nation, one subscription’ journal-access plan,</w:t>
      </w:r>
      <w:r w:rsidR="00AB5562">
        <w:t xml:space="preserve"> viewed September 2020</w:t>
      </w:r>
      <w:r w:rsidR="00983417">
        <w:t>.</w:t>
      </w:r>
    </w:p>
    <w:p w14:paraId="0C65B2EA" w14:textId="77777777" w:rsidR="00983417" w:rsidRPr="00AB5562" w:rsidRDefault="00983417">
      <w:pPr>
        <w:pStyle w:val="FootnoteText"/>
      </w:pPr>
    </w:p>
  </w:footnote>
  <w:footnote w:id="29">
    <w:p w14:paraId="7FED65FB" w14:textId="77777777" w:rsidR="00BC18B3" w:rsidRDefault="00BC18B3" w:rsidP="00BC18B3">
      <w:pPr>
        <w:pStyle w:val="FootnoteText"/>
      </w:pPr>
      <w:r>
        <w:rPr>
          <w:rStyle w:val="FootnoteReference"/>
        </w:rPr>
        <w:footnoteRef/>
      </w:r>
      <w:r>
        <w:t xml:space="preserve"> While open access enables individuals to access information, it does not support individuals to comprehend academic literature to the same level. </w:t>
      </w:r>
    </w:p>
  </w:footnote>
  <w:footnote w:id="30">
    <w:p w14:paraId="516E4099" w14:textId="6062A77A" w:rsidR="00BC18B3" w:rsidRDefault="00BC18B3" w:rsidP="00BC18B3">
      <w:pPr>
        <w:pStyle w:val="FootnoteText"/>
      </w:pPr>
      <w:r>
        <w:rPr>
          <w:rStyle w:val="FootnoteReference"/>
        </w:rPr>
        <w:footnoteRef/>
      </w:r>
      <w:r>
        <w:t xml:space="preserve"> Citizen science is the practice of public participation and collaboration in the scientific research to increase scientific knowledge</w:t>
      </w:r>
      <w:r w:rsidR="00640AB4">
        <w:t>.</w:t>
      </w:r>
    </w:p>
  </w:footnote>
  <w:footnote w:id="31">
    <w:p w14:paraId="0DB11583" w14:textId="22B58119" w:rsidR="00BC18B3" w:rsidRDefault="00BC18B3" w:rsidP="00BC18B3">
      <w:pPr>
        <w:pStyle w:val="FootnoteText"/>
      </w:pPr>
      <w:r>
        <w:rPr>
          <w:rStyle w:val="FootnoteReference"/>
        </w:rPr>
        <w:footnoteRef/>
      </w:r>
      <w:r>
        <w:t xml:space="preserve"> </w:t>
      </w:r>
      <w:r w:rsidR="00592CB5">
        <w:t xml:space="preserve">The Strategist, </w:t>
      </w:r>
      <w:proofErr w:type="gramStart"/>
      <w:r w:rsidR="00592CB5" w:rsidRPr="00592CB5">
        <w:rPr>
          <w:i/>
          <w:iCs/>
        </w:rPr>
        <w:t>What</w:t>
      </w:r>
      <w:proofErr w:type="gramEnd"/>
      <w:r w:rsidR="00592CB5" w:rsidRPr="00592CB5">
        <w:rPr>
          <w:i/>
          <w:iCs/>
        </w:rPr>
        <w:t xml:space="preserve"> does social cohesion mean in Australia?</w:t>
      </w:r>
      <w:r w:rsidR="00592CB5">
        <w:t xml:space="preserve"> September 2021, Australian Strategic Policy Institute</w:t>
      </w:r>
      <w:r w:rsidR="003A5F4F">
        <w:t>.</w:t>
      </w:r>
    </w:p>
  </w:footnote>
  <w:footnote w:id="32">
    <w:p w14:paraId="1182F33F" w14:textId="7B1F2C56" w:rsidR="009F308E" w:rsidRPr="00633104" w:rsidRDefault="009F308E">
      <w:pPr>
        <w:pStyle w:val="FootnoteText"/>
      </w:pPr>
      <w:r>
        <w:rPr>
          <w:rStyle w:val="FootnoteReference"/>
        </w:rPr>
        <w:footnoteRef/>
      </w:r>
      <w:r>
        <w:t xml:space="preserve"> </w:t>
      </w:r>
      <w:r w:rsidR="00904BCB">
        <w:t xml:space="preserve">Natalia, </w:t>
      </w:r>
      <w:r w:rsidR="00E15D14">
        <w:t>N</w:t>
      </w:r>
      <w:r w:rsidR="00AD46FA">
        <w:t>, Rycko, N, Seiwicz</w:t>
      </w:r>
      <w:r w:rsidR="003A53E7">
        <w:t xml:space="preserve">, K &amp; Szprot, J 2021, </w:t>
      </w:r>
      <w:r w:rsidR="003A53E7">
        <w:rPr>
          <w:i/>
          <w:iCs/>
        </w:rPr>
        <w:t>Transformative Agreement: Overview, Case Studies, and Legal Analysis</w:t>
      </w:r>
      <w:r w:rsidR="00633104">
        <w:t>, Wy</w:t>
      </w:r>
      <w:r w:rsidR="00D21ED3">
        <w:t>dawnictiwa ICM Wasszawa</w:t>
      </w:r>
      <w:r w:rsidR="00BF44E4">
        <w:t>.</w:t>
      </w:r>
    </w:p>
  </w:footnote>
  <w:footnote w:id="33">
    <w:p w14:paraId="393875D9" w14:textId="1B48352E" w:rsidR="007D7B54" w:rsidRPr="00007DEF" w:rsidRDefault="007D7B54">
      <w:pPr>
        <w:pStyle w:val="FootnoteText"/>
      </w:pPr>
      <w:r>
        <w:rPr>
          <w:rStyle w:val="FootnoteReference"/>
        </w:rPr>
        <w:footnoteRef/>
      </w:r>
      <w:r>
        <w:t xml:space="preserve"> </w:t>
      </w:r>
      <w:r w:rsidR="0063254C">
        <w:t>CAUL Statistical Services</w:t>
      </w:r>
      <w:r w:rsidR="001715FC">
        <w:t xml:space="preserve">, </w:t>
      </w:r>
      <w:r w:rsidR="00192F40">
        <w:rPr>
          <w:i/>
          <w:iCs/>
        </w:rPr>
        <w:t xml:space="preserve">CAUL Analytics Portfolio, </w:t>
      </w:r>
      <w:r w:rsidR="00007DEF">
        <w:t>viewed 20 July 2022</w:t>
      </w:r>
      <w:r w:rsidR="003A0FC4">
        <w:t xml:space="preserve">, </w:t>
      </w:r>
      <w:r w:rsidR="003A0FC4" w:rsidRPr="003A0FC4">
        <w:t>https://www.caul.edu.au/programs-projects/statistics-services</w:t>
      </w:r>
    </w:p>
  </w:footnote>
  <w:footnote w:id="34">
    <w:p w14:paraId="2A539751" w14:textId="2486B0CA" w:rsidR="00014AB5" w:rsidRPr="00D26493" w:rsidRDefault="00014AB5" w:rsidP="00D26493">
      <w:pPr>
        <w:pStyle w:val="FootnoteText"/>
        <w:tabs>
          <w:tab w:val="left" w:pos="3645"/>
        </w:tabs>
      </w:pPr>
      <w:r>
        <w:rPr>
          <w:rStyle w:val="FootnoteReference"/>
        </w:rPr>
        <w:footnoteRef/>
      </w:r>
      <w:r>
        <w:t xml:space="preserve"> </w:t>
      </w:r>
      <w:r w:rsidR="0096463E">
        <w:t>Coalition S</w:t>
      </w:r>
      <w:r w:rsidR="00E86D59">
        <w:t>, ‘</w:t>
      </w:r>
      <w:r w:rsidR="00E86D59">
        <w:rPr>
          <w:i/>
          <w:iCs/>
        </w:rPr>
        <w:t>Plan S Principles’</w:t>
      </w:r>
      <w:r w:rsidR="00D26493">
        <w:t>, accessed September 2022, &lt;</w:t>
      </w:r>
      <w:r w:rsidR="00A142EB" w:rsidRPr="00A142EB">
        <w:t>https://www.coalition-s.org/plan_s_principles/</w:t>
      </w:r>
      <w:r w:rsidR="00A142EB">
        <w:t>&gt;</w:t>
      </w:r>
    </w:p>
  </w:footnote>
  <w:footnote w:id="35">
    <w:p w14:paraId="127863EF" w14:textId="5B40CECF" w:rsidR="00303A0F" w:rsidRPr="00AC51DE" w:rsidRDefault="00303A0F" w:rsidP="00303A0F">
      <w:pPr>
        <w:pStyle w:val="FootnoteText"/>
      </w:pPr>
      <w:r>
        <w:rPr>
          <w:rStyle w:val="FootnoteReference"/>
        </w:rPr>
        <w:footnoteRef/>
      </w:r>
      <w:r>
        <w:t xml:space="preserve"> Jisc scholarly communications, </w:t>
      </w:r>
      <w:r>
        <w:rPr>
          <w:i/>
          <w:iCs/>
        </w:rPr>
        <w:t>‘CORE becomes the world’s largest aggregator’</w:t>
      </w:r>
      <w:r>
        <w:t>, accessed September 2022, &lt;</w:t>
      </w:r>
      <w:r w:rsidRPr="001658ED">
        <w:t xml:space="preserve"> https://scholarlycommunications.jiscinvolve.org/wp/2018/06/01/core-becomes-the-worlds-largest-aggregator/</w:t>
      </w:r>
      <w:r>
        <w:t>&gt;</w:t>
      </w:r>
    </w:p>
  </w:footnote>
  <w:footnote w:id="36">
    <w:p w14:paraId="4CE816FD" w14:textId="5090E584" w:rsidR="00D0137B" w:rsidRPr="00F72529" w:rsidRDefault="00D0137B" w:rsidP="00D0137B">
      <w:pPr>
        <w:pStyle w:val="FootnoteText"/>
      </w:pPr>
      <w:r>
        <w:rPr>
          <w:rStyle w:val="FootnoteReference"/>
        </w:rPr>
        <w:footnoteRef/>
      </w:r>
      <w:r>
        <w:t xml:space="preserve"> D-lib Magazine, </w:t>
      </w:r>
      <w:r>
        <w:rPr>
          <w:i/>
          <w:iCs/>
        </w:rPr>
        <w:t>‘</w:t>
      </w:r>
      <w:r w:rsidR="002E53F8">
        <w:rPr>
          <w:i/>
          <w:iCs/>
        </w:rPr>
        <w:t>Institutional</w:t>
      </w:r>
      <w:r>
        <w:rPr>
          <w:i/>
          <w:iCs/>
        </w:rPr>
        <w:t xml:space="preserve"> </w:t>
      </w:r>
      <w:r w:rsidR="002E53F8">
        <w:rPr>
          <w:i/>
          <w:iCs/>
        </w:rPr>
        <w:t>repositories</w:t>
      </w:r>
      <w:r>
        <w:rPr>
          <w:i/>
          <w:iCs/>
        </w:rPr>
        <w:t>: Exploration of Costs and Value’</w:t>
      </w:r>
      <w:r>
        <w:t xml:space="preserve">, accessed </w:t>
      </w:r>
      <w:r w:rsidR="002E53F8">
        <w:t>September</w:t>
      </w:r>
      <w:r>
        <w:t xml:space="preserve"> 2022, &lt;</w:t>
      </w:r>
      <w:r w:rsidRPr="00032AC3">
        <w:t>https://www.dlib.org/dlib/january13/burns/01burns.html</w:t>
      </w:r>
      <w: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7991B" w14:textId="77777777" w:rsidR="001F6E0E" w:rsidRDefault="001F6E0E">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48048" w14:textId="002AEC49" w:rsidR="0059112A" w:rsidRDefault="0059112A" w:rsidP="00477AFA">
    <w:pPr>
      <w:pStyle w:val="Header"/>
      <w:rPr>
        <w:noProof/>
      </w:rPr>
    </w:pPr>
    <w:r>
      <w:rPr>
        <w:noProof/>
      </w:rPr>
      <w:drawing>
        <wp:anchor distT="0" distB="0" distL="114300" distR="114300" simplePos="0" relativeHeight="251658240" behindDoc="1" locked="0" layoutInCell="1" allowOverlap="1" wp14:anchorId="6750B515" wp14:editId="249F125F">
          <wp:simplePos x="0" y="0"/>
          <wp:positionH relativeFrom="page">
            <wp:align>left</wp:align>
          </wp:positionH>
          <wp:positionV relativeFrom="paragraph">
            <wp:posOffset>-450215</wp:posOffset>
          </wp:positionV>
          <wp:extent cx="7632700" cy="10696647"/>
          <wp:effectExtent l="0" t="0" r="635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1">
                    <a:extLst>
                      <a:ext uri="{28A0092B-C50C-407E-A947-70E740481C1C}">
                        <a14:useLocalDpi xmlns:a14="http://schemas.microsoft.com/office/drawing/2010/main" val="0"/>
                      </a:ext>
                    </a:extLst>
                  </a:blip>
                  <a:srcRect l="14342" r="14342"/>
                  <a:stretch>
                    <a:fillRect/>
                  </a:stretch>
                </pic:blipFill>
                <pic:spPr bwMode="auto">
                  <a:xfrm>
                    <a:off x="0" y="0"/>
                    <a:ext cx="7632700" cy="106966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7185FF" w14:textId="72068BB7" w:rsidR="00726CED" w:rsidRDefault="00726CED" w:rsidP="00477AFA">
    <w:pPr>
      <w:pStyle w:val="Header"/>
      <w:rPr>
        <w:noProof/>
      </w:rPr>
    </w:pPr>
  </w:p>
  <w:p w14:paraId="01FE6C81" w14:textId="4666E033" w:rsidR="004E5F19" w:rsidRDefault="004E5F19" w:rsidP="00477AFA">
    <w:pPr>
      <w:pStyle w:val="Header"/>
      <w:rPr>
        <w:noProof/>
      </w:rPr>
    </w:pPr>
  </w:p>
  <w:p w14:paraId="6078F451" w14:textId="79CDE957" w:rsidR="00EA127B" w:rsidRDefault="00EA127B" w:rsidP="00477AFA">
    <w:pPr>
      <w:pStyle w:val="Header"/>
      <w:rPr>
        <w:noProof/>
      </w:rPr>
    </w:pPr>
  </w:p>
  <w:p w14:paraId="43D84F61" w14:textId="1FD6DF59" w:rsidR="00C87BB9" w:rsidRDefault="00C87BB9" w:rsidP="00477AFA">
    <w:pPr>
      <w:pStyle w:val="Header"/>
      <w:rPr>
        <w:noProof/>
      </w:rPr>
    </w:pPr>
  </w:p>
  <w:p w14:paraId="522A6118" w14:textId="196F738E" w:rsidR="00C87BB9" w:rsidRDefault="00C87BB9" w:rsidP="00477AFA">
    <w:pPr>
      <w:pStyle w:val="Header"/>
      <w:rPr>
        <w:noProof/>
      </w:rPr>
    </w:pPr>
  </w:p>
  <w:p w14:paraId="7E42E165" w14:textId="43BBB5E8" w:rsidR="004252C3" w:rsidRDefault="004252C3" w:rsidP="00477AFA">
    <w:pPr>
      <w:pStyle w:val="Header"/>
      <w:rPr>
        <w:noProof/>
      </w:rPr>
    </w:pPr>
  </w:p>
  <w:p w14:paraId="1B1CFE6C" w14:textId="1E57F4E3" w:rsidR="004252C3" w:rsidRDefault="004252C3" w:rsidP="00477AFA">
    <w:pPr>
      <w:pStyle w:val="Header"/>
      <w:rPr>
        <w:noProof/>
      </w:rPr>
    </w:pPr>
  </w:p>
  <w:p w14:paraId="32BF02EC" w14:textId="6994E48C" w:rsidR="004252C3" w:rsidRDefault="004252C3" w:rsidP="00477AFA">
    <w:pPr>
      <w:pStyle w:val="Header"/>
      <w:rPr>
        <w:noProof/>
      </w:rPr>
    </w:pPr>
  </w:p>
  <w:p w14:paraId="08A0C3B4" w14:textId="03B525A3" w:rsidR="004252C3" w:rsidRDefault="004252C3" w:rsidP="00477AFA">
    <w:pPr>
      <w:pStyle w:val="Header"/>
      <w:rPr>
        <w:noProof/>
      </w:rPr>
    </w:pPr>
  </w:p>
  <w:p w14:paraId="70917636" w14:textId="6DD0138B" w:rsidR="001F6E0E" w:rsidRPr="00477AFA" w:rsidRDefault="001F6E0E" w:rsidP="00477AFA">
    <w:pPr>
      <w:pStyle w:val="Header"/>
    </w:pPr>
    <w:r>
      <w:rPr>
        <w:noProof/>
        <w:lang w:eastAsia="en-AU"/>
      </w:rPr>
      <mc:AlternateContent>
        <mc:Choice Requires="wps">
          <w:drawing>
            <wp:anchor distT="0" distB="0" distL="114300" distR="114300" simplePos="0" relativeHeight="251658241" behindDoc="1" locked="0" layoutInCell="1" allowOverlap="1" wp14:anchorId="0DC3FC4E" wp14:editId="18D06312">
              <wp:simplePos x="0" y="0"/>
              <wp:positionH relativeFrom="page">
                <wp:posOffset>435610</wp:posOffset>
              </wp:positionH>
              <wp:positionV relativeFrom="page">
                <wp:posOffset>659130</wp:posOffset>
              </wp:positionV>
              <wp:extent cx="3668400" cy="4244400"/>
              <wp:effectExtent l="0" t="0" r="8255" b="3810"/>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8400" cy="4244400"/>
                      </a:xfrm>
                      <a:custGeom>
                        <a:avLst/>
                        <a:gdLst>
                          <a:gd name="T0" fmla="*/ 0 w 2074"/>
                          <a:gd name="T1" fmla="*/ 367 h 3182"/>
                          <a:gd name="T2" fmla="*/ 0 w 2074"/>
                          <a:gd name="T3" fmla="*/ 3182 h 3182"/>
                          <a:gd name="T4" fmla="*/ 2074 w 2074"/>
                          <a:gd name="T5" fmla="*/ 3182 h 3182"/>
                          <a:gd name="T6" fmla="*/ 2074 w 2074"/>
                          <a:gd name="T7" fmla="*/ 0 h 3182"/>
                          <a:gd name="T8" fmla="*/ 0 w 2074"/>
                          <a:gd name="T9" fmla="*/ 367 h 3182"/>
                          <a:gd name="connsiteX0" fmla="*/ 0 w 10000"/>
                          <a:gd name="connsiteY0" fmla="*/ 1153 h 10000"/>
                          <a:gd name="connsiteX1" fmla="*/ 0 w 10000"/>
                          <a:gd name="connsiteY1" fmla="*/ 8036 h 10000"/>
                          <a:gd name="connsiteX2" fmla="*/ 10000 w 10000"/>
                          <a:gd name="connsiteY2" fmla="*/ 10000 h 10000"/>
                          <a:gd name="connsiteX3" fmla="*/ 10000 w 10000"/>
                          <a:gd name="connsiteY3" fmla="*/ 0 h 10000"/>
                          <a:gd name="connsiteX4" fmla="*/ 0 w 10000"/>
                          <a:gd name="connsiteY4" fmla="*/ 1153 h 10000"/>
                          <a:gd name="connsiteX0" fmla="*/ 0 w 10000"/>
                          <a:gd name="connsiteY0" fmla="*/ 1153 h 8085"/>
                          <a:gd name="connsiteX1" fmla="*/ 0 w 10000"/>
                          <a:gd name="connsiteY1" fmla="*/ 8036 h 8085"/>
                          <a:gd name="connsiteX2" fmla="*/ 10000 w 10000"/>
                          <a:gd name="connsiteY2" fmla="*/ 8085 h 8085"/>
                          <a:gd name="connsiteX3" fmla="*/ 10000 w 10000"/>
                          <a:gd name="connsiteY3" fmla="*/ 0 h 8085"/>
                          <a:gd name="connsiteX4" fmla="*/ 0 w 10000"/>
                          <a:gd name="connsiteY4" fmla="*/ 1153 h 8085"/>
                          <a:gd name="connsiteX0" fmla="*/ 0 w 10000"/>
                          <a:gd name="connsiteY0" fmla="*/ 1426 h 10000"/>
                          <a:gd name="connsiteX1" fmla="*/ 0 w 10000"/>
                          <a:gd name="connsiteY1" fmla="*/ 9939 h 10000"/>
                          <a:gd name="connsiteX2" fmla="*/ 10000 w 10000"/>
                          <a:gd name="connsiteY2" fmla="*/ 10000 h 10000"/>
                          <a:gd name="connsiteX3" fmla="*/ 10000 w 10000"/>
                          <a:gd name="connsiteY3" fmla="*/ 0 h 10000"/>
                          <a:gd name="connsiteX4" fmla="*/ 0 w 10000"/>
                          <a:gd name="connsiteY4" fmla="*/ 1426 h 10000"/>
                          <a:gd name="connsiteX0" fmla="*/ 0 w 10000"/>
                          <a:gd name="connsiteY0" fmla="*/ 1426 h 10000"/>
                          <a:gd name="connsiteX1" fmla="*/ 0 w 10000"/>
                          <a:gd name="connsiteY1" fmla="*/ 9939 h 10000"/>
                          <a:gd name="connsiteX2" fmla="*/ 10000 w 10000"/>
                          <a:gd name="connsiteY2" fmla="*/ 10000 h 10000"/>
                          <a:gd name="connsiteX3" fmla="*/ 10000 w 10000"/>
                          <a:gd name="connsiteY3" fmla="*/ 0 h 10000"/>
                          <a:gd name="connsiteX4" fmla="*/ 0 w 10000"/>
                          <a:gd name="connsiteY4" fmla="*/ 1426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426"/>
                            </a:moveTo>
                            <a:lnTo>
                              <a:pt x="0" y="9939"/>
                            </a:lnTo>
                            <a:lnTo>
                              <a:pt x="10000" y="10000"/>
                            </a:lnTo>
                            <a:lnTo>
                              <a:pt x="10000" y="0"/>
                            </a:lnTo>
                            <a:lnTo>
                              <a:pt x="0" y="142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BB632AD">
            <v:shape id="Freeform 23" style="position:absolute;margin-left:34.3pt;margin-top:51.9pt;width:288.85pt;height:334.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0,10000" o:spid="_x0000_s1026" fillcolor="#ffe600" stroked="f" path="m,1426l,9939r10000,61l10000,,,14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" w14:anchorId="15B5C306">
              <v:path arrowok="t" o:connecttype="custom" o:connectlocs="0,605251;0,4218509;3668400,4244400;3668400,0;0,605251" o:connectangles="0,0,0,0,0"/>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CB3AF" w14:textId="77777777" w:rsidR="001F6E0E" w:rsidRDefault="001F6E0E">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23D79" w14:textId="77777777" w:rsidR="001F6E0E" w:rsidRPr="00AF3DA7" w:rsidRDefault="001F6E0E" w:rsidP="00AF3D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85383" w14:textId="77777777" w:rsidR="001F6E0E" w:rsidRPr="00E462BE" w:rsidRDefault="001F6E0E" w:rsidP="00E1705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F91A2" w14:textId="77777777" w:rsidR="001F6E0E" w:rsidRPr="00094D83" w:rsidRDefault="001F6E0E" w:rsidP="00E170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310E0"/>
    <w:multiLevelType w:val="hybridMultilevel"/>
    <w:tmpl w:val="4ADE8542"/>
    <w:lvl w:ilvl="0" w:tplc="0C09000F">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 w15:restartNumberingAfterBreak="0">
    <w:nsid w:val="03C2635B"/>
    <w:multiLevelType w:val="multilevel"/>
    <w:tmpl w:val="BE0EC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514A8"/>
    <w:multiLevelType w:val="multilevel"/>
    <w:tmpl w:val="A6046D46"/>
    <w:lvl w:ilvl="0">
      <w:start w:val="1"/>
      <w:numFmt w:val="decimal"/>
      <w:lvlRestart w:val="0"/>
      <w:pStyle w:val="EYHeading1"/>
      <w:lvlText w:val="%1."/>
      <w:lvlJc w:val="left"/>
      <w:pPr>
        <w:ind w:left="851" w:hanging="851"/>
      </w:pPr>
      <w:rPr>
        <w:rFonts w:ascii="EYInterstate Light" w:hAnsi="EYInterstate Light" w:hint="default"/>
        <w:b/>
        <w:i w:val="0"/>
        <w:color w:val="747480"/>
        <w:sz w:val="32"/>
      </w:rPr>
    </w:lvl>
    <w:lvl w:ilvl="1">
      <w:start w:val="1"/>
      <w:numFmt w:val="decimal"/>
      <w:pStyle w:val="EYHeading2"/>
      <w:lvlText w:val="%1.%2"/>
      <w:lvlJc w:val="left"/>
      <w:pPr>
        <w:tabs>
          <w:tab w:val="num" w:pos="0"/>
        </w:tabs>
        <w:ind w:left="851" w:hanging="851"/>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851" w:hanging="851"/>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851" w:hanging="851"/>
      </w:pPr>
      <w:rPr>
        <w:rFonts w:ascii="EYInterstate Light" w:hAnsi="EYInterstate Light" w:hint="default"/>
        <w:b/>
        <w:i w:val="0"/>
        <w:color w:val="000000"/>
        <w:sz w:val="22"/>
      </w:rPr>
    </w:lvl>
    <w:lvl w:ilvl="4">
      <w:start w:val="1"/>
      <w:numFmt w:val="none"/>
      <w:lvlText w:val=""/>
      <w:lvlJc w:val="left"/>
      <w:pPr>
        <w:tabs>
          <w:tab w:val="num" w:pos="0"/>
        </w:tabs>
        <w:ind w:left="851" w:hanging="851"/>
      </w:pPr>
      <w:rPr>
        <w:rFonts w:hint="default"/>
      </w:rPr>
    </w:lvl>
    <w:lvl w:ilvl="5">
      <w:start w:val="1"/>
      <w:numFmt w:val="none"/>
      <w:lvlText w:val=""/>
      <w:lvlJc w:val="left"/>
      <w:pPr>
        <w:tabs>
          <w:tab w:val="num" w:pos="0"/>
        </w:tabs>
        <w:ind w:left="851" w:hanging="851"/>
      </w:pPr>
      <w:rPr>
        <w:rFonts w:hint="default"/>
      </w:rPr>
    </w:lvl>
    <w:lvl w:ilvl="6">
      <w:start w:val="1"/>
      <w:numFmt w:val="none"/>
      <w:lvlText w:val=""/>
      <w:lvlJc w:val="left"/>
      <w:pPr>
        <w:tabs>
          <w:tab w:val="num" w:pos="0"/>
        </w:tabs>
        <w:ind w:left="851" w:hanging="851"/>
      </w:pPr>
      <w:rPr>
        <w:rFonts w:hint="default"/>
      </w:rPr>
    </w:lvl>
    <w:lvl w:ilvl="7">
      <w:start w:val="1"/>
      <w:numFmt w:val="none"/>
      <w:lvlText w:val=""/>
      <w:lvlJc w:val="left"/>
      <w:pPr>
        <w:tabs>
          <w:tab w:val="num" w:pos="0"/>
        </w:tabs>
        <w:ind w:left="851" w:hanging="851"/>
      </w:pPr>
      <w:rPr>
        <w:rFonts w:hint="default"/>
      </w:rPr>
    </w:lvl>
    <w:lvl w:ilvl="8">
      <w:start w:val="1"/>
      <w:numFmt w:val="none"/>
      <w:lvlText w:val=""/>
      <w:lvlJc w:val="left"/>
      <w:pPr>
        <w:tabs>
          <w:tab w:val="num" w:pos="0"/>
        </w:tabs>
        <w:ind w:left="851" w:hanging="851"/>
      </w:pPr>
      <w:rPr>
        <w:rFonts w:hint="default"/>
      </w:rPr>
    </w:lvl>
  </w:abstractNum>
  <w:abstractNum w:abstractNumId="3" w15:restartNumberingAfterBreak="0">
    <w:nsid w:val="0706247E"/>
    <w:multiLevelType w:val="hybridMultilevel"/>
    <w:tmpl w:val="7F66D98A"/>
    <w:lvl w:ilvl="0" w:tplc="0C09000F">
      <w:start w:val="1"/>
      <w:numFmt w:val="decimal"/>
      <w:lvlText w:val="%1."/>
      <w:lvlJc w:val="left"/>
      <w:pPr>
        <w:ind w:left="785" w:hanging="360"/>
      </w:pPr>
      <w:rPr>
        <w:rFonts w:hint="default"/>
        <w:color w:val="000000" w:themeColor="background2"/>
        <w:sz w:val="16"/>
        <w:szCs w:val="24"/>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 w15:restartNumberingAfterBreak="0">
    <w:nsid w:val="091929EE"/>
    <w:multiLevelType w:val="hybridMultilevel"/>
    <w:tmpl w:val="89004162"/>
    <w:lvl w:ilvl="0" w:tplc="C62AB258">
      <w:start w:val="1"/>
      <w:numFmt w:val="bullet"/>
      <w:lvlText w:val="►"/>
      <w:lvlJc w:val="left"/>
      <w:pPr>
        <w:ind w:left="360" w:hanging="360"/>
      </w:pPr>
      <w:rPr>
        <w:rFonts w:ascii="Arial" w:hAnsi="Arial" w:cs="Times New Roman" w:hint="default"/>
        <w:color w:val="auto"/>
        <w:sz w:val="16"/>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024889"/>
    <w:multiLevelType w:val="hybridMultilevel"/>
    <w:tmpl w:val="EDBC0AC4"/>
    <w:lvl w:ilvl="0" w:tplc="C62AB258">
      <w:start w:val="1"/>
      <w:numFmt w:val="bullet"/>
      <w:lvlText w:val="►"/>
      <w:lvlJc w:val="left"/>
      <w:pPr>
        <w:ind w:left="720" w:hanging="360"/>
      </w:pPr>
      <w:rPr>
        <w:rFonts w:ascii="Arial" w:hAnsi="Arial" w:cs="Times New Roman" w:hint="default"/>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693867"/>
    <w:multiLevelType w:val="hybridMultilevel"/>
    <w:tmpl w:val="2D2418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E0C1854"/>
    <w:multiLevelType w:val="hybridMultilevel"/>
    <w:tmpl w:val="10BEB076"/>
    <w:lvl w:ilvl="0" w:tplc="C62AB258">
      <w:start w:val="1"/>
      <w:numFmt w:val="bullet"/>
      <w:lvlText w:val="►"/>
      <w:lvlJc w:val="left"/>
      <w:pPr>
        <w:ind w:left="720" w:hanging="360"/>
      </w:pPr>
      <w:rPr>
        <w:rFonts w:ascii="Arial" w:hAnsi="Arial" w:cs="Times New Roman" w:hint="default"/>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626FED"/>
    <w:multiLevelType w:val="hybridMultilevel"/>
    <w:tmpl w:val="A0F69E8C"/>
    <w:lvl w:ilvl="0" w:tplc="C62AB258">
      <w:start w:val="1"/>
      <w:numFmt w:val="bullet"/>
      <w:lvlText w:val="►"/>
      <w:lvlJc w:val="left"/>
      <w:pPr>
        <w:ind w:left="720" w:hanging="360"/>
      </w:pPr>
      <w:rPr>
        <w:rFonts w:ascii="Arial" w:hAnsi="Arial" w:cs="Times New Roman" w:hint="default"/>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AE65F6"/>
    <w:multiLevelType w:val="hybridMultilevel"/>
    <w:tmpl w:val="F688716C"/>
    <w:lvl w:ilvl="0" w:tplc="C62AB258">
      <w:start w:val="1"/>
      <w:numFmt w:val="bullet"/>
      <w:lvlText w:val="►"/>
      <w:lvlJc w:val="left"/>
      <w:pPr>
        <w:ind w:left="720" w:hanging="360"/>
      </w:pPr>
      <w:rPr>
        <w:rFonts w:ascii="Arial" w:hAnsi="Arial" w:cs="Times New Roman" w:hint="default"/>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43653B"/>
    <w:multiLevelType w:val="multilevel"/>
    <w:tmpl w:val="DA580762"/>
    <w:styleLink w:val="EYPlainBulletList"/>
    <w:lvl w:ilvl="0">
      <w:start w:val="1"/>
      <w:numFmt w:val="bullet"/>
      <w:lvlText w:val="►"/>
      <w:lvlJc w:val="left"/>
      <w:pPr>
        <w:ind w:left="850" w:hanging="425"/>
      </w:pPr>
      <w:rPr>
        <w:rFonts w:ascii="Arial" w:hAnsi="Arial" w:hint="default"/>
        <w:sz w:val="16"/>
      </w:rPr>
    </w:lvl>
    <w:lvl w:ilvl="1">
      <w:start w:val="1"/>
      <w:numFmt w:val="bullet"/>
      <w:lvlText w:val="►"/>
      <w:lvlJc w:val="left"/>
      <w:pPr>
        <w:ind w:left="1275" w:hanging="425"/>
      </w:pPr>
      <w:rPr>
        <w:rFonts w:ascii="Arial" w:hAnsi="Arial" w:hint="default"/>
        <w:sz w:val="16"/>
      </w:rPr>
    </w:lvl>
    <w:lvl w:ilvl="2">
      <w:start w:val="1"/>
      <w:numFmt w:val="bullet"/>
      <w:lvlText w:val="►"/>
      <w:lvlJc w:val="left"/>
      <w:pPr>
        <w:ind w:left="1700" w:hanging="425"/>
      </w:pPr>
      <w:rPr>
        <w:rFonts w:ascii="Arial" w:hAnsi="Arial" w:hint="default"/>
        <w:sz w:val="16"/>
      </w:rPr>
    </w:lvl>
    <w:lvl w:ilvl="3">
      <w:start w:val="1"/>
      <w:numFmt w:val="bullet"/>
      <w:lvlText w:val="►"/>
      <w:lvlJc w:val="left"/>
      <w:pPr>
        <w:ind w:left="2125" w:hanging="425"/>
      </w:pPr>
      <w:rPr>
        <w:rFonts w:ascii="Arial" w:hAnsi="Arial" w:hint="default"/>
        <w:sz w:val="16"/>
      </w:rPr>
    </w:lvl>
    <w:lvl w:ilvl="4">
      <w:start w:val="1"/>
      <w:numFmt w:val="bullet"/>
      <w:lvlText w:val="►"/>
      <w:lvlJc w:val="left"/>
      <w:pPr>
        <w:ind w:left="2550" w:hanging="425"/>
      </w:pPr>
      <w:rPr>
        <w:rFonts w:ascii="Arial" w:hAnsi="Arial" w:hint="default"/>
        <w:sz w:val="16"/>
      </w:rPr>
    </w:lvl>
    <w:lvl w:ilvl="5">
      <w:start w:val="1"/>
      <w:numFmt w:val="bullet"/>
      <w:lvlText w:val="►"/>
      <w:lvlJc w:val="left"/>
      <w:pPr>
        <w:ind w:left="2975" w:hanging="425"/>
      </w:pPr>
      <w:rPr>
        <w:rFonts w:ascii="Arial" w:hAnsi="Arial" w:hint="default"/>
        <w:sz w:val="16"/>
      </w:rPr>
    </w:lvl>
    <w:lvl w:ilvl="6">
      <w:start w:val="1"/>
      <w:numFmt w:val="bullet"/>
      <w:lvlText w:val="►"/>
      <w:lvlJc w:val="left"/>
      <w:pPr>
        <w:ind w:left="3400" w:hanging="425"/>
      </w:pPr>
      <w:rPr>
        <w:rFonts w:ascii="Arial" w:hAnsi="Arial" w:hint="default"/>
        <w:sz w:val="16"/>
      </w:rPr>
    </w:lvl>
    <w:lvl w:ilvl="7">
      <w:start w:val="1"/>
      <w:numFmt w:val="bullet"/>
      <w:lvlText w:val="►"/>
      <w:lvlJc w:val="left"/>
      <w:pPr>
        <w:ind w:left="3825" w:hanging="425"/>
      </w:pPr>
      <w:rPr>
        <w:rFonts w:ascii="Arial" w:hAnsi="Arial" w:hint="default"/>
        <w:sz w:val="16"/>
      </w:rPr>
    </w:lvl>
    <w:lvl w:ilvl="8">
      <w:start w:val="1"/>
      <w:numFmt w:val="bullet"/>
      <w:lvlText w:val="►"/>
      <w:lvlJc w:val="left"/>
      <w:pPr>
        <w:ind w:left="4250" w:hanging="425"/>
      </w:pPr>
      <w:rPr>
        <w:rFonts w:ascii="Arial" w:hAnsi="Arial" w:hint="default"/>
        <w:sz w:val="16"/>
      </w:rPr>
    </w:lvl>
  </w:abstractNum>
  <w:abstractNum w:abstractNumId="11" w15:restartNumberingAfterBreak="0">
    <w:nsid w:val="229A28CD"/>
    <w:multiLevelType w:val="hybridMultilevel"/>
    <w:tmpl w:val="B4F6D3EC"/>
    <w:lvl w:ilvl="0" w:tplc="8B0A63E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5E74702"/>
    <w:multiLevelType w:val="hybridMultilevel"/>
    <w:tmpl w:val="A31856B2"/>
    <w:lvl w:ilvl="0" w:tplc="C62AB258">
      <w:start w:val="1"/>
      <w:numFmt w:val="bullet"/>
      <w:lvlText w:val="►"/>
      <w:lvlJc w:val="left"/>
      <w:pPr>
        <w:ind w:left="720" w:hanging="360"/>
      </w:pPr>
      <w:rPr>
        <w:rFonts w:ascii="Arial" w:hAnsi="Arial" w:cs="Times New Roman" w:hint="default"/>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C5122C"/>
    <w:multiLevelType w:val="hybridMultilevel"/>
    <w:tmpl w:val="2A0ED7CE"/>
    <w:lvl w:ilvl="0" w:tplc="C62AB258">
      <w:start w:val="1"/>
      <w:numFmt w:val="bullet"/>
      <w:lvlText w:val="►"/>
      <w:lvlJc w:val="left"/>
      <w:pPr>
        <w:ind w:left="360" w:hanging="360"/>
      </w:pPr>
      <w:rPr>
        <w:rFonts w:ascii="Arial" w:hAnsi="Arial" w:cs="Times New Roman" w:hint="default"/>
        <w:color w:val="auto"/>
        <w:sz w:val="16"/>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9961E1A"/>
    <w:multiLevelType w:val="hybridMultilevel"/>
    <w:tmpl w:val="268AE1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C52691"/>
    <w:multiLevelType w:val="hybridMultilevel"/>
    <w:tmpl w:val="1D3AB89E"/>
    <w:lvl w:ilvl="0" w:tplc="6E8A0DB4">
      <w:start w:val="520"/>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B6474E"/>
    <w:multiLevelType w:val="hybridMultilevel"/>
    <w:tmpl w:val="A2F4E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DB7514"/>
    <w:multiLevelType w:val="hybridMultilevel"/>
    <w:tmpl w:val="60506752"/>
    <w:lvl w:ilvl="0" w:tplc="C62AB258">
      <w:start w:val="1"/>
      <w:numFmt w:val="bullet"/>
      <w:lvlText w:val="►"/>
      <w:lvlJc w:val="left"/>
      <w:pPr>
        <w:ind w:left="720" w:hanging="360"/>
      </w:pPr>
      <w:rPr>
        <w:rFonts w:ascii="Arial" w:hAnsi="Arial" w:cs="Times New Roman" w:hint="default"/>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B66F87"/>
    <w:multiLevelType w:val="hybridMultilevel"/>
    <w:tmpl w:val="B4F6D3EC"/>
    <w:lvl w:ilvl="0" w:tplc="8B0A63E2">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9" w15:restartNumberingAfterBreak="0">
    <w:nsid w:val="33382C1F"/>
    <w:multiLevelType w:val="hybridMultilevel"/>
    <w:tmpl w:val="C568E08C"/>
    <w:lvl w:ilvl="0" w:tplc="E73691E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0428C1"/>
    <w:multiLevelType w:val="hybridMultilevel"/>
    <w:tmpl w:val="54F6F6D8"/>
    <w:lvl w:ilvl="0" w:tplc="C62AB258">
      <w:start w:val="1"/>
      <w:numFmt w:val="bullet"/>
      <w:lvlText w:val="►"/>
      <w:lvlJc w:val="left"/>
      <w:pPr>
        <w:ind w:left="720" w:hanging="360"/>
      </w:pPr>
      <w:rPr>
        <w:rFonts w:ascii="Arial" w:hAnsi="Arial" w:cs="Times New Roman" w:hint="default"/>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D17271"/>
    <w:multiLevelType w:val="hybridMultilevel"/>
    <w:tmpl w:val="E892EED6"/>
    <w:lvl w:ilvl="0" w:tplc="178A7C92">
      <w:start w:val="1"/>
      <w:numFmt w:val="bullet"/>
      <w:lvlText w:val="►"/>
      <w:lvlJc w:val="left"/>
      <w:pPr>
        <w:ind w:left="360" w:hanging="360"/>
      </w:pPr>
      <w:rPr>
        <w:rFonts w:ascii="Arial" w:hAnsi="Arial" w:cs="Times New Roman" w:hint="default"/>
        <w:color w:val="auto"/>
        <w:sz w:val="16"/>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9C90312"/>
    <w:multiLevelType w:val="hybridMultilevel"/>
    <w:tmpl w:val="D67CE68A"/>
    <w:lvl w:ilvl="0" w:tplc="C62AB258">
      <w:start w:val="1"/>
      <w:numFmt w:val="bullet"/>
      <w:lvlText w:val="►"/>
      <w:lvlJc w:val="left"/>
      <w:pPr>
        <w:ind w:left="360" w:hanging="360"/>
      </w:pPr>
      <w:rPr>
        <w:rFonts w:ascii="Arial" w:hAnsi="Arial" w:cs="Times New Roman" w:hint="default"/>
        <w:color w:val="auto"/>
        <w:sz w:val="16"/>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D941D32"/>
    <w:multiLevelType w:val="multilevel"/>
    <w:tmpl w:val="5D48EFAC"/>
    <w:lvl w:ilvl="0">
      <w:start w:val="1"/>
      <w:numFmt w:val="decimal"/>
      <w:lvlText w:val="%1."/>
      <w:lvlJc w:val="left"/>
      <w:pPr>
        <w:ind w:left="850" w:hanging="425"/>
      </w:pPr>
      <w:rPr>
        <w:rFonts w:hint="default"/>
        <w:sz w:val="16"/>
      </w:rPr>
    </w:lvl>
    <w:lvl w:ilvl="1">
      <w:start w:val="1"/>
      <w:numFmt w:val="bullet"/>
      <w:lvlText w:val="►"/>
      <w:lvlJc w:val="left"/>
      <w:pPr>
        <w:ind w:left="1275" w:hanging="425"/>
      </w:pPr>
      <w:rPr>
        <w:rFonts w:ascii="Arial" w:hAnsi="Arial" w:hint="default"/>
        <w:sz w:val="16"/>
      </w:rPr>
    </w:lvl>
    <w:lvl w:ilvl="2">
      <w:start w:val="1"/>
      <w:numFmt w:val="bullet"/>
      <w:lvlText w:val="►"/>
      <w:lvlJc w:val="left"/>
      <w:pPr>
        <w:ind w:left="1700" w:hanging="425"/>
      </w:pPr>
      <w:rPr>
        <w:rFonts w:ascii="Arial" w:hAnsi="Arial" w:hint="default"/>
        <w:sz w:val="16"/>
      </w:rPr>
    </w:lvl>
    <w:lvl w:ilvl="3">
      <w:start w:val="1"/>
      <w:numFmt w:val="bullet"/>
      <w:lvlText w:val="►"/>
      <w:lvlJc w:val="left"/>
      <w:pPr>
        <w:ind w:left="2125" w:hanging="425"/>
      </w:pPr>
      <w:rPr>
        <w:rFonts w:ascii="Arial" w:hAnsi="Arial" w:hint="default"/>
        <w:sz w:val="16"/>
      </w:rPr>
    </w:lvl>
    <w:lvl w:ilvl="4">
      <w:start w:val="1"/>
      <w:numFmt w:val="bullet"/>
      <w:lvlText w:val="►"/>
      <w:lvlJc w:val="left"/>
      <w:pPr>
        <w:ind w:left="2550" w:hanging="425"/>
      </w:pPr>
      <w:rPr>
        <w:rFonts w:ascii="Arial" w:hAnsi="Arial" w:hint="default"/>
        <w:sz w:val="16"/>
      </w:rPr>
    </w:lvl>
    <w:lvl w:ilvl="5">
      <w:start w:val="1"/>
      <w:numFmt w:val="bullet"/>
      <w:lvlText w:val="►"/>
      <w:lvlJc w:val="left"/>
      <w:pPr>
        <w:ind w:left="2975" w:hanging="425"/>
      </w:pPr>
      <w:rPr>
        <w:rFonts w:ascii="Arial" w:hAnsi="Arial" w:hint="default"/>
        <w:sz w:val="16"/>
      </w:rPr>
    </w:lvl>
    <w:lvl w:ilvl="6">
      <w:start w:val="1"/>
      <w:numFmt w:val="bullet"/>
      <w:lvlText w:val="►"/>
      <w:lvlJc w:val="left"/>
      <w:pPr>
        <w:ind w:left="3400" w:hanging="425"/>
      </w:pPr>
      <w:rPr>
        <w:rFonts w:ascii="Arial" w:hAnsi="Arial" w:hint="default"/>
        <w:sz w:val="16"/>
      </w:rPr>
    </w:lvl>
    <w:lvl w:ilvl="7">
      <w:start w:val="1"/>
      <w:numFmt w:val="bullet"/>
      <w:lvlText w:val="►"/>
      <w:lvlJc w:val="left"/>
      <w:pPr>
        <w:ind w:left="3825" w:hanging="425"/>
      </w:pPr>
      <w:rPr>
        <w:rFonts w:ascii="Arial" w:hAnsi="Arial" w:hint="default"/>
        <w:sz w:val="16"/>
      </w:rPr>
    </w:lvl>
    <w:lvl w:ilvl="8">
      <w:start w:val="1"/>
      <w:numFmt w:val="bullet"/>
      <w:lvlText w:val="►"/>
      <w:lvlJc w:val="left"/>
      <w:pPr>
        <w:ind w:left="4250" w:hanging="425"/>
      </w:pPr>
      <w:rPr>
        <w:rFonts w:ascii="Arial" w:hAnsi="Arial" w:hint="default"/>
        <w:sz w:val="16"/>
      </w:rPr>
    </w:lvl>
  </w:abstractNum>
  <w:abstractNum w:abstractNumId="24" w15:restartNumberingAfterBreak="0">
    <w:nsid w:val="3DA77CD8"/>
    <w:multiLevelType w:val="hybridMultilevel"/>
    <w:tmpl w:val="D79E5170"/>
    <w:lvl w:ilvl="0" w:tplc="C6A089E4">
      <w:start w:val="1"/>
      <w:numFmt w:val="decimal"/>
      <w:lvlText w:val="%1."/>
      <w:lvlJc w:val="left"/>
      <w:pPr>
        <w:ind w:left="360" w:hanging="360"/>
      </w:pPr>
      <w:rPr>
        <w:rFonts w:ascii="EYInterstate Light" w:eastAsia="Times New Roman" w:hAnsi="EYInterstate Light" w:cs="Times New Roman" w:hint="default"/>
        <w:color w:val="000000" w:themeColor="background2"/>
        <w:sz w:val="20"/>
        <w:szCs w:val="32"/>
      </w:rPr>
    </w:lvl>
    <w:lvl w:ilvl="1" w:tplc="0C090003" w:tentative="1">
      <w:start w:val="1"/>
      <w:numFmt w:val="bullet"/>
      <w:lvlText w:val="o"/>
      <w:lvlJc w:val="left"/>
      <w:pPr>
        <w:ind w:left="1080" w:hanging="360"/>
      </w:pPr>
      <w:rPr>
        <w:rFonts w:ascii="Arial Unicode MS" w:hAnsi="Arial Unicode MS" w:cs="Arial Unicode MS" w:hint="default"/>
      </w:rPr>
    </w:lvl>
    <w:lvl w:ilvl="2" w:tplc="0C090005" w:tentative="1">
      <w:start w:val="1"/>
      <w:numFmt w:val="bullet"/>
      <w:lvlText w:val=""/>
      <w:lvlJc w:val="left"/>
      <w:pPr>
        <w:ind w:left="1800" w:hanging="360"/>
      </w:pPr>
      <w:rPr>
        <w:rFonts w:ascii="Cambria" w:hAnsi="Cambria" w:hint="default"/>
      </w:rPr>
    </w:lvl>
    <w:lvl w:ilvl="3" w:tplc="0C090001" w:tentative="1">
      <w:start w:val="1"/>
      <w:numFmt w:val="bullet"/>
      <w:lvlText w:val=""/>
      <w:lvlJc w:val="left"/>
      <w:pPr>
        <w:ind w:left="2520" w:hanging="360"/>
      </w:pPr>
      <w:rPr>
        <w:rFonts w:ascii="EYInterstate" w:hAnsi="EYInterstate" w:hint="default"/>
      </w:rPr>
    </w:lvl>
    <w:lvl w:ilvl="4" w:tplc="0C090003" w:tentative="1">
      <w:start w:val="1"/>
      <w:numFmt w:val="bullet"/>
      <w:lvlText w:val="o"/>
      <w:lvlJc w:val="left"/>
      <w:pPr>
        <w:ind w:left="3240" w:hanging="360"/>
      </w:pPr>
      <w:rPr>
        <w:rFonts w:ascii="Arial Unicode MS" w:hAnsi="Arial Unicode MS" w:cs="Arial Unicode MS" w:hint="default"/>
      </w:rPr>
    </w:lvl>
    <w:lvl w:ilvl="5" w:tplc="0C090005" w:tentative="1">
      <w:start w:val="1"/>
      <w:numFmt w:val="bullet"/>
      <w:lvlText w:val=""/>
      <w:lvlJc w:val="left"/>
      <w:pPr>
        <w:ind w:left="3960" w:hanging="360"/>
      </w:pPr>
      <w:rPr>
        <w:rFonts w:ascii="Cambria" w:hAnsi="Cambria" w:hint="default"/>
      </w:rPr>
    </w:lvl>
    <w:lvl w:ilvl="6" w:tplc="0C090001" w:tentative="1">
      <w:start w:val="1"/>
      <w:numFmt w:val="bullet"/>
      <w:lvlText w:val=""/>
      <w:lvlJc w:val="left"/>
      <w:pPr>
        <w:ind w:left="4680" w:hanging="360"/>
      </w:pPr>
      <w:rPr>
        <w:rFonts w:ascii="EYInterstate" w:hAnsi="EYInterstate" w:hint="default"/>
      </w:rPr>
    </w:lvl>
    <w:lvl w:ilvl="7" w:tplc="0C090003" w:tentative="1">
      <w:start w:val="1"/>
      <w:numFmt w:val="bullet"/>
      <w:lvlText w:val="o"/>
      <w:lvlJc w:val="left"/>
      <w:pPr>
        <w:ind w:left="5400" w:hanging="360"/>
      </w:pPr>
      <w:rPr>
        <w:rFonts w:ascii="Arial Unicode MS" w:hAnsi="Arial Unicode MS" w:cs="Arial Unicode MS" w:hint="default"/>
      </w:rPr>
    </w:lvl>
    <w:lvl w:ilvl="8" w:tplc="0C090005" w:tentative="1">
      <w:start w:val="1"/>
      <w:numFmt w:val="bullet"/>
      <w:lvlText w:val=""/>
      <w:lvlJc w:val="left"/>
      <w:pPr>
        <w:ind w:left="6120" w:hanging="360"/>
      </w:pPr>
      <w:rPr>
        <w:rFonts w:ascii="Cambria" w:hAnsi="Cambria" w:hint="default"/>
      </w:rPr>
    </w:lvl>
  </w:abstractNum>
  <w:abstractNum w:abstractNumId="25" w15:restartNumberingAfterBreak="0">
    <w:nsid w:val="447E4E06"/>
    <w:multiLevelType w:val="multilevel"/>
    <w:tmpl w:val="95DA73A2"/>
    <w:styleLink w:val="EYBulletList"/>
    <w:lvl w:ilvl="0">
      <w:start w:val="1"/>
      <w:numFmt w:val="bullet"/>
      <w:lvlText w:val=""/>
      <w:lvlJc w:val="left"/>
      <w:pPr>
        <w:ind w:left="425" w:hanging="425"/>
      </w:pPr>
      <w:rPr>
        <w:rFonts w:ascii="Symbol" w:hAnsi="Symbol" w:hint="default"/>
        <w:color w:val="auto"/>
        <w:sz w:val="16"/>
        <w:szCs w:val="20"/>
      </w:rPr>
    </w:lvl>
    <w:lvl w:ilvl="1">
      <w:start w:val="1"/>
      <w:numFmt w:val="bullet"/>
      <w:pStyle w:val="EYBulletedText2"/>
      <w:lvlText w:val="►"/>
      <w:lvlJc w:val="left"/>
      <w:pPr>
        <w:ind w:left="850" w:hanging="425"/>
      </w:pPr>
      <w:rPr>
        <w:rFonts w:ascii="Arial" w:hAnsi="Arial" w:hint="default"/>
        <w:sz w:val="16"/>
      </w:rPr>
    </w:lvl>
    <w:lvl w:ilvl="2">
      <w:start w:val="1"/>
      <w:numFmt w:val="bullet"/>
      <w:pStyle w:val="EYBulletedText3"/>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26" w15:restartNumberingAfterBreak="0">
    <w:nsid w:val="451B6BA5"/>
    <w:multiLevelType w:val="hybridMultilevel"/>
    <w:tmpl w:val="F3D0FAEE"/>
    <w:lvl w:ilvl="0" w:tplc="C62AB258">
      <w:start w:val="1"/>
      <w:numFmt w:val="bullet"/>
      <w:lvlText w:val="►"/>
      <w:lvlJc w:val="left"/>
      <w:pPr>
        <w:ind w:left="720" w:hanging="360"/>
      </w:pPr>
      <w:rPr>
        <w:rFonts w:ascii="Arial" w:hAnsi="Arial" w:cs="Times New Roman" w:hint="default"/>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18701D"/>
    <w:multiLevelType w:val="multilevel"/>
    <w:tmpl w:val="F1669212"/>
    <w:styleLink w:val="EYAlphaNumList"/>
    <w:lvl w:ilvl="0">
      <w:start w:val="1"/>
      <w:numFmt w:val="decimal"/>
      <w:pStyle w:val="EY1Number"/>
      <w:lvlText w:val="%1."/>
      <w:lvlJc w:val="left"/>
      <w:pPr>
        <w:ind w:left="425" w:hanging="425"/>
      </w:pPr>
      <w:rPr>
        <w:rFonts w:hint="default"/>
      </w:rPr>
    </w:lvl>
    <w:lvl w:ilvl="1">
      <w:start w:val="1"/>
      <w:numFmt w:val="lowerLetter"/>
      <w:pStyle w:val="EY2Letter"/>
      <w:lvlText w:val="%2."/>
      <w:lvlJc w:val="left"/>
      <w:pPr>
        <w:ind w:left="851" w:hanging="426"/>
      </w:pPr>
      <w:rPr>
        <w:rFonts w:hint="default"/>
      </w:rPr>
    </w:lvl>
    <w:lvl w:ilvl="2">
      <w:start w:val="1"/>
      <w:numFmt w:val="lowerRoman"/>
      <w:pStyle w:val="EY3Roman"/>
      <w:lvlText w:val="%3."/>
      <w:lvlJc w:val="left"/>
      <w:pPr>
        <w:ind w:left="1276" w:hanging="425"/>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4C2328D1"/>
    <w:multiLevelType w:val="hybridMultilevel"/>
    <w:tmpl w:val="C46854F6"/>
    <w:lvl w:ilvl="0" w:tplc="C62AB258">
      <w:start w:val="1"/>
      <w:numFmt w:val="bullet"/>
      <w:lvlText w:val="►"/>
      <w:lvlJc w:val="left"/>
      <w:pPr>
        <w:ind w:left="720" w:hanging="360"/>
      </w:pPr>
      <w:rPr>
        <w:rFonts w:ascii="Arial" w:hAnsi="Arial" w:cs="Times New Roman" w:hint="default"/>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8A531F"/>
    <w:multiLevelType w:val="hybridMultilevel"/>
    <w:tmpl w:val="D79E5170"/>
    <w:lvl w:ilvl="0" w:tplc="C6A089E4">
      <w:start w:val="1"/>
      <w:numFmt w:val="decimal"/>
      <w:lvlText w:val="%1."/>
      <w:lvlJc w:val="left"/>
      <w:pPr>
        <w:ind w:left="360" w:hanging="360"/>
      </w:pPr>
      <w:rPr>
        <w:rFonts w:ascii="EYInterstate Light" w:eastAsia="Times New Roman" w:hAnsi="EYInterstate Light" w:cs="Times New Roman" w:hint="default"/>
        <w:color w:val="000000" w:themeColor="background2"/>
        <w:sz w:val="20"/>
        <w:szCs w:val="32"/>
      </w:rPr>
    </w:lvl>
    <w:lvl w:ilvl="1" w:tplc="0C090003" w:tentative="1">
      <w:start w:val="1"/>
      <w:numFmt w:val="bullet"/>
      <w:lvlText w:val="o"/>
      <w:lvlJc w:val="left"/>
      <w:pPr>
        <w:ind w:left="1080" w:hanging="360"/>
      </w:pPr>
      <w:rPr>
        <w:rFonts w:ascii="Arial Unicode MS" w:hAnsi="Arial Unicode MS" w:cs="Arial Unicode MS" w:hint="default"/>
      </w:rPr>
    </w:lvl>
    <w:lvl w:ilvl="2" w:tplc="0C090005" w:tentative="1">
      <w:start w:val="1"/>
      <w:numFmt w:val="bullet"/>
      <w:lvlText w:val=""/>
      <w:lvlJc w:val="left"/>
      <w:pPr>
        <w:ind w:left="1800" w:hanging="360"/>
      </w:pPr>
      <w:rPr>
        <w:rFonts w:ascii="Cambria" w:hAnsi="Cambria" w:hint="default"/>
      </w:rPr>
    </w:lvl>
    <w:lvl w:ilvl="3" w:tplc="0C090001" w:tentative="1">
      <w:start w:val="1"/>
      <w:numFmt w:val="bullet"/>
      <w:lvlText w:val=""/>
      <w:lvlJc w:val="left"/>
      <w:pPr>
        <w:ind w:left="2520" w:hanging="360"/>
      </w:pPr>
      <w:rPr>
        <w:rFonts w:ascii="EYInterstate" w:hAnsi="EYInterstate" w:hint="default"/>
      </w:rPr>
    </w:lvl>
    <w:lvl w:ilvl="4" w:tplc="0C090003" w:tentative="1">
      <w:start w:val="1"/>
      <w:numFmt w:val="bullet"/>
      <w:lvlText w:val="o"/>
      <w:lvlJc w:val="left"/>
      <w:pPr>
        <w:ind w:left="3240" w:hanging="360"/>
      </w:pPr>
      <w:rPr>
        <w:rFonts w:ascii="Arial Unicode MS" w:hAnsi="Arial Unicode MS" w:cs="Arial Unicode MS" w:hint="default"/>
      </w:rPr>
    </w:lvl>
    <w:lvl w:ilvl="5" w:tplc="0C090005" w:tentative="1">
      <w:start w:val="1"/>
      <w:numFmt w:val="bullet"/>
      <w:lvlText w:val=""/>
      <w:lvlJc w:val="left"/>
      <w:pPr>
        <w:ind w:left="3960" w:hanging="360"/>
      </w:pPr>
      <w:rPr>
        <w:rFonts w:ascii="Cambria" w:hAnsi="Cambria" w:hint="default"/>
      </w:rPr>
    </w:lvl>
    <w:lvl w:ilvl="6" w:tplc="0C090001" w:tentative="1">
      <w:start w:val="1"/>
      <w:numFmt w:val="bullet"/>
      <w:lvlText w:val=""/>
      <w:lvlJc w:val="left"/>
      <w:pPr>
        <w:ind w:left="4680" w:hanging="360"/>
      </w:pPr>
      <w:rPr>
        <w:rFonts w:ascii="EYInterstate" w:hAnsi="EYInterstate" w:hint="default"/>
      </w:rPr>
    </w:lvl>
    <w:lvl w:ilvl="7" w:tplc="0C090003" w:tentative="1">
      <w:start w:val="1"/>
      <w:numFmt w:val="bullet"/>
      <w:lvlText w:val="o"/>
      <w:lvlJc w:val="left"/>
      <w:pPr>
        <w:ind w:left="5400" w:hanging="360"/>
      </w:pPr>
      <w:rPr>
        <w:rFonts w:ascii="Arial Unicode MS" w:hAnsi="Arial Unicode MS" w:cs="Arial Unicode MS" w:hint="default"/>
      </w:rPr>
    </w:lvl>
    <w:lvl w:ilvl="8" w:tplc="0C090005" w:tentative="1">
      <w:start w:val="1"/>
      <w:numFmt w:val="bullet"/>
      <w:lvlText w:val=""/>
      <w:lvlJc w:val="left"/>
      <w:pPr>
        <w:ind w:left="6120" w:hanging="360"/>
      </w:pPr>
      <w:rPr>
        <w:rFonts w:ascii="Cambria" w:hAnsi="Cambria" w:hint="default"/>
      </w:rPr>
    </w:lvl>
  </w:abstractNum>
  <w:abstractNum w:abstractNumId="30" w15:restartNumberingAfterBreak="0">
    <w:nsid w:val="50620089"/>
    <w:multiLevelType w:val="hybridMultilevel"/>
    <w:tmpl w:val="707E1078"/>
    <w:lvl w:ilvl="0" w:tplc="0C09000F">
      <w:start w:val="1"/>
      <w:numFmt w:val="decimal"/>
      <w:lvlText w:val="%1."/>
      <w:lvlJc w:val="left"/>
      <w:pPr>
        <w:ind w:left="360" w:hanging="360"/>
      </w:pPr>
      <w:rPr>
        <w:rFonts w:hint="default"/>
        <w:color w:val="auto"/>
        <w:sz w:val="16"/>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4087C7D"/>
    <w:multiLevelType w:val="hybridMultilevel"/>
    <w:tmpl w:val="3EBACA2A"/>
    <w:lvl w:ilvl="0" w:tplc="4BA45E82">
      <w:start w:val="1"/>
      <w:numFmt w:val="bullet"/>
      <w:pStyle w:val="EYBulletnoparaspace"/>
      <w:lvlText w:val="►"/>
      <w:lvlJc w:val="left"/>
      <w:pPr>
        <w:ind w:left="785" w:hanging="360"/>
      </w:pPr>
      <w:rPr>
        <w:rFonts w:ascii="Arial" w:hAnsi="Arial" w:hint="default"/>
        <w:color w:val="000000" w:themeColor="background2"/>
        <w:sz w:val="16"/>
        <w:szCs w:val="24"/>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2" w15:restartNumberingAfterBreak="0">
    <w:nsid w:val="5975363A"/>
    <w:multiLevelType w:val="hybridMultilevel"/>
    <w:tmpl w:val="D79E5170"/>
    <w:lvl w:ilvl="0" w:tplc="C6A089E4">
      <w:start w:val="1"/>
      <w:numFmt w:val="decimal"/>
      <w:lvlText w:val="%1."/>
      <w:lvlJc w:val="left"/>
      <w:pPr>
        <w:ind w:left="720" w:hanging="360"/>
      </w:pPr>
      <w:rPr>
        <w:rFonts w:ascii="EYInterstate Light" w:eastAsia="Times New Roman" w:hAnsi="EYInterstate Light" w:cs="Times New Roman" w:hint="default"/>
        <w:color w:val="000000" w:themeColor="background2"/>
        <w:sz w:val="20"/>
        <w:szCs w:val="32"/>
      </w:rPr>
    </w:lvl>
    <w:lvl w:ilvl="1" w:tplc="0C090003" w:tentative="1">
      <w:start w:val="1"/>
      <w:numFmt w:val="bullet"/>
      <w:lvlText w:val="o"/>
      <w:lvlJc w:val="left"/>
      <w:pPr>
        <w:ind w:left="1440" w:hanging="360"/>
      </w:pPr>
      <w:rPr>
        <w:rFonts w:ascii="Arial Unicode MS" w:hAnsi="Arial Unicode MS" w:cs="Arial Unicode MS" w:hint="default"/>
      </w:rPr>
    </w:lvl>
    <w:lvl w:ilvl="2" w:tplc="0C090005" w:tentative="1">
      <w:start w:val="1"/>
      <w:numFmt w:val="bullet"/>
      <w:lvlText w:val=""/>
      <w:lvlJc w:val="left"/>
      <w:pPr>
        <w:ind w:left="2160" w:hanging="360"/>
      </w:pPr>
      <w:rPr>
        <w:rFonts w:ascii="Cambria" w:hAnsi="Cambria" w:hint="default"/>
      </w:rPr>
    </w:lvl>
    <w:lvl w:ilvl="3" w:tplc="0C090001" w:tentative="1">
      <w:start w:val="1"/>
      <w:numFmt w:val="bullet"/>
      <w:lvlText w:val=""/>
      <w:lvlJc w:val="left"/>
      <w:pPr>
        <w:ind w:left="2880" w:hanging="360"/>
      </w:pPr>
      <w:rPr>
        <w:rFonts w:ascii="EYInterstate" w:hAnsi="EYInterstate" w:hint="default"/>
      </w:rPr>
    </w:lvl>
    <w:lvl w:ilvl="4" w:tplc="0C090003" w:tentative="1">
      <w:start w:val="1"/>
      <w:numFmt w:val="bullet"/>
      <w:lvlText w:val="o"/>
      <w:lvlJc w:val="left"/>
      <w:pPr>
        <w:ind w:left="3600" w:hanging="360"/>
      </w:pPr>
      <w:rPr>
        <w:rFonts w:ascii="Arial Unicode MS" w:hAnsi="Arial Unicode MS" w:cs="Arial Unicode MS" w:hint="default"/>
      </w:rPr>
    </w:lvl>
    <w:lvl w:ilvl="5" w:tplc="0C090005" w:tentative="1">
      <w:start w:val="1"/>
      <w:numFmt w:val="bullet"/>
      <w:lvlText w:val=""/>
      <w:lvlJc w:val="left"/>
      <w:pPr>
        <w:ind w:left="4320" w:hanging="360"/>
      </w:pPr>
      <w:rPr>
        <w:rFonts w:ascii="Cambria" w:hAnsi="Cambria" w:hint="default"/>
      </w:rPr>
    </w:lvl>
    <w:lvl w:ilvl="6" w:tplc="0C090001" w:tentative="1">
      <w:start w:val="1"/>
      <w:numFmt w:val="bullet"/>
      <w:lvlText w:val=""/>
      <w:lvlJc w:val="left"/>
      <w:pPr>
        <w:ind w:left="5040" w:hanging="360"/>
      </w:pPr>
      <w:rPr>
        <w:rFonts w:ascii="EYInterstate" w:hAnsi="EYInterstate" w:hint="default"/>
      </w:rPr>
    </w:lvl>
    <w:lvl w:ilvl="7" w:tplc="0C090003" w:tentative="1">
      <w:start w:val="1"/>
      <w:numFmt w:val="bullet"/>
      <w:lvlText w:val="o"/>
      <w:lvlJc w:val="left"/>
      <w:pPr>
        <w:ind w:left="5760" w:hanging="360"/>
      </w:pPr>
      <w:rPr>
        <w:rFonts w:ascii="Arial Unicode MS" w:hAnsi="Arial Unicode MS" w:cs="Arial Unicode MS" w:hint="default"/>
      </w:rPr>
    </w:lvl>
    <w:lvl w:ilvl="8" w:tplc="0C090005" w:tentative="1">
      <w:start w:val="1"/>
      <w:numFmt w:val="bullet"/>
      <w:lvlText w:val=""/>
      <w:lvlJc w:val="left"/>
      <w:pPr>
        <w:ind w:left="6480" w:hanging="360"/>
      </w:pPr>
      <w:rPr>
        <w:rFonts w:ascii="Cambria" w:hAnsi="Cambria" w:hint="default"/>
      </w:rPr>
    </w:lvl>
  </w:abstractNum>
  <w:abstractNum w:abstractNumId="33" w15:restartNumberingAfterBreak="0">
    <w:nsid w:val="60F4361D"/>
    <w:multiLevelType w:val="hybridMultilevel"/>
    <w:tmpl w:val="61682D04"/>
    <w:lvl w:ilvl="0" w:tplc="8C145ED8">
      <w:start w:val="20"/>
      <w:numFmt w:val="bullet"/>
      <w:lvlText w:val="-"/>
      <w:lvlJc w:val="left"/>
      <w:pPr>
        <w:ind w:left="1145" w:hanging="360"/>
      </w:pPr>
      <w:rPr>
        <w:rFonts w:ascii="EYInterstate Light" w:eastAsia="Times New Roman" w:hAnsi="EYInterstate Light" w:cs="Times New Roman"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4" w15:restartNumberingAfterBreak="0">
    <w:nsid w:val="640C5D09"/>
    <w:multiLevelType w:val="multilevel"/>
    <w:tmpl w:val="49BE5552"/>
    <w:lvl w:ilvl="0">
      <w:start w:val="1"/>
      <w:numFmt w:val="upperLetter"/>
      <w:pStyle w:val="EYAppendix"/>
      <w:lvlText w:val="Appendix %1"/>
      <w:lvlJc w:val="left"/>
      <w:pPr>
        <w:tabs>
          <w:tab w:val="num" w:pos="2268"/>
        </w:tabs>
        <w:ind w:left="2268" w:hanging="2268"/>
      </w:p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35" w15:restartNumberingAfterBreak="0">
    <w:nsid w:val="65941FD8"/>
    <w:multiLevelType w:val="hybridMultilevel"/>
    <w:tmpl w:val="A7D64EA6"/>
    <w:lvl w:ilvl="0" w:tplc="90602CB2">
      <w:start w:val="1"/>
      <w:numFmt w:val="decimal"/>
      <w:lvlText w:val="%1."/>
      <w:lvlJc w:val="left"/>
      <w:pPr>
        <w:ind w:left="720" w:hanging="360"/>
      </w:pPr>
      <w:rPr>
        <w:rFonts w:ascii="EYInterstate Light" w:eastAsia="Times New Roman" w:hAnsi="EYInterstate Light" w:cs="Times New Roman"/>
        <w:color w:val="auto"/>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7FF67A0"/>
    <w:multiLevelType w:val="hybridMultilevel"/>
    <w:tmpl w:val="D79E5170"/>
    <w:lvl w:ilvl="0" w:tplc="C6A089E4">
      <w:start w:val="1"/>
      <w:numFmt w:val="decimal"/>
      <w:lvlText w:val="%1."/>
      <w:lvlJc w:val="left"/>
      <w:pPr>
        <w:ind w:left="720" w:hanging="360"/>
      </w:pPr>
      <w:rPr>
        <w:rFonts w:ascii="EYInterstate Light" w:eastAsia="Times New Roman" w:hAnsi="EYInterstate Light" w:cs="Times New Roman" w:hint="default"/>
        <w:color w:val="000000" w:themeColor="background2"/>
        <w:sz w:val="20"/>
        <w:szCs w:val="32"/>
      </w:rPr>
    </w:lvl>
    <w:lvl w:ilvl="1" w:tplc="0C090003" w:tentative="1">
      <w:start w:val="1"/>
      <w:numFmt w:val="bullet"/>
      <w:lvlText w:val="o"/>
      <w:lvlJc w:val="left"/>
      <w:pPr>
        <w:ind w:left="1440" w:hanging="360"/>
      </w:pPr>
      <w:rPr>
        <w:rFonts w:ascii="Arial Unicode MS" w:hAnsi="Arial Unicode MS" w:cs="Arial Unicode MS" w:hint="default"/>
      </w:rPr>
    </w:lvl>
    <w:lvl w:ilvl="2" w:tplc="0C090005" w:tentative="1">
      <w:start w:val="1"/>
      <w:numFmt w:val="bullet"/>
      <w:lvlText w:val=""/>
      <w:lvlJc w:val="left"/>
      <w:pPr>
        <w:ind w:left="2160" w:hanging="360"/>
      </w:pPr>
      <w:rPr>
        <w:rFonts w:ascii="Cambria" w:hAnsi="Cambria" w:hint="default"/>
      </w:rPr>
    </w:lvl>
    <w:lvl w:ilvl="3" w:tplc="0C090001" w:tentative="1">
      <w:start w:val="1"/>
      <w:numFmt w:val="bullet"/>
      <w:lvlText w:val=""/>
      <w:lvlJc w:val="left"/>
      <w:pPr>
        <w:ind w:left="2880" w:hanging="360"/>
      </w:pPr>
      <w:rPr>
        <w:rFonts w:ascii="EYInterstate" w:hAnsi="EYInterstate" w:hint="default"/>
      </w:rPr>
    </w:lvl>
    <w:lvl w:ilvl="4" w:tplc="0C090003" w:tentative="1">
      <w:start w:val="1"/>
      <w:numFmt w:val="bullet"/>
      <w:lvlText w:val="o"/>
      <w:lvlJc w:val="left"/>
      <w:pPr>
        <w:ind w:left="3600" w:hanging="360"/>
      </w:pPr>
      <w:rPr>
        <w:rFonts w:ascii="Arial Unicode MS" w:hAnsi="Arial Unicode MS" w:cs="Arial Unicode MS" w:hint="default"/>
      </w:rPr>
    </w:lvl>
    <w:lvl w:ilvl="5" w:tplc="0C090005" w:tentative="1">
      <w:start w:val="1"/>
      <w:numFmt w:val="bullet"/>
      <w:lvlText w:val=""/>
      <w:lvlJc w:val="left"/>
      <w:pPr>
        <w:ind w:left="4320" w:hanging="360"/>
      </w:pPr>
      <w:rPr>
        <w:rFonts w:ascii="Cambria" w:hAnsi="Cambria" w:hint="default"/>
      </w:rPr>
    </w:lvl>
    <w:lvl w:ilvl="6" w:tplc="0C090001" w:tentative="1">
      <w:start w:val="1"/>
      <w:numFmt w:val="bullet"/>
      <w:lvlText w:val=""/>
      <w:lvlJc w:val="left"/>
      <w:pPr>
        <w:ind w:left="5040" w:hanging="360"/>
      </w:pPr>
      <w:rPr>
        <w:rFonts w:ascii="EYInterstate" w:hAnsi="EYInterstate" w:hint="default"/>
      </w:rPr>
    </w:lvl>
    <w:lvl w:ilvl="7" w:tplc="0C090003" w:tentative="1">
      <w:start w:val="1"/>
      <w:numFmt w:val="bullet"/>
      <w:lvlText w:val="o"/>
      <w:lvlJc w:val="left"/>
      <w:pPr>
        <w:ind w:left="5760" w:hanging="360"/>
      </w:pPr>
      <w:rPr>
        <w:rFonts w:ascii="Arial Unicode MS" w:hAnsi="Arial Unicode MS" w:cs="Arial Unicode MS" w:hint="default"/>
      </w:rPr>
    </w:lvl>
    <w:lvl w:ilvl="8" w:tplc="0C090005" w:tentative="1">
      <w:start w:val="1"/>
      <w:numFmt w:val="bullet"/>
      <w:lvlText w:val=""/>
      <w:lvlJc w:val="left"/>
      <w:pPr>
        <w:ind w:left="6480" w:hanging="360"/>
      </w:pPr>
      <w:rPr>
        <w:rFonts w:ascii="Cambria" w:hAnsi="Cambria" w:hint="default"/>
      </w:rPr>
    </w:lvl>
  </w:abstractNum>
  <w:abstractNum w:abstractNumId="37" w15:restartNumberingAfterBreak="0">
    <w:nsid w:val="6F265E04"/>
    <w:multiLevelType w:val="hybridMultilevel"/>
    <w:tmpl w:val="1766E49C"/>
    <w:lvl w:ilvl="0" w:tplc="C62AB258">
      <w:start w:val="1"/>
      <w:numFmt w:val="bullet"/>
      <w:lvlText w:val="►"/>
      <w:lvlJc w:val="left"/>
      <w:pPr>
        <w:ind w:left="360" w:hanging="360"/>
      </w:pPr>
      <w:rPr>
        <w:rFonts w:ascii="Arial" w:hAnsi="Arial" w:cs="Times New Roman" w:hint="default"/>
        <w:color w:val="auto"/>
        <w:sz w:val="16"/>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3A37718"/>
    <w:multiLevelType w:val="multilevel"/>
    <w:tmpl w:val="B12A2EF4"/>
    <w:lvl w:ilvl="0">
      <w:start w:val="1"/>
      <w:numFmt w:val="bullet"/>
      <w:pStyle w:val="EYTablebullet1"/>
      <w:lvlText w:val="►"/>
      <w:lvlJc w:val="left"/>
      <w:pPr>
        <w:tabs>
          <w:tab w:val="num" w:pos="284"/>
        </w:tabs>
        <w:ind w:left="284" w:hanging="284"/>
      </w:pPr>
      <w:rPr>
        <w:rFonts w:ascii="Arial" w:hAnsi="Arial" w:cs="Times New Roman" w:hint="default"/>
        <w:b w:val="0"/>
        <w:bCs/>
        <w:i w:val="0"/>
        <w:color w:val="auto"/>
        <w:sz w:val="12"/>
        <w:szCs w:val="24"/>
      </w:rPr>
    </w:lvl>
    <w:lvl w:ilvl="1">
      <w:start w:val="1"/>
      <w:numFmt w:val="bullet"/>
      <w:pStyle w:val="EYTablebullet2"/>
      <w:lvlText w:val="►"/>
      <w:lvlJc w:val="left"/>
      <w:pPr>
        <w:tabs>
          <w:tab w:val="num" w:pos="567"/>
        </w:tabs>
        <w:ind w:left="567" w:hanging="283"/>
      </w:pPr>
      <w:rPr>
        <w:rFonts w:ascii="Arial" w:hAnsi="Arial" w:cs="Times New Roman" w:hint="default"/>
        <w:b w:val="0"/>
        <w:i w:val="0"/>
        <w:color w:val="auto"/>
        <w:sz w:val="12"/>
        <w:szCs w:val="24"/>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39"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0" w15:restartNumberingAfterBreak="0">
    <w:nsid w:val="7E29406F"/>
    <w:multiLevelType w:val="hybridMultilevel"/>
    <w:tmpl w:val="3A2E51EA"/>
    <w:lvl w:ilvl="0" w:tplc="C62AB258">
      <w:start w:val="1"/>
      <w:numFmt w:val="bullet"/>
      <w:lvlText w:val="►"/>
      <w:lvlJc w:val="left"/>
      <w:pPr>
        <w:ind w:left="360" w:hanging="360"/>
      </w:pPr>
      <w:rPr>
        <w:rFonts w:ascii="Arial" w:hAnsi="Arial" w:cs="Times New Roman" w:hint="default"/>
        <w:color w:val="auto"/>
        <w:sz w:val="16"/>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E3B6801"/>
    <w:multiLevelType w:val="hybridMultilevel"/>
    <w:tmpl w:val="616E3AC0"/>
    <w:lvl w:ilvl="0" w:tplc="C62AB258">
      <w:start w:val="1"/>
      <w:numFmt w:val="bullet"/>
      <w:lvlText w:val="►"/>
      <w:lvlJc w:val="left"/>
      <w:pPr>
        <w:ind w:left="720" w:hanging="360"/>
      </w:pPr>
      <w:rPr>
        <w:rFonts w:ascii="Arial" w:hAnsi="Arial" w:cs="Times New Roman" w:hint="default"/>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AB2A1E"/>
    <w:multiLevelType w:val="hybridMultilevel"/>
    <w:tmpl w:val="0DE68D3A"/>
    <w:lvl w:ilvl="0" w:tplc="C62AB258">
      <w:start w:val="1"/>
      <w:numFmt w:val="bullet"/>
      <w:lvlText w:val="►"/>
      <w:lvlJc w:val="left"/>
      <w:pPr>
        <w:ind w:left="360" w:hanging="360"/>
      </w:pPr>
      <w:rPr>
        <w:rFonts w:ascii="Arial" w:hAnsi="Arial" w:cs="Times New Roman" w:hint="default"/>
        <w:color w:val="auto"/>
        <w:sz w:val="16"/>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32103627">
    <w:abstractNumId w:val="2"/>
  </w:num>
  <w:num w:numId="2" w16cid:durableId="1723290211">
    <w:abstractNumId w:val="34"/>
  </w:num>
  <w:num w:numId="3" w16cid:durableId="1941335163">
    <w:abstractNumId w:val="38"/>
  </w:num>
  <w:num w:numId="4" w16cid:durableId="1857423756">
    <w:abstractNumId w:val="27"/>
  </w:num>
  <w:num w:numId="5" w16cid:durableId="2107997401">
    <w:abstractNumId w:val="25"/>
  </w:num>
  <w:num w:numId="6" w16cid:durableId="1691562388">
    <w:abstractNumId w:val="10"/>
  </w:num>
  <w:num w:numId="7" w16cid:durableId="1115976323">
    <w:abstractNumId w:val="39"/>
  </w:num>
  <w:num w:numId="8" w16cid:durableId="1424186165">
    <w:abstractNumId w:val="19"/>
  </w:num>
  <w:num w:numId="9" w16cid:durableId="1052532905">
    <w:abstractNumId w:val="14"/>
  </w:num>
  <w:num w:numId="10" w16cid:durableId="192766156">
    <w:abstractNumId w:val="35"/>
  </w:num>
  <w:num w:numId="11" w16cid:durableId="1088888134">
    <w:abstractNumId w:val="20"/>
  </w:num>
  <w:num w:numId="12" w16cid:durableId="928847914">
    <w:abstractNumId w:val="9"/>
  </w:num>
  <w:num w:numId="13" w16cid:durableId="918714204">
    <w:abstractNumId w:val="6"/>
  </w:num>
  <w:num w:numId="14" w16cid:durableId="1339575025">
    <w:abstractNumId w:val="32"/>
  </w:num>
  <w:num w:numId="15" w16cid:durableId="844710264">
    <w:abstractNumId w:val="5"/>
  </w:num>
  <w:num w:numId="16" w16cid:durableId="1316107416">
    <w:abstractNumId w:val="22"/>
  </w:num>
  <w:num w:numId="17" w16cid:durableId="2053184576">
    <w:abstractNumId w:val="0"/>
  </w:num>
  <w:num w:numId="18" w16cid:durableId="2066222912">
    <w:abstractNumId w:val="28"/>
  </w:num>
  <w:num w:numId="19" w16cid:durableId="1112286916">
    <w:abstractNumId w:val="4"/>
  </w:num>
  <w:num w:numId="20" w16cid:durableId="1518040340">
    <w:abstractNumId w:val="23"/>
  </w:num>
  <w:num w:numId="21" w16cid:durableId="1287586471">
    <w:abstractNumId w:val="37"/>
  </w:num>
  <w:num w:numId="22" w16cid:durableId="1782724456">
    <w:abstractNumId w:val="40"/>
  </w:num>
  <w:num w:numId="23" w16cid:durableId="1145121362">
    <w:abstractNumId w:val="10"/>
    <w:lvlOverride w:ilvl="0">
      <w:lvl w:ilvl="0">
        <w:start w:val="1"/>
        <w:numFmt w:val="bullet"/>
        <w:lvlText w:val="►"/>
        <w:lvlJc w:val="left"/>
        <w:pPr>
          <w:ind w:left="-425" w:hanging="425"/>
        </w:pPr>
        <w:rPr>
          <w:rFonts w:ascii="Arial" w:hAnsi="Arial" w:hint="default"/>
          <w:color w:val="000000" w:themeColor="background2"/>
          <w:sz w:val="16"/>
        </w:rPr>
      </w:lvl>
    </w:lvlOverride>
    <w:lvlOverride w:ilvl="1">
      <w:lvl w:ilvl="1">
        <w:start w:val="1"/>
        <w:numFmt w:val="bullet"/>
        <w:lvlText w:val="►"/>
        <w:lvlJc w:val="left"/>
        <w:pPr>
          <w:ind w:left="0" w:hanging="425"/>
        </w:pPr>
        <w:rPr>
          <w:rFonts w:ascii="Arial" w:hAnsi="Arial" w:hint="default"/>
          <w:sz w:val="16"/>
        </w:rPr>
      </w:lvl>
    </w:lvlOverride>
    <w:lvlOverride w:ilvl="2">
      <w:lvl w:ilvl="2">
        <w:start w:val="1"/>
        <w:numFmt w:val="bullet"/>
        <w:lvlText w:val="►"/>
        <w:lvlJc w:val="left"/>
        <w:pPr>
          <w:ind w:left="425" w:hanging="425"/>
        </w:pPr>
        <w:rPr>
          <w:rFonts w:ascii="Arial" w:hAnsi="Arial" w:hint="default"/>
          <w:sz w:val="16"/>
        </w:rPr>
      </w:lvl>
    </w:lvlOverride>
    <w:lvlOverride w:ilvl="3">
      <w:lvl w:ilvl="3">
        <w:start w:val="1"/>
        <w:numFmt w:val="bullet"/>
        <w:lvlText w:val="►"/>
        <w:lvlJc w:val="left"/>
        <w:pPr>
          <w:ind w:left="850" w:hanging="425"/>
        </w:pPr>
        <w:rPr>
          <w:rFonts w:ascii="Arial" w:hAnsi="Arial" w:hint="default"/>
          <w:sz w:val="16"/>
        </w:rPr>
      </w:lvl>
    </w:lvlOverride>
    <w:lvlOverride w:ilvl="4">
      <w:lvl w:ilvl="4">
        <w:start w:val="1"/>
        <w:numFmt w:val="bullet"/>
        <w:lvlText w:val="►"/>
        <w:lvlJc w:val="left"/>
        <w:pPr>
          <w:ind w:left="1275" w:hanging="425"/>
        </w:pPr>
        <w:rPr>
          <w:rFonts w:ascii="Arial" w:hAnsi="Arial" w:hint="default"/>
          <w:sz w:val="16"/>
        </w:rPr>
      </w:lvl>
    </w:lvlOverride>
    <w:lvlOverride w:ilvl="5">
      <w:lvl w:ilvl="5">
        <w:start w:val="1"/>
        <w:numFmt w:val="bullet"/>
        <w:lvlText w:val="►"/>
        <w:lvlJc w:val="left"/>
        <w:pPr>
          <w:ind w:left="1700" w:hanging="425"/>
        </w:pPr>
        <w:rPr>
          <w:rFonts w:ascii="Arial" w:hAnsi="Arial" w:hint="default"/>
          <w:sz w:val="16"/>
        </w:rPr>
      </w:lvl>
    </w:lvlOverride>
    <w:lvlOverride w:ilvl="6">
      <w:lvl w:ilvl="6">
        <w:start w:val="1"/>
        <w:numFmt w:val="bullet"/>
        <w:lvlText w:val="►"/>
        <w:lvlJc w:val="left"/>
        <w:pPr>
          <w:ind w:left="2125" w:hanging="425"/>
        </w:pPr>
        <w:rPr>
          <w:rFonts w:ascii="Arial" w:hAnsi="Arial" w:hint="default"/>
          <w:sz w:val="16"/>
        </w:rPr>
      </w:lvl>
    </w:lvlOverride>
    <w:lvlOverride w:ilvl="7">
      <w:lvl w:ilvl="7">
        <w:start w:val="1"/>
        <w:numFmt w:val="bullet"/>
        <w:lvlText w:val="►"/>
        <w:lvlJc w:val="left"/>
        <w:pPr>
          <w:ind w:left="2550" w:hanging="425"/>
        </w:pPr>
        <w:rPr>
          <w:rFonts w:ascii="Arial" w:hAnsi="Arial" w:hint="default"/>
          <w:sz w:val="16"/>
        </w:rPr>
      </w:lvl>
    </w:lvlOverride>
    <w:lvlOverride w:ilvl="8">
      <w:lvl w:ilvl="8">
        <w:start w:val="1"/>
        <w:numFmt w:val="bullet"/>
        <w:lvlText w:val="►"/>
        <w:lvlJc w:val="left"/>
        <w:pPr>
          <w:ind w:left="2975" w:hanging="425"/>
        </w:pPr>
        <w:rPr>
          <w:rFonts w:ascii="Arial" w:hAnsi="Arial" w:hint="default"/>
          <w:sz w:val="16"/>
        </w:rPr>
      </w:lvl>
    </w:lvlOverride>
  </w:num>
  <w:num w:numId="24" w16cid:durableId="880630714">
    <w:abstractNumId w:val="21"/>
  </w:num>
  <w:num w:numId="25" w16cid:durableId="958418063">
    <w:abstractNumId w:val="33"/>
  </w:num>
  <w:num w:numId="26" w16cid:durableId="1318681553">
    <w:abstractNumId w:val="30"/>
  </w:num>
  <w:num w:numId="27" w16cid:durableId="1386832709">
    <w:abstractNumId w:val="8"/>
  </w:num>
  <w:num w:numId="28" w16cid:durableId="567226238">
    <w:abstractNumId w:val="12"/>
  </w:num>
  <w:num w:numId="29" w16cid:durableId="617564215">
    <w:abstractNumId w:val="42"/>
  </w:num>
  <w:num w:numId="30" w16cid:durableId="1010067251">
    <w:abstractNumId w:val="18"/>
  </w:num>
  <w:num w:numId="31" w16cid:durableId="1656839966">
    <w:abstractNumId w:val="7"/>
  </w:num>
  <w:num w:numId="32" w16cid:durableId="1555116581">
    <w:abstractNumId w:val="16"/>
  </w:num>
  <w:num w:numId="33" w16cid:durableId="33698915">
    <w:abstractNumId w:val="26"/>
  </w:num>
  <w:num w:numId="34" w16cid:durableId="2027321584">
    <w:abstractNumId w:val="36"/>
  </w:num>
  <w:num w:numId="35" w16cid:durableId="1741244383">
    <w:abstractNumId w:val="29"/>
  </w:num>
  <w:num w:numId="36" w16cid:durableId="1852375783">
    <w:abstractNumId w:val="24"/>
  </w:num>
  <w:num w:numId="37" w16cid:durableId="50815565">
    <w:abstractNumId w:val="21"/>
  </w:num>
  <w:num w:numId="38" w16cid:durableId="2144613996">
    <w:abstractNumId w:val="11"/>
  </w:num>
  <w:num w:numId="39" w16cid:durableId="2061859892">
    <w:abstractNumId w:val="13"/>
  </w:num>
  <w:num w:numId="40" w16cid:durableId="525751007">
    <w:abstractNumId w:val="31"/>
  </w:num>
  <w:num w:numId="41" w16cid:durableId="180752140">
    <w:abstractNumId w:val="15"/>
  </w:num>
  <w:num w:numId="42" w16cid:durableId="2041659836">
    <w:abstractNumId w:val="41"/>
  </w:num>
  <w:num w:numId="43" w16cid:durableId="350423768">
    <w:abstractNumId w:val="31"/>
  </w:num>
  <w:num w:numId="44" w16cid:durableId="864291360">
    <w:abstractNumId w:val="17"/>
  </w:num>
  <w:num w:numId="45" w16cid:durableId="228199110">
    <w:abstractNumId w:val="10"/>
    <w:lvlOverride w:ilvl="0">
      <w:lvl w:ilvl="0">
        <w:start w:val="1"/>
        <w:numFmt w:val="bullet"/>
        <w:lvlText w:val="►"/>
        <w:lvlJc w:val="left"/>
        <w:pPr>
          <w:ind w:left="425" w:hanging="425"/>
        </w:pPr>
        <w:rPr>
          <w:rFonts w:ascii="Arial" w:hAnsi="Arial" w:hint="default"/>
          <w:color w:val="000000" w:themeColor="background2"/>
          <w:sz w:val="16"/>
        </w:rPr>
      </w:lvl>
    </w:lvlOverride>
    <w:lvlOverride w:ilvl="1">
      <w:lvl w:ilvl="1">
        <w:start w:val="1"/>
        <w:numFmt w:val="bullet"/>
        <w:lvlText w:val="►"/>
        <w:lvlJc w:val="left"/>
        <w:pPr>
          <w:ind w:left="850" w:hanging="425"/>
        </w:pPr>
        <w:rPr>
          <w:rFonts w:ascii="Arial" w:hAnsi="Arial" w:hint="default"/>
          <w:sz w:val="16"/>
        </w:rPr>
      </w:lvl>
    </w:lvlOverride>
    <w:lvlOverride w:ilvl="2">
      <w:lvl w:ilvl="2">
        <w:start w:val="1"/>
        <w:numFmt w:val="bullet"/>
        <w:lvlText w:val="►"/>
        <w:lvlJc w:val="left"/>
        <w:pPr>
          <w:ind w:left="1275" w:hanging="425"/>
        </w:pPr>
        <w:rPr>
          <w:rFonts w:ascii="Arial" w:hAnsi="Arial" w:hint="default"/>
          <w:sz w:val="16"/>
        </w:rPr>
      </w:lvl>
    </w:lvlOverride>
    <w:lvlOverride w:ilvl="3">
      <w:lvl w:ilvl="3">
        <w:start w:val="1"/>
        <w:numFmt w:val="bullet"/>
        <w:lvlText w:val="►"/>
        <w:lvlJc w:val="left"/>
        <w:pPr>
          <w:ind w:left="1700" w:hanging="425"/>
        </w:pPr>
        <w:rPr>
          <w:rFonts w:ascii="Arial" w:hAnsi="Arial" w:hint="default"/>
          <w:sz w:val="16"/>
        </w:rPr>
      </w:lvl>
    </w:lvlOverride>
    <w:lvlOverride w:ilvl="4">
      <w:lvl w:ilvl="4">
        <w:start w:val="1"/>
        <w:numFmt w:val="bullet"/>
        <w:lvlText w:val="►"/>
        <w:lvlJc w:val="left"/>
        <w:pPr>
          <w:ind w:left="2125" w:hanging="425"/>
        </w:pPr>
        <w:rPr>
          <w:rFonts w:ascii="Arial" w:hAnsi="Arial" w:hint="default"/>
          <w:sz w:val="16"/>
        </w:rPr>
      </w:lvl>
    </w:lvlOverride>
    <w:lvlOverride w:ilvl="5">
      <w:lvl w:ilvl="5">
        <w:start w:val="1"/>
        <w:numFmt w:val="bullet"/>
        <w:lvlText w:val="►"/>
        <w:lvlJc w:val="left"/>
        <w:pPr>
          <w:ind w:left="2550" w:hanging="425"/>
        </w:pPr>
        <w:rPr>
          <w:rFonts w:ascii="Arial" w:hAnsi="Arial" w:hint="default"/>
          <w:sz w:val="16"/>
        </w:rPr>
      </w:lvl>
    </w:lvlOverride>
    <w:lvlOverride w:ilvl="6">
      <w:lvl w:ilvl="6">
        <w:start w:val="1"/>
        <w:numFmt w:val="bullet"/>
        <w:lvlText w:val="►"/>
        <w:lvlJc w:val="left"/>
        <w:pPr>
          <w:ind w:left="2975" w:hanging="425"/>
        </w:pPr>
        <w:rPr>
          <w:rFonts w:ascii="Arial" w:hAnsi="Arial" w:hint="default"/>
          <w:sz w:val="16"/>
        </w:rPr>
      </w:lvl>
    </w:lvlOverride>
    <w:lvlOverride w:ilvl="7">
      <w:lvl w:ilvl="7">
        <w:start w:val="1"/>
        <w:numFmt w:val="bullet"/>
        <w:lvlText w:val="►"/>
        <w:lvlJc w:val="left"/>
        <w:pPr>
          <w:ind w:left="3400" w:hanging="425"/>
        </w:pPr>
        <w:rPr>
          <w:rFonts w:ascii="Arial" w:hAnsi="Arial" w:hint="default"/>
          <w:sz w:val="16"/>
        </w:rPr>
      </w:lvl>
    </w:lvlOverride>
    <w:lvlOverride w:ilvl="8">
      <w:lvl w:ilvl="8">
        <w:start w:val="1"/>
        <w:numFmt w:val="bullet"/>
        <w:lvlText w:val="►"/>
        <w:lvlJc w:val="left"/>
        <w:pPr>
          <w:ind w:left="3825" w:hanging="425"/>
        </w:pPr>
        <w:rPr>
          <w:rFonts w:ascii="Arial" w:hAnsi="Arial" w:hint="default"/>
          <w:sz w:val="16"/>
        </w:rPr>
      </w:lvl>
    </w:lvlOverride>
  </w:num>
  <w:num w:numId="46" w16cid:durableId="301154322">
    <w:abstractNumId w:val="3"/>
  </w:num>
  <w:num w:numId="47" w16cid:durableId="1733848187">
    <w:abstractNumId w:val="1"/>
    <w:lvlOverride w:ilvl="0"/>
    <w:lvlOverride w:ilvl="1"/>
    <w:lvlOverride w:ilvl="2"/>
    <w:lvlOverride w:ilvl="3"/>
    <w:lvlOverride w:ilvl="4"/>
    <w:lvlOverride w:ilvl="5"/>
    <w:lvlOverride w:ilvl="6"/>
    <w:lvlOverride w:ilvl="7"/>
    <w:lvlOverride w:ilv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425"/>
  <w:drawingGridHorizontalSpacing w:val="237"/>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305"/>
    <w:rsid w:val="00000067"/>
    <w:rsid w:val="000000B0"/>
    <w:rsid w:val="000000FB"/>
    <w:rsid w:val="000000FE"/>
    <w:rsid w:val="00000315"/>
    <w:rsid w:val="00000434"/>
    <w:rsid w:val="0000044F"/>
    <w:rsid w:val="0000085C"/>
    <w:rsid w:val="00000936"/>
    <w:rsid w:val="00000AE7"/>
    <w:rsid w:val="00000DF5"/>
    <w:rsid w:val="00000EA1"/>
    <w:rsid w:val="00001137"/>
    <w:rsid w:val="0000124F"/>
    <w:rsid w:val="0000173C"/>
    <w:rsid w:val="0000190D"/>
    <w:rsid w:val="00001B35"/>
    <w:rsid w:val="00001D3A"/>
    <w:rsid w:val="0000217A"/>
    <w:rsid w:val="00002184"/>
    <w:rsid w:val="0000242D"/>
    <w:rsid w:val="00002483"/>
    <w:rsid w:val="00002685"/>
    <w:rsid w:val="000028EE"/>
    <w:rsid w:val="00002B30"/>
    <w:rsid w:val="00003381"/>
    <w:rsid w:val="00003474"/>
    <w:rsid w:val="000036ED"/>
    <w:rsid w:val="0000389D"/>
    <w:rsid w:val="00003958"/>
    <w:rsid w:val="00003B1D"/>
    <w:rsid w:val="00003F77"/>
    <w:rsid w:val="000042E2"/>
    <w:rsid w:val="00004333"/>
    <w:rsid w:val="000044B5"/>
    <w:rsid w:val="0000457D"/>
    <w:rsid w:val="0000480C"/>
    <w:rsid w:val="00004B7A"/>
    <w:rsid w:val="00004F10"/>
    <w:rsid w:val="000051C9"/>
    <w:rsid w:val="00005353"/>
    <w:rsid w:val="0000551C"/>
    <w:rsid w:val="00005919"/>
    <w:rsid w:val="000063AA"/>
    <w:rsid w:val="000064D7"/>
    <w:rsid w:val="000065EA"/>
    <w:rsid w:val="0000684A"/>
    <w:rsid w:val="000069C0"/>
    <w:rsid w:val="00006A91"/>
    <w:rsid w:val="00006DDB"/>
    <w:rsid w:val="00006E76"/>
    <w:rsid w:val="00007490"/>
    <w:rsid w:val="0000767B"/>
    <w:rsid w:val="00007784"/>
    <w:rsid w:val="0000778D"/>
    <w:rsid w:val="00007CED"/>
    <w:rsid w:val="00007D0A"/>
    <w:rsid w:val="00007D3A"/>
    <w:rsid w:val="00007DEF"/>
    <w:rsid w:val="00007FA9"/>
    <w:rsid w:val="00010001"/>
    <w:rsid w:val="00010179"/>
    <w:rsid w:val="00010320"/>
    <w:rsid w:val="00010468"/>
    <w:rsid w:val="0001048A"/>
    <w:rsid w:val="00010557"/>
    <w:rsid w:val="00010568"/>
    <w:rsid w:val="00010636"/>
    <w:rsid w:val="00010795"/>
    <w:rsid w:val="000109FB"/>
    <w:rsid w:val="00010FBA"/>
    <w:rsid w:val="00011540"/>
    <w:rsid w:val="000117E9"/>
    <w:rsid w:val="00011917"/>
    <w:rsid w:val="0001198D"/>
    <w:rsid w:val="0001205B"/>
    <w:rsid w:val="0001219B"/>
    <w:rsid w:val="00012533"/>
    <w:rsid w:val="000125A6"/>
    <w:rsid w:val="000127CA"/>
    <w:rsid w:val="00012B87"/>
    <w:rsid w:val="00012C24"/>
    <w:rsid w:val="00012E3A"/>
    <w:rsid w:val="00013100"/>
    <w:rsid w:val="000131DE"/>
    <w:rsid w:val="00013328"/>
    <w:rsid w:val="00013D43"/>
    <w:rsid w:val="00013D5B"/>
    <w:rsid w:val="00013DD5"/>
    <w:rsid w:val="00013F17"/>
    <w:rsid w:val="00013F57"/>
    <w:rsid w:val="0001431B"/>
    <w:rsid w:val="00014457"/>
    <w:rsid w:val="000144AA"/>
    <w:rsid w:val="000145C7"/>
    <w:rsid w:val="0001497E"/>
    <w:rsid w:val="00014AB5"/>
    <w:rsid w:val="00015038"/>
    <w:rsid w:val="00015221"/>
    <w:rsid w:val="00015303"/>
    <w:rsid w:val="0001548A"/>
    <w:rsid w:val="0001551C"/>
    <w:rsid w:val="00015558"/>
    <w:rsid w:val="000155E2"/>
    <w:rsid w:val="00015A51"/>
    <w:rsid w:val="00015A8F"/>
    <w:rsid w:val="00015A95"/>
    <w:rsid w:val="00016339"/>
    <w:rsid w:val="00016351"/>
    <w:rsid w:val="000163EF"/>
    <w:rsid w:val="000164FA"/>
    <w:rsid w:val="000165D0"/>
    <w:rsid w:val="000169C6"/>
    <w:rsid w:val="00016C8A"/>
    <w:rsid w:val="00016EDE"/>
    <w:rsid w:val="00016F74"/>
    <w:rsid w:val="000171D0"/>
    <w:rsid w:val="00017244"/>
    <w:rsid w:val="00017345"/>
    <w:rsid w:val="000173AC"/>
    <w:rsid w:val="000176E5"/>
    <w:rsid w:val="00017958"/>
    <w:rsid w:val="00017A2B"/>
    <w:rsid w:val="00017BD4"/>
    <w:rsid w:val="00017BE2"/>
    <w:rsid w:val="00017D65"/>
    <w:rsid w:val="00017EC0"/>
    <w:rsid w:val="00020BB4"/>
    <w:rsid w:val="00020CFA"/>
    <w:rsid w:val="00020D64"/>
    <w:rsid w:val="00020E13"/>
    <w:rsid w:val="00020F1D"/>
    <w:rsid w:val="00021206"/>
    <w:rsid w:val="00021353"/>
    <w:rsid w:val="00021869"/>
    <w:rsid w:val="000219A5"/>
    <w:rsid w:val="00021D23"/>
    <w:rsid w:val="00022433"/>
    <w:rsid w:val="00022442"/>
    <w:rsid w:val="00022699"/>
    <w:rsid w:val="0002278C"/>
    <w:rsid w:val="000228D3"/>
    <w:rsid w:val="000229DA"/>
    <w:rsid w:val="00022FA0"/>
    <w:rsid w:val="0002303D"/>
    <w:rsid w:val="0002310B"/>
    <w:rsid w:val="000234A1"/>
    <w:rsid w:val="00023594"/>
    <w:rsid w:val="00023780"/>
    <w:rsid w:val="00023989"/>
    <w:rsid w:val="000239DA"/>
    <w:rsid w:val="00023BFF"/>
    <w:rsid w:val="00023C32"/>
    <w:rsid w:val="000241C1"/>
    <w:rsid w:val="000241D1"/>
    <w:rsid w:val="00024345"/>
    <w:rsid w:val="00024522"/>
    <w:rsid w:val="000249CE"/>
    <w:rsid w:val="00024BE0"/>
    <w:rsid w:val="00024D4B"/>
    <w:rsid w:val="000251BC"/>
    <w:rsid w:val="000251D9"/>
    <w:rsid w:val="0002575E"/>
    <w:rsid w:val="000258D4"/>
    <w:rsid w:val="000258F7"/>
    <w:rsid w:val="00025AAA"/>
    <w:rsid w:val="00025B54"/>
    <w:rsid w:val="00025E7F"/>
    <w:rsid w:val="000260F3"/>
    <w:rsid w:val="00026293"/>
    <w:rsid w:val="00026779"/>
    <w:rsid w:val="00026891"/>
    <w:rsid w:val="00026C81"/>
    <w:rsid w:val="00026D6A"/>
    <w:rsid w:val="00026DF5"/>
    <w:rsid w:val="00026FB0"/>
    <w:rsid w:val="00026FF2"/>
    <w:rsid w:val="0002701F"/>
    <w:rsid w:val="00027071"/>
    <w:rsid w:val="00027711"/>
    <w:rsid w:val="00027BE9"/>
    <w:rsid w:val="00027C92"/>
    <w:rsid w:val="00027DE6"/>
    <w:rsid w:val="000305BF"/>
    <w:rsid w:val="00030691"/>
    <w:rsid w:val="00030782"/>
    <w:rsid w:val="00030977"/>
    <w:rsid w:val="00030C2F"/>
    <w:rsid w:val="00030D0B"/>
    <w:rsid w:val="00030ECF"/>
    <w:rsid w:val="00030F47"/>
    <w:rsid w:val="00030FB7"/>
    <w:rsid w:val="00031296"/>
    <w:rsid w:val="000316CA"/>
    <w:rsid w:val="00031778"/>
    <w:rsid w:val="000319BB"/>
    <w:rsid w:val="00031F21"/>
    <w:rsid w:val="00031F2F"/>
    <w:rsid w:val="00032275"/>
    <w:rsid w:val="0003255B"/>
    <w:rsid w:val="000326DB"/>
    <w:rsid w:val="0003274F"/>
    <w:rsid w:val="00032983"/>
    <w:rsid w:val="00032AC3"/>
    <w:rsid w:val="0003311F"/>
    <w:rsid w:val="000334A3"/>
    <w:rsid w:val="00033500"/>
    <w:rsid w:val="0003382E"/>
    <w:rsid w:val="00033B14"/>
    <w:rsid w:val="00033B5F"/>
    <w:rsid w:val="0003401C"/>
    <w:rsid w:val="0003430D"/>
    <w:rsid w:val="000343A1"/>
    <w:rsid w:val="00034463"/>
    <w:rsid w:val="000344D0"/>
    <w:rsid w:val="00034720"/>
    <w:rsid w:val="00034735"/>
    <w:rsid w:val="00034882"/>
    <w:rsid w:val="00034D14"/>
    <w:rsid w:val="00034D43"/>
    <w:rsid w:val="00034E5F"/>
    <w:rsid w:val="00034F31"/>
    <w:rsid w:val="00034F97"/>
    <w:rsid w:val="00035268"/>
    <w:rsid w:val="00035422"/>
    <w:rsid w:val="00035484"/>
    <w:rsid w:val="0003554D"/>
    <w:rsid w:val="000357A0"/>
    <w:rsid w:val="000358A9"/>
    <w:rsid w:val="000359AF"/>
    <w:rsid w:val="00035B96"/>
    <w:rsid w:val="00035E0F"/>
    <w:rsid w:val="000362A6"/>
    <w:rsid w:val="00036665"/>
    <w:rsid w:val="000367B6"/>
    <w:rsid w:val="000367EF"/>
    <w:rsid w:val="00036918"/>
    <w:rsid w:val="00036C48"/>
    <w:rsid w:val="00036D56"/>
    <w:rsid w:val="000370A8"/>
    <w:rsid w:val="00037127"/>
    <w:rsid w:val="00037289"/>
    <w:rsid w:val="00037802"/>
    <w:rsid w:val="00037DF7"/>
    <w:rsid w:val="00037E99"/>
    <w:rsid w:val="0004011D"/>
    <w:rsid w:val="0004036E"/>
    <w:rsid w:val="000403D4"/>
    <w:rsid w:val="00040786"/>
    <w:rsid w:val="000407CE"/>
    <w:rsid w:val="00040974"/>
    <w:rsid w:val="00041145"/>
    <w:rsid w:val="00041429"/>
    <w:rsid w:val="000414C0"/>
    <w:rsid w:val="00041A76"/>
    <w:rsid w:val="00041AD5"/>
    <w:rsid w:val="00041C65"/>
    <w:rsid w:val="00041F66"/>
    <w:rsid w:val="00042552"/>
    <w:rsid w:val="00042886"/>
    <w:rsid w:val="000429DE"/>
    <w:rsid w:val="00042B5D"/>
    <w:rsid w:val="00042BC0"/>
    <w:rsid w:val="00042BC3"/>
    <w:rsid w:val="00042D8D"/>
    <w:rsid w:val="00042E61"/>
    <w:rsid w:val="0004314E"/>
    <w:rsid w:val="00043310"/>
    <w:rsid w:val="00043709"/>
    <w:rsid w:val="00043D75"/>
    <w:rsid w:val="00043F80"/>
    <w:rsid w:val="00043F99"/>
    <w:rsid w:val="00044434"/>
    <w:rsid w:val="00044616"/>
    <w:rsid w:val="000447BF"/>
    <w:rsid w:val="00044AD9"/>
    <w:rsid w:val="00044BE1"/>
    <w:rsid w:val="00044D13"/>
    <w:rsid w:val="00044F19"/>
    <w:rsid w:val="00045081"/>
    <w:rsid w:val="000453FA"/>
    <w:rsid w:val="00045472"/>
    <w:rsid w:val="0004573B"/>
    <w:rsid w:val="00045CB3"/>
    <w:rsid w:val="00045D03"/>
    <w:rsid w:val="00045F38"/>
    <w:rsid w:val="000461CC"/>
    <w:rsid w:val="00046408"/>
    <w:rsid w:val="00046458"/>
    <w:rsid w:val="000464E9"/>
    <w:rsid w:val="0004670E"/>
    <w:rsid w:val="000469BB"/>
    <w:rsid w:val="00046A12"/>
    <w:rsid w:val="00046AEE"/>
    <w:rsid w:val="00046BD5"/>
    <w:rsid w:val="00046C57"/>
    <w:rsid w:val="00046C73"/>
    <w:rsid w:val="00046DF5"/>
    <w:rsid w:val="00046F28"/>
    <w:rsid w:val="00047333"/>
    <w:rsid w:val="00047425"/>
    <w:rsid w:val="00047810"/>
    <w:rsid w:val="00047857"/>
    <w:rsid w:val="00047905"/>
    <w:rsid w:val="00047963"/>
    <w:rsid w:val="000479B0"/>
    <w:rsid w:val="00047A3C"/>
    <w:rsid w:val="00047C62"/>
    <w:rsid w:val="00047D87"/>
    <w:rsid w:val="000502D6"/>
    <w:rsid w:val="00050680"/>
    <w:rsid w:val="000507DA"/>
    <w:rsid w:val="00050ADD"/>
    <w:rsid w:val="00050B2D"/>
    <w:rsid w:val="00050B52"/>
    <w:rsid w:val="00050C99"/>
    <w:rsid w:val="00050E92"/>
    <w:rsid w:val="000513AB"/>
    <w:rsid w:val="000513C4"/>
    <w:rsid w:val="00051517"/>
    <w:rsid w:val="000515FC"/>
    <w:rsid w:val="00051AAA"/>
    <w:rsid w:val="00051B36"/>
    <w:rsid w:val="00052039"/>
    <w:rsid w:val="00052482"/>
    <w:rsid w:val="00052694"/>
    <w:rsid w:val="000526F2"/>
    <w:rsid w:val="00052834"/>
    <w:rsid w:val="0005286E"/>
    <w:rsid w:val="0005298B"/>
    <w:rsid w:val="00052A6D"/>
    <w:rsid w:val="000533E4"/>
    <w:rsid w:val="00053668"/>
    <w:rsid w:val="00053788"/>
    <w:rsid w:val="000538B0"/>
    <w:rsid w:val="0005394D"/>
    <w:rsid w:val="00053C1D"/>
    <w:rsid w:val="00053CEA"/>
    <w:rsid w:val="00053D1B"/>
    <w:rsid w:val="00053DE2"/>
    <w:rsid w:val="00053F08"/>
    <w:rsid w:val="00054002"/>
    <w:rsid w:val="0005421D"/>
    <w:rsid w:val="0005442B"/>
    <w:rsid w:val="000544F3"/>
    <w:rsid w:val="00054709"/>
    <w:rsid w:val="00054B4E"/>
    <w:rsid w:val="00054B73"/>
    <w:rsid w:val="000550A9"/>
    <w:rsid w:val="000550AC"/>
    <w:rsid w:val="000551E6"/>
    <w:rsid w:val="000553D1"/>
    <w:rsid w:val="00055875"/>
    <w:rsid w:val="00055ABE"/>
    <w:rsid w:val="00055AFF"/>
    <w:rsid w:val="00055F37"/>
    <w:rsid w:val="000560A7"/>
    <w:rsid w:val="00056327"/>
    <w:rsid w:val="000568CD"/>
    <w:rsid w:val="00056AC7"/>
    <w:rsid w:val="00056B7C"/>
    <w:rsid w:val="00056C1E"/>
    <w:rsid w:val="00056F9E"/>
    <w:rsid w:val="000576CB"/>
    <w:rsid w:val="000577FC"/>
    <w:rsid w:val="000578A8"/>
    <w:rsid w:val="00057C30"/>
    <w:rsid w:val="000600DE"/>
    <w:rsid w:val="000601CC"/>
    <w:rsid w:val="00060945"/>
    <w:rsid w:val="00060C2A"/>
    <w:rsid w:val="00060F2D"/>
    <w:rsid w:val="00061000"/>
    <w:rsid w:val="00061253"/>
    <w:rsid w:val="00061657"/>
    <w:rsid w:val="000618F6"/>
    <w:rsid w:val="000619B3"/>
    <w:rsid w:val="00061A6E"/>
    <w:rsid w:val="00061AF7"/>
    <w:rsid w:val="00061D4E"/>
    <w:rsid w:val="00061DBF"/>
    <w:rsid w:val="00061E23"/>
    <w:rsid w:val="00061EF2"/>
    <w:rsid w:val="0006203C"/>
    <w:rsid w:val="000623A6"/>
    <w:rsid w:val="00062497"/>
    <w:rsid w:val="00062555"/>
    <w:rsid w:val="000625FF"/>
    <w:rsid w:val="00062624"/>
    <w:rsid w:val="000626FB"/>
    <w:rsid w:val="00062AA4"/>
    <w:rsid w:val="00062B50"/>
    <w:rsid w:val="00062BCC"/>
    <w:rsid w:val="00062C9E"/>
    <w:rsid w:val="00062F3B"/>
    <w:rsid w:val="000631CC"/>
    <w:rsid w:val="000631E0"/>
    <w:rsid w:val="00063A06"/>
    <w:rsid w:val="00063BB2"/>
    <w:rsid w:val="00063D27"/>
    <w:rsid w:val="00063E87"/>
    <w:rsid w:val="00063F02"/>
    <w:rsid w:val="0006445E"/>
    <w:rsid w:val="00064E32"/>
    <w:rsid w:val="000652A0"/>
    <w:rsid w:val="0006538E"/>
    <w:rsid w:val="00065517"/>
    <w:rsid w:val="00065758"/>
    <w:rsid w:val="0006576A"/>
    <w:rsid w:val="00065804"/>
    <w:rsid w:val="00065B00"/>
    <w:rsid w:val="00065CDF"/>
    <w:rsid w:val="00065DDD"/>
    <w:rsid w:val="00065F31"/>
    <w:rsid w:val="00065F8D"/>
    <w:rsid w:val="00066059"/>
    <w:rsid w:val="00066283"/>
    <w:rsid w:val="00066291"/>
    <w:rsid w:val="0006678E"/>
    <w:rsid w:val="00066A59"/>
    <w:rsid w:val="00066AD1"/>
    <w:rsid w:val="00066BE2"/>
    <w:rsid w:val="00066F98"/>
    <w:rsid w:val="00067062"/>
    <w:rsid w:val="000671B8"/>
    <w:rsid w:val="000671EF"/>
    <w:rsid w:val="00067933"/>
    <w:rsid w:val="00067975"/>
    <w:rsid w:val="00067B69"/>
    <w:rsid w:val="00067E16"/>
    <w:rsid w:val="00070012"/>
    <w:rsid w:val="000707D8"/>
    <w:rsid w:val="00070961"/>
    <w:rsid w:val="00070DAA"/>
    <w:rsid w:val="00070DBE"/>
    <w:rsid w:val="00070E80"/>
    <w:rsid w:val="0007108A"/>
    <w:rsid w:val="0007109E"/>
    <w:rsid w:val="000711D6"/>
    <w:rsid w:val="00071370"/>
    <w:rsid w:val="000717BC"/>
    <w:rsid w:val="00071984"/>
    <w:rsid w:val="00071CDA"/>
    <w:rsid w:val="00071E05"/>
    <w:rsid w:val="00071F68"/>
    <w:rsid w:val="00071FFF"/>
    <w:rsid w:val="00072259"/>
    <w:rsid w:val="0007226A"/>
    <w:rsid w:val="000724E5"/>
    <w:rsid w:val="0007262C"/>
    <w:rsid w:val="0007282F"/>
    <w:rsid w:val="0007285B"/>
    <w:rsid w:val="0007296F"/>
    <w:rsid w:val="00072A0B"/>
    <w:rsid w:val="00072AB3"/>
    <w:rsid w:val="00072B03"/>
    <w:rsid w:val="00072CC2"/>
    <w:rsid w:val="00072FFA"/>
    <w:rsid w:val="00073266"/>
    <w:rsid w:val="000734FD"/>
    <w:rsid w:val="000739BA"/>
    <w:rsid w:val="00073AC2"/>
    <w:rsid w:val="00073ED2"/>
    <w:rsid w:val="00073FA9"/>
    <w:rsid w:val="0007414D"/>
    <w:rsid w:val="00074371"/>
    <w:rsid w:val="0007484F"/>
    <w:rsid w:val="00074E6E"/>
    <w:rsid w:val="00074EAD"/>
    <w:rsid w:val="000750BC"/>
    <w:rsid w:val="00075161"/>
    <w:rsid w:val="00075263"/>
    <w:rsid w:val="000752E0"/>
    <w:rsid w:val="0007536D"/>
    <w:rsid w:val="000753E9"/>
    <w:rsid w:val="000756AF"/>
    <w:rsid w:val="00075AAC"/>
    <w:rsid w:val="00075B3F"/>
    <w:rsid w:val="00075B8E"/>
    <w:rsid w:val="00075B99"/>
    <w:rsid w:val="00075CDF"/>
    <w:rsid w:val="00075EF4"/>
    <w:rsid w:val="000760B8"/>
    <w:rsid w:val="000763AD"/>
    <w:rsid w:val="00076408"/>
    <w:rsid w:val="000766D2"/>
    <w:rsid w:val="000768AF"/>
    <w:rsid w:val="00076BFC"/>
    <w:rsid w:val="00076C95"/>
    <w:rsid w:val="00076F7B"/>
    <w:rsid w:val="00076FDC"/>
    <w:rsid w:val="000770FC"/>
    <w:rsid w:val="00077153"/>
    <w:rsid w:val="000771C3"/>
    <w:rsid w:val="00077534"/>
    <w:rsid w:val="000775D8"/>
    <w:rsid w:val="0007794B"/>
    <w:rsid w:val="00077B02"/>
    <w:rsid w:val="00077C8B"/>
    <w:rsid w:val="00077FD3"/>
    <w:rsid w:val="00080012"/>
    <w:rsid w:val="000806BC"/>
    <w:rsid w:val="00080887"/>
    <w:rsid w:val="00080F7A"/>
    <w:rsid w:val="000812DC"/>
    <w:rsid w:val="00081455"/>
    <w:rsid w:val="0008145F"/>
    <w:rsid w:val="000818AD"/>
    <w:rsid w:val="00081CEA"/>
    <w:rsid w:val="00081D9A"/>
    <w:rsid w:val="00082143"/>
    <w:rsid w:val="00082185"/>
    <w:rsid w:val="0008226D"/>
    <w:rsid w:val="000822EB"/>
    <w:rsid w:val="00082A94"/>
    <w:rsid w:val="00082ABC"/>
    <w:rsid w:val="00082AD0"/>
    <w:rsid w:val="00082B2A"/>
    <w:rsid w:val="00082C48"/>
    <w:rsid w:val="00082E01"/>
    <w:rsid w:val="00082F7E"/>
    <w:rsid w:val="0008347A"/>
    <w:rsid w:val="000837A5"/>
    <w:rsid w:val="000838D7"/>
    <w:rsid w:val="0008392A"/>
    <w:rsid w:val="00083B94"/>
    <w:rsid w:val="00083BF5"/>
    <w:rsid w:val="0008403D"/>
    <w:rsid w:val="0008442C"/>
    <w:rsid w:val="000845FB"/>
    <w:rsid w:val="00084B49"/>
    <w:rsid w:val="00084C1C"/>
    <w:rsid w:val="00084DD0"/>
    <w:rsid w:val="0008504D"/>
    <w:rsid w:val="0008505F"/>
    <w:rsid w:val="00085236"/>
    <w:rsid w:val="00085393"/>
    <w:rsid w:val="000854CF"/>
    <w:rsid w:val="00085519"/>
    <w:rsid w:val="00085631"/>
    <w:rsid w:val="00085963"/>
    <w:rsid w:val="00085C4B"/>
    <w:rsid w:val="00085CA2"/>
    <w:rsid w:val="00085CEF"/>
    <w:rsid w:val="00085EC8"/>
    <w:rsid w:val="00085F4B"/>
    <w:rsid w:val="000861BE"/>
    <w:rsid w:val="000864A8"/>
    <w:rsid w:val="00086630"/>
    <w:rsid w:val="0008664F"/>
    <w:rsid w:val="0008679D"/>
    <w:rsid w:val="000867D9"/>
    <w:rsid w:val="000868C3"/>
    <w:rsid w:val="00086BE6"/>
    <w:rsid w:val="00086D99"/>
    <w:rsid w:val="00086FE8"/>
    <w:rsid w:val="00087488"/>
    <w:rsid w:val="00087559"/>
    <w:rsid w:val="0008798E"/>
    <w:rsid w:val="000879AD"/>
    <w:rsid w:val="00087FD0"/>
    <w:rsid w:val="0009000A"/>
    <w:rsid w:val="0009020B"/>
    <w:rsid w:val="00090478"/>
    <w:rsid w:val="00090527"/>
    <w:rsid w:val="00090568"/>
    <w:rsid w:val="000905BC"/>
    <w:rsid w:val="000906EB"/>
    <w:rsid w:val="000907D9"/>
    <w:rsid w:val="0009092A"/>
    <w:rsid w:val="00090EC0"/>
    <w:rsid w:val="00090F00"/>
    <w:rsid w:val="00090FB7"/>
    <w:rsid w:val="000910ED"/>
    <w:rsid w:val="00091242"/>
    <w:rsid w:val="000912BC"/>
    <w:rsid w:val="0009161A"/>
    <w:rsid w:val="00091641"/>
    <w:rsid w:val="00091783"/>
    <w:rsid w:val="000919B7"/>
    <w:rsid w:val="00091C8D"/>
    <w:rsid w:val="000922CC"/>
    <w:rsid w:val="0009241D"/>
    <w:rsid w:val="00092620"/>
    <w:rsid w:val="000926BC"/>
    <w:rsid w:val="00092759"/>
    <w:rsid w:val="000928EB"/>
    <w:rsid w:val="00092900"/>
    <w:rsid w:val="00092B86"/>
    <w:rsid w:val="00092FAF"/>
    <w:rsid w:val="0009349A"/>
    <w:rsid w:val="0009372D"/>
    <w:rsid w:val="0009382E"/>
    <w:rsid w:val="00093AF5"/>
    <w:rsid w:val="00093C8F"/>
    <w:rsid w:val="000940D8"/>
    <w:rsid w:val="000941DA"/>
    <w:rsid w:val="0009427B"/>
    <w:rsid w:val="0009435E"/>
    <w:rsid w:val="00094C6C"/>
    <w:rsid w:val="00094D04"/>
    <w:rsid w:val="00094F14"/>
    <w:rsid w:val="00094F29"/>
    <w:rsid w:val="00095010"/>
    <w:rsid w:val="00095397"/>
    <w:rsid w:val="0009543B"/>
    <w:rsid w:val="00095485"/>
    <w:rsid w:val="000954B6"/>
    <w:rsid w:val="000954BD"/>
    <w:rsid w:val="00095595"/>
    <w:rsid w:val="000956A6"/>
    <w:rsid w:val="00095706"/>
    <w:rsid w:val="000959B0"/>
    <w:rsid w:val="00095ADF"/>
    <w:rsid w:val="00095C3C"/>
    <w:rsid w:val="00095D03"/>
    <w:rsid w:val="00095D15"/>
    <w:rsid w:val="00095F4B"/>
    <w:rsid w:val="0009625D"/>
    <w:rsid w:val="00096614"/>
    <w:rsid w:val="00096743"/>
    <w:rsid w:val="000969EF"/>
    <w:rsid w:val="00096A29"/>
    <w:rsid w:val="00096D58"/>
    <w:rsid w:val="00096F55"/>
    <w:rsid w:val="00097073"/>
    <w:rsid w:val="00097315"/>
    <w:rsid w:val="00097512"/>
    <w:rsid w:val="000975A8"/>
    <w:rsid w:val="00097A84"/>
    <w:rsid w:val="00097C5D"/>
    <w:rsid w:val="000A01BD"/>
    <w:rsid w:val="000A01DF"/>
    <w:rsid w:val="000A0463"/>
    <w:rsid w:val="000A0642"/>
    <w:rsid w:val="000A0D0E"/>
    <w:rsid w:val="000A132D"/>
    <w:rsid w:val="000A13E4"/>
    <w:rsid w:val="000A14F5"/>
    <w:rsid w:val="000A1526"/>
    <w:rsid w:val="000A1864"/>
    <w:rsid w:val="000A19E8"/>
    <w:rsid w:val="000A1A41"/>
    <w:rsid w:val="000A1BBA"/>
    <w:rsid w:val="000A1CAC"/>
    <w:rsid w:val="000A1D03"/>
    <w:rsid w:val="000A205F"/>
    <w:rsid w:val="000A210F"/>
    <w:rsid w:val="000A22E5"/>
    <w:rsid w:val="000A23FF"/>
    <w:rsid w:val="000A24F9"/>
    <w:rsid w:val="000A2530"/>
    <w:rsid w:val="000A2721"/>
    <w:rsid w:val="000A2A5E"/>
    <w:rsid w:val="000A2A61"/>
    <w:rsid w:val="000A2CC4"/>
    <w:rsid w:val="000A2D74"/>
    <w:rsid w:val="000A2F7D"/>
    <w:rsid w:val="000A30FD"/>
    <w:rsid w:val="000A3229"/>
    <w:rsid w:val="000A348F"/>
    <w:rsid w:val="000A3550"/>
    <w:rsid w:val="000A3584"/>
    <w:rsid w:val="000A3817"/>
    <w:rsid w:val="000A3912"/>
    <w:rsid w:val="000A3AAD"/>
    <w:rsid w:val="000A3BB9"/>
    <w:rsid w:val="000A406E"/>
    <w:rsid w:val="000A4144"/>
    <w:rsid w:val="000A4426"/>
    <w:rsid w:val="000A456A"/>
    <w:rsid w:val="000A45AE"/>
    <w:rsid w:val="000A45EB"/>
    <w:rsid w:val="000A46D3"/>
    <w:rsid w:val="000A4FBE"/>
    <w:rsid w:val="000A5193"/>
    <w:rsid w:val="000A519C"/>
    <w:rsid w:val="000A52E4"/>
    <w:rsid w:val="000A548F"/>
    <w:rsid w:val="000A54EA"/>
    <w:rsid w:val="000A591C"/>
    <w:rsid w:val="000A5B9D"/>
    <w:rsid w:val="000A5CAB"/>
    <w:rsid w:val="000A5E98"/>
    <w:rsid w:val="000A5F68"/>
    <w:rsid w:val="000A61F7"/>
    <w:rsid w:val="000A6282"/>
    <w:rsid w:val="000A6449"/>
    <w:rsid w:val="000A64BA"/>
    <w:rsid w:val="000A655A"/>
    <w:rsid w:val="000A6950"/>
    <w:rsid w:val="000A6B20"/>
    <w:rsid w:val="000A6B62"/>
    <w:rsid w:val="000A6C63"/>
    <w:rsid w:val="000A6E63"/>
    <w:rsid w:val="000A6EAD"/>
    <w:rsid w:val="000A7044"/>
    <w:rsid w:val="000A75A4"/>
    <w:rsid w:val="000A7798"/>
    <w:rsid w:val="000A7A10"/>
    <w:rsid w:val="000A7B56"/>
    <w:rsid w:val="000A7C43"/>
    <w:rsid w:val="000A7C79"/>
    <w:rsid w:val="000A7CBE"/>
    <w:rsid w:val="000A7CF1"/>
    <w:rsid w:val="000B0949"/>
    <w:rsid w:val="000B09D9"/>
    <w:rsid w:val="000B0A8F"/>
    <w:rsid w:val="000B0C7F"/>
    <w:rsid w:val="000B0D56"/>
    <w:rsid w:val="000B0E3C"/>
    <w:rsid w:val="000B1152"/>
    <w:rsid w:val="000B13CF"/>
    <w:rsid w:val="000B14EB"/>
    <w:rsid w:val="000B1515"/>
    <w:rsid w:val="000B1915"/>
    <w:rsid w:val="000B1DC9"/>
    <w:rsid w:val="000B1F15"/>
    <w:rsid w:val="000B1FB7"/>
    <w:rsid w:val="000B2360"/>
    <w:rsid w:val="000B24BA"/>
    <w:rsid w:val="000B2535"/>
    <w:rsid w:val="000B298A"/>
    <w:rsid w:val="000B29F2"/>
    <w:rsid w:val="000B2B05"/>
    <w:rsid w:val="000B2C56"/>
    <w:rsid w:val="000B2CB7"/>
    <w:rsid w:val="000B2EC6"/>
    <w:rsid w:val="000B312C"/>
    <w:rsid w:val="000B362A"/>
    <w:rsid w:val="000B3692"/>
    <w:rsid w:val="000B37CE"/>
    <w:rsid w:val="000B3856"/>
    <w:rsid w:val="000B3898"/>
    <w:rsid w:val="000B38C4"/>
    <w:rsid w:val="000B3A1D"/>
    <w:rsid w:val="000B3B5D"/>
    <w:rsid w:val="000B3CAF"/>
    <w:rsid w:val="000B3EF3"/>
    <w:rsid w:val="000B42B8"/>
    <w:rsid w:val="000B42BC"/>
    <w:rsid w:val="000B4802"/>
    <w:rsid w:val="000B4D60"/>
    <w:rsid w:val="000B4E27"/>
    <w:rsid w:val="000B4F96"/>
    <w:rsid w:val="000B512C"/>
    <w:rsid w:val="000B5139"/>
    <w:rsid w:val="000B52A3"/>
    <w:rsid w:val="000B52B8"/>
    <w:rsid w:val="000B55BE"/>
    <w:rsid w:val="000B590F"/>
    <w:rsid w:val="000B591C"/>
    <w:rsid w:val="000B5B81"/>
    <w:rsid w:val="000B5CC6"/>
    <w:rsid w:val="000B61A5"/>
    <w:rsid w:val="000B634F"/>
    <w:rsid w:val="000B6424"/>
    <w:rsid w:val="000B64F7"/>
    <w:rsid w:val="000B664A"/>
    <w:rsid w:val="000B664F"/>
    <w:rsid w:val="000B66E3"/>
    <w:rsid w:val="000B67D2"/>
    <w:rsid w:val="000B6A24"/>
    <w:rsid w:val="000B6B79"/>
    <w:rsid w:val="000B6DAA"/>
    <w:rsid w:val="000B6E95"/>
    <w:rsid w:val="000B6F40"/>
    <w:rsid w:val="000B70AF"/>
    <w:rsid w:val="000B7334"/>
    <w:rsid w:val="000B75A2"/>
    <w:rsid w:val="000B7613"/>
    <w:rsid w:val="000B7676"/>
    <w:rsid w:val="000B7A23"/>
    <w:rsid w:val="000B7A29"/>
    <w:rsid w:val="000B7B7D"/>
    <w:rsid w:val="000B7CEF"/>
    <w:rsid w:val="000B7D09"/>
    <w:rsid w:val="000B7E7F"/>
    <w:rsid w:val="000C0014"/>
    <w:rsid w:val="000C00D6"/>
    <w:rsid w:val="000C0160"/>
    <w:rsid w:val="000C01CD"/>
    <w:rsid w:val="000C01D0"/>
    <w:rsid w:val="000C0378"/>
    <w:rsid w:val="000C03E3"/>
    <w:rsid w:val="000C0577"/>
    <w:rsid w:val="000C0763"/>
    <w:rsid w:val="000C097C"/>
    <w:rsid w:val="000C0B1E"/>
    <w:rsid w:val="000C0B56"/>
    <w:rsid w:val="000C0C43"/>
    <w:rsid w:val="000C0D8A"/>
    <w:rsid w:val="000C0F99"/>
    <w:rsid w:val="000C1398"/>
    <w:rsid w:val="000C1651"/>
    <w:rsid w:val="000C16BF"/>
    <w:rsid w:val="000C177A"/>
    <w:rsid w:val="000C1817"/>
    <w:rsid w:val="000C192F"/>
    <w:rsid w:val="000C1A1C"/>
    <w:rsid w:val="000C1AD9"/>
    <w:rsid w:val="000C1D27"/>
    <w:rsid w:val="000C1E77"/>
    <w:rsid w:val="000C1EDB"/>
    <w:rsid w:val="000C226E"/>
    <w:rsid w:val="000C22FD"/>
    <w:rsid w:val="000C2301"/>
    <w:rsid w:val="000C23E0"/>
    <w:rsid w:val="000C2495"/>
    <w:rsid w:val="000C24F7"/>
    <w:rsid w:val="000C28B3"/>
    <w:rsid w:val="000C29E7"/>
    <w:rsid w:val="000C2A8D"/>
    <w:rsid w:val="000C2BE4"/>
    <w:rsid w:val="000C3215"/>
    <w:rsid w:val="000C3A75"/>
    <w:rsid w:val="000C3C11"/>
    <w:rsid w:val="000C3C27"/>
    <w:rsid w:val="000C3E19"/>
    <w:rsid w:val="000C3E1A"/>
    <w:rsid w:val="000C3EE2"/>
    <w:rsid w:val="000C3F21"/>
    <w:rsid w:val="000C403C"/>
    <w:rsid w:val="000C4121"/>
    <w:rsid w:val="000C4165"/>
    <w:rsid w:val="000C45C7"/>
    <w:rsid w:val="000C46B5"/>
    <w:rsid w:val="000C46B6"/>
    <w:rsid w:val="000C46BC"/>
    <w:rsid w:val="000C4974"/>
    <w:rsid w:val="000C4C60"/>
    <w:rsid w:val="000C5100"/>
    <w:rsid w:val="000C539D"/>
    <w:rsid w:val="000C540C"/>
    <w:rsid w:val="000C58B0"/>
    <w:rsid w:val="000C5A86"/>
    <w:rsid w:val="000C5D52"/>
    <w:rsid w:val="000C5D7F"/>
    <w:rsid w:val="000C60CB"/>
    <w:rsid w:val="000C62FE"/>
    <w:rsid w:val="000C6589"/>
    <w:rsid w:val="000C65A0"/>
    <w:rsid w:val="000C6661"/>
    <w:rsid w:val="000C69EA"/>
    <w:rsid w:val="000C6ABB"/>
    <w:rsid w:val="000C6DB8"/>
    <w:rsid w:val="000C718F"/>
    <w:rsid w:val="000C7398"/>
    <w:rsid w:val="000C78AC"/>
    <w:rsid w:val="000C7968"/>
    <w:rsid w:val="000C7A0B"/>
    <w:rsid w:val="000C7A38"/>
    <w:rsid w:val="000C7A9A"/>
    <w:rsid w:val="000C7C28"/>
    <w:rsid w:val="000C7C30"/>
    <w:rsid w:val="000C7C3D"/>
    <w:rsid w:val="000C7D1B"/>
    <w:rsid w:val="000C7D47"/>
    <w:rsid w:val="000D04A7"/>
    <w:rsid w:val="000D0551"/>
    <w:rsid w:val="000D05E7"/>
    <w:rsid w:val="000D0C82"/>
    <w:rsid w:val="000D0D00"/>
    <w:rsid w:val="000D0E1E"/>
    <w:rsid w:val="000D100C"/>
    <w:rsid w:val="000D15EB"/>
    <w:rsid w:val="000D173D"/>
    <w:rsid w:val="000D1883"/>
    <w:rsid w:val="000D1BEF"/>
    <w:rsid w:val="000D1D2E"/>
    <w:rsid w:val="000D1E2A"/>
    <w:rsid w:val="000D1E48"/>
    <w:rsid w:val="000D2388"/>
    <w:rsid w:val="000D27AE"/>
    <w:rsid w:val="000D27B4"/>
    <w:rsid w:val="000D2AFF"/>
    <w:rsid w:val="000D2C3F"/>
    <w:rsid w:val="000D30A4"/>
    <w:rsid w:val="000D31D5"/>
    <w:rsid w:val="000D3309"/>
    <w:rsid w:val="000D343F"/>
    <w:rsid w:val="000D3B18"/>
    <w:rsid w:val="000D3B2A"/>
    <w:rsid w:val="000D3B5C"/>
    <w:rsid w:val="000D3E60"/>
    <w:rsid w:val="000D3FA1"/>
    <w:rsid w:val="000D3FB1"/>
    <w:rsid w:val="000D418C"/>
    <w:rsid w:val="000D4262"/>
    <w:rsid w:val="000D44C6"/>
    <w:rsid w:val="000D468C"/>
    <w:rsid w:val="000D4B90"/>
    <w:rsid w:val="000D4BD9"/>
    <w:rsid w:val="000D4EF9"/>
    <w:rsid w:val="000D504B"/>
    <w:rsid w:val="000D52AD"/>
    <w:rsid w:val="000D52DE"/>
    <w:rsid w:val="000D54F0"/>
    <w:rsid w:val="000D578F"/>
    <w:rsid w:val="000D58CE"/>
    <w:rsid w:val="000D5D3E"/>
    <w:rsid w:val="000D5E29"/>
    <w:rsid w:val="000D5E9E"/>
    <w:rsid w:val="000D5F82"/>
    <w:rsid w:val="000D606F"/>
    <w:rsid w:val="000D631E"/>
    <w:rsid w:val="000D6449"/>
    <w:rsid w:val="000D6628"/>
    <w:rsid w:val="000D66CD"/>
    <w:rsid w:val="000D686E"/>
    <w:rsid w:val="000D68CE"/>
    <w:rsid w:val="000D6CC6"/>
    <w:rsid w:val="000D74E9"/>
    <w:rsid w:val="000D74EE"/>
    <w:rsid w:val="000D752A"/>
    <w:rsid w:val="000D7A7F"/>
    <w:rsid w:val="000D7AC9"/>
    <w:rsid w:val="000D7CE8"/>
    <w:rsid w:val="000D7CF4"/>
    <w:rsid w:val="000D7D99"/>
    <w:rsid w:val="000D7F5B"/>
    <w:rsid w:val="000E072B"/>
    <w:rsid w:val="000E07AC"/>
    <w:rsid w:val="000E090D"/>
    <w:rsid w:val="000E0A0A"/>
    <w:rsid w:val="000E0B0F"/>
    <w:rsid w:val="000E0C9C"/>
    <w:rsid w:val="000E0EBF"/>
    <w:rsid w:val="000E1023"/>
    <w:rsid w:val="000E10F2"/>
    <w:rsid w:val="000E11B1"/>
    <w:rsid w:val="000E1326"/>
    <w:rsid w:val="000E14FC"/>
    <w:rsid w:val="000E1550"/>
    <w:rsid w:val="000E1714"/>
    <w:rsid w:val="000E189C"/>
    <w:rsid w:val="000E18F4"/>
    <w:rsid w:val="000E19BB"/>
    <w:rsid w:val="000E1ABF"/>
    <w:rsid w:val="000E1E46"/>
    <w:rsid w:val="000E204C"/>
    <w:rsid w:val="000E2339"/>
    <w:rsid w:val="000E2612"/>
    <w:rsid w:val="000E2713"/>
    <w:rsid w:val="000E2C05"/>
    <w:rsid w:val="000E2D2B"/>
    <w:rsid w:val="000E2D33"/>
    <w:rsid w:val="000E2F28"/>
    <w:rsid w:val="000E2F38"/>
    <w:rsid w:val="000E30AB"/>
    <w:rsid w:val="000E3114"/>
    <w:rsid w:val="000E317C"/>
    <w:rsid w:val="000E3450"/>
    <w:rsid w:val="000E3618"/>
    <w:rsid w:val="000E3915"/>
    <w:rsid w:val="000E3C52"/>
    <w:rsid w:val="000E3FB7"/>
    <w:rsid w:val="000E4107"/>
    <w:rsid w:val="000E4179"/>
    <w:rsid w:val="000E439E"/>
    <w:rsid w:val="000E46B8"/>
    <w:rsid w:val="000E48B4"/>
    <w:rsid w:val="000E48C5"/>
    <w:rsid w:val="000E49E6"/>
    <w:rsid w:val="000E50B7"/>
    <w:rsid w:val="000E524E"/>
    <w:rsid w:val="000E5543"/>
    <w:rsid w:val="000E56B8"/>
    <w:rsid w:val="000E5720"/>
    <w:rsid w:val="000E582D"/>
    <w:rsid w:val="000E5A82"/>
    <w:rsid w:val="000E5C29"/>
    <w:rsid w:val="000E5D93"/>
    <w:rsid w:val="000E5FC4"/>
    <w:rsid w:val="000E5FEA"/>
    <w:rsid w:val="000E6017"/>
    <w:rsid w:val="000E6266"/>
    <w:rsid w:val="000E6702"/>
    <w:rsid w:val="000E6804"/>
    <w:rsid w:val="000E6822"/>
    <w:rsid w:val="000E69CB"/>
    <w:rsid w:val="000E6A11"/>
    <w:rsid w:val="000E6DDB"/>
    <w:rsid w:val="000E6F01"/>
    <w:rsid w:val="000E6FDB"/>
    <w:rsid w:val="000E7166"/>
    <w:rsid w:val="000E71D4"/>
    <w:rsid w:val="000E7277"/>
    <w:rsid w:val="000E731C"/>
    <w:rsid w:val="000E7365"/>
    <w:rsid w:val="000E7588"/>
    <w:rsid w:val="000E7CBE"/>
    <w:rsid w:val="000E7CF1"/>
    <w:rsid w:val="000E7E0A"/>
    <w:rsid w:val="000E7E44"/>
    <w:rsid w:val="000E7F1C"/>
    <w:rsid w:val="000F0188"/>
    <w:rsid w:val="000F071C"/>
    <w:rsid w:val="000F081C"/>
    <w:rsid w:val="000F0949"/>
    <w:rsid w:val="000F09E6"/>
    <w:rsid w:val="000F0EFB"/>
    <w:rsid w:val="000F0FC8"/>
    <w:rsid w:val="000F12C4"/>
    <w:rsid w:val="000F13D5"/>
    <w:rsid w:val="000F14A5"/>
    <w:rsid w:val="000F14F6"/>
    <w:rsid w:val="000F15F3"/>
    <w:rsid w:val="000F16F0"/>
    <w:rsid w:val="000F1867"/>
    <w:rsid w:val="000F195D"/>
    <w:rsid w:val="000F1EB1"/>
    <w:rsid w:val="000F1F0C"/>
    <w:rsid w:val="000F220B"/>
    <w:rsid w:val="000F25D9"/>
    <w:rsid w:val="000F2ACD"/>
    <w:rsid w:val="000F2BFD"/>
    <w:rsid w:val="000F2DEE"/>
    <w:rsid w:val="000F2F63"/>
    <w:rsid w:val="000F315A"/>
    <w:rsid w:val="000F3544"/>
    <w:rsid w:val="000F36EC"/>
    <w:rsid w:val="000F373D"/>
    <w:rsid w:val="000F3A43"/>
    <w:rsid w:val="000F3FBC"/>
    <w:rsid w:val="000F4080"/>
    <w:rsid w:val="000F41A8"/>
    <w:rsid w:val="000F4716"/>
    <w:rsid w:val="000F47F6"/>
    <w:rsid w:val="000F4912"/>
    <w:rsid w:val="000F4A10"/>
    <w:rsid w:val="000F4B05"/>
    <w:rsid w:val="000F4B09"/>
    <w:rsid w:val="000F4EF5"/>
    <w:rsid w:val="000F5034"/>
    <w:rsid w:val="000F50AB"/>
    <w:rsid w:val="000F515C"/>
    <w:rsid w:val="000F518D"/>
    <w:rsid w:val="000F56D5"/>
    <w:rsid w:val="000F57D0"/>
    <w:rsid w:val="000F5909"/>
    <w:rsid w:val="000F5CE9"/>
    <w:rsid w:val="000F5D22"/>
    <w:rsid w:val="000F5D5D"/>
    <w:rsid w:val="000F5DD0"/>
    <w:rsid w:val="000F5E9F"/>
    <w:rsid w:val="000F61E3"/>
    <w:rsid w:val="000F63CE"/>
    <w:rsid w:val="000F6664"/>
    <w:rsid w:val="000F667E"/>
    <w:rsid w:val="000F685E"/>
    <w:rsid w:val="000F6C3C"/>
    <w:rsid w:val="000F6F01"/>
    <w:rsid w:val="000F73C4"/>
    <w:rsid w:val="000F76FC"/>
    <w:rsid w:val="000F7D7E"/>
    <w:rsid w:val="000F7FE2"/>
    <w:rsid w:val="001001ED"/>
    <w:rsid w:val="0010029C"/>
    <w:rsid w:val="00100521"/>
    <w:rsid w:val="00100753"/>
    <w:rsid w:val="001008DB"/>
    <w:rsid w:val="0010096D"/>
    <w:rsid w:val="00100B3B"/>
    <w:rsid w:val="00100BA8"/>
    <w:rsid w:val="00100DEF"/>
    <w:rsid w:val="00100F2A"/>
    <w:rsid w:val="00100FA9"/>
    <w:rsid w:val="001010DE"/>
    <w:rsid w:val="001010F4"/>
    <w:rsid w:val="001016BF"/>
    <w:rsid w:val="00101804"/>
    <w:rsid w:val="00101A5F"/>
    <w:rsid w:val="00101AF6"/>
    <w:rsid w:val="00101C7A"/>
    <w:rsid w:val="00101D6A"/>
    <w:rsid w:val="001021B7"/>
    <w:rsid w:val="001023E6"/>
    <w:rsid w:val="001025E1"/>
    <w:rsid w:val="0010282B"/>
    <w:rsid w:val="00102C7C"/>
    <w:rsid w:val="00102F8F"/>
    <w:rsid w:val="0010323D"/>
    <w:rsid w:val="0010332B"/>
    <w:rsid w:val="0010354F"/>
    <w:rsid w:val="00103A78"/>
    <w:rsid w:val="00103BB0"/>
    <w:rsid w:val="00103E09"/>
    <w:rsid w:val="001044C3"/>
    <w:rsid w:val="00104534"/>
    <w:rsid w:val="00104644"/>
    <w:rsid w:val="001049D7"/>
    <w:rsid w:val="00104A30"/>
    <w:rsid w:val="00104A47"/>
    <w:rsid w:val="00104A53"/>
    <w:rsid w:val="00104C52"/>
    <w:rsid w:val="00104F12"/>
    <w:rsid w:val="00105513"/>
    <w:rsid w:val="00105B3D"/>
    <w:rsid w:val="00105D5E"/>
    <w:rsid w:val="0010608F"/>
    <w:rsid w:val="001060DE"/>
    <w:rsid w:val="001061A5"/>
    <w:rsid w:val="001061F6"/>
    <w:rsid w:val="001064AE"/>
    <w:rsid w:val="001068CB"/>
    <w:rsid w:val="0010692D"/>
    <w:rsid w:val="00106A92"/>
    <w:rsid w:val="00106B4D"/>
    <w:rsid w:val="00106BEB"/>
    <w:rsid w:val="00106E16"/>
    <w:rsid w:val="00106E58"/>
    <w:rsid w:val="00106E8E"/>
    <w:rsid w:val="00106EFA"/>
    <w:rsid w:val="001070A2"/>
    <w:rsid w:val="001073DE"/>
    <w:rsid w:val="0010770E"/>
    <w:rsid w:val="001077DD"/>
    <w:rsid w:val="001078C1"/>
    <w:rsid w:val="00107C67"/>
    <w:rsid w:val="00107D9B"/>
    <w:rsid w:val="00107FCA"/>
    <w:rsid w:val="00110523"/>
    <w:rsid w:val="00110631"/>
    <w:rsid w:val="00110DFA"/>
    <w:rsid w:val="00110EBE"/>
    <w:rsid w:val="00110FD2"/>
    <w:rsid w:val="00111929"/>
    <w:rsid w:val="00111BA0"/>
    <w:rsid w:val="00111FE0"/>
    <w:rsid w:val="00112019"/>
    <w:rsid w:val="00112685"/>
    <w:rsid w:val="001126C8"/>
    <w:rsid w:val="00112E07"/>
    <w:rsid w:val="001131D5"/>
    <w:rsid w:val="001131D8"/>
    <w:rsid w:val="001131E8"/>
    <w:rsid w:val="00113281"/>
    <w:rsid w:val="001134ED"/>
    <w:rsid w:val="001135E9"/>
    <w:rsid w:val="00113735"/>
    <w:rsid w:val="0011387F"/>
    <w:rsid w:val="0011391E"/>
    <w:rsid w:val="0011393F"/>
    <w:rsid w:val="001139D9"/>
    <w:rsid w:val="00113DFF"/>
    <w:rsid w:val="00113ECF"/>
    <w:rsid w:val="00113EE1"/>
    <w:rsid w:val="00114357"/>
    <w:rsid w:val="00114469"/>
    <w:rsid w:val="001144C7"/>
    <w:rsid w:val="001145B6"/>
    <w:rsid w:val="001145C2"/>
    <w:rsid w:val="00114871"/>
    <w:rsid w:val="00114B62"/>
    <w:rsid w:val="00114C6C"/>
    <w:rsid w:val="00114DD0"/>
    <w:rsid w:val="00114DF5"/>
    <w:rsid w:val="001150BB"/>
    <w:rsid w:val="00115172"/>
    <w:rsid w:val="001155BD"/>
    <w:rsid w:val="001156D6"/>
    <w:rsid w:val="001156F5"/>
    <w:rsid w:val="001157A2"/>
    <w:rsid w:val="001158BC"/>
    <w:rsid w:val="00115B76"/>
    <w:rsid w:val="00115C23"/>
    <w:rsid w:val="00115C30"/>
    <w:rsid w:val="00115CD5"/>
    <w:rsid w:val="00115D93"/>
    <w:rsid w:val="00115DC3"/>
    <w:rsid w:val="00115DD4"/>
    <w:rsid w:val="0011629C"/>
    <w:rsid w:val="001166B6"/>
    <w:rsid w:val="001166CD"/>
    <w:rsid w:val="001167AE"/>
    <w:rsid w:val="00116EEB"/>
    <w:rsid w:val="00116F66"/>
    <w:rsid w:val="0011726F"/>
    <w:rsid w:val="0011727E"/>
    <w:rsid w:val="001172CA"/>
    <w:rsid w:val="0011738D"/>
    <w:rsid w:val="00117455"/>
    <w:rsid w:val="00117757"/>
    <w:rsid w:val="00117A67"/>
    <w:rsid w:val="00117EAA"/>
    <w:rsid w:val="00120009"/>
    <w:rsid w:val="001203B0"/>
    <w:rsid w:val="00120471"/>
    <w:rsid w:val="0012062A"/>
    <w:rsid w:val="00120880"/>
    <w:rsid w:val="001217D7"/>
    <w:rsid w:val="00121A58"/>
    <w:rsid w:val="00121BFA"/>
    <w:rsid w:val="00121FD4"/>
    <w:rsid w:val="00122009"/>
    <w:rsid w:val="00122078"/>
    <w:rsid w:val="001220BE"/>
    <w:rsid w:val="001223D3"/>
    <w:rsid w:val="0012256D"/>
    <w:rsid w:val="0012281A"/>
    <w:rsid w:val="00122976"/>
    <w:rsid w:val="001233EA"/>
    <w:rsid w:val="001233FF"/>
    <w:rsid w:val="00123592"/>
    <w:rsid w:val="00123667"/>
    <w:rsid w:val="00123835"/>
    <w:rsid w:val="00123877"/>
    <w:rsid w:val="001238E8"/>
    <w:rsid w:val="00123B00"/>
    <w:rsid w:val="00123C99"/>
    <w:rsid w:val="00123D0F"/>
    <w:rsid w:val="00123D35"/>
    <w:rsid w:val="00123E9B"/>
    <w:rsid w:val="00123EEE"/>
    <w:rsid w:val="00124098"/>
    <w:rsid w:val="0012428C"/>
    <w:rsid w:val="0012440A"/>
    <w:rsid w:val="00124413"/>
    <w:rsid w:val="0012479E"/>
    <w:rsid w:val="00124CC2"/>
    <w:rsid w:val="00124CFE"/>
    <w:rsid w:val="00124DDC"/>
    <w:rsid w:val="00125086"/>
    <w:rsid w:val="001252B7"/>
    <w:rsid w:val="001253C4"/>
    <w:rsid w:val="00125543"/>
    <w:rsid w:val="00125A24"/>
    <w:rsid w:val="00125B4E"/>
    <w:rsid w:val="00125E39"/>
    <w:rsid w:val="00126159"/>
    <w:rsid w:val="001262C7"/>
    <w:rsid w:val="0012683F"/>
    <w:rsid w:val="00126E95"/>
    <w:rsid w:val="0012744B"/>
    <w:rsid w:val="00127490"/>
    <w:rsid w:val="00127654"/>
    <w:rsid w:val="00127B5D"/>
    <w:rsid w:val="00127E00"/>
    <w:rsid w:val="00127FE0"/>
    <w:rsid w:val="00127FED"/>
    <w:rsid w:val="001306F2"/>
    <w:rsid w:val="001307E5"/>
    <w:rsid w:val="00130BD4"/>
    <w:rsid w:val="00130ECD"/>
    <w:rsid w:val="00130F2F"/>
    <w:rsid w:val="001312CC"/>
    <w:rsid w:val="0013136F"/>
    <w:rsid w:val="0013138F"/>
    <w:rsid w:val="001313BA"/>
    <w:rsid w:val="00131532"/>
    <w:rsid w:val="001315BF"/>
    <w:rsid w:val="00131A7E"/>
    <w:rsid w:val="00131C85"/>
    <w:rsid w:val="00131C8D"/>
    <w:rsid w:val="00132149"/>
    <w:rsid w:val="00132298"/>
    <w:rsid w:val="00132420"/>
    <w:rsid w:val="0013277A"/>
    <w:rsid w:val="001329CB"/>
    <w:rsid w:val="00132A00"/>
    <w:rsid w:val="00132AF3"/>
    <w:rsid w:val="00132BE0"/>
    <w:rsid w:val="00132EAA"/>
    <w:rsid w:val="001334FD"/>
    <w:rsid w:val="00133A03"/>
    <w:rsid w:val="00133CE0"/>
    <w:rsid w:val="00133F14"/>
    <w:rsid w:val="00134451"/>
    <w:rsid w:val="001344ED"/>
    <w:rsid w:val="00134943"/>
    <w:rsid w:val="001349CB"/>
    <w:rsid w:val="00134A42"/>
    <w:rsid w:val="00134D2A"/>
    <w:rsid w:val="00134DD1"/>
    <w:rsid w:val="00134E1F"/>
    <w:rsid w:val="00135077"/>
    <w:rsid w:val="0013509E"/>
    <w:rsid w:val="001351DB"/>
    <w:rsid w:val="0013522A"/>
    <w:rsid w:val="00135333"/>
    <w:rsid w:val="00135832"/>
    <w:rsid w:val="00135CCC"/>
    <w:rsid w:val="00135E4B"/>
    <w:rsid w:val="00135FC6"/>
    <w:rsid w:val="001363EF"/>
    <w:rsid w:val="0013645B"/>
    <w:rsid w:val="00136878"/>
    <w:rsid w:val="0013697F"/>
    <w:rsid w:val="00136DDA"/>
    <w:rsid w:val="00136E8F"/>
    <w:rsid w:val="00136FCE"/>
    <w:rsid w:val="0013706B"/>
    <w:rsid w:val="001370B1"/>
    <w:rsid w:val="001370DB"/>
    <w:rsid w:val="00137236"/>
    <w:rsid w:val="00137298"/>
    <w:rsid w:val="001372E0"/>
    <w:rsid w:val="00137656"/>
    <w:rsid w:val="00137A19"/>
    <w:rsid w:val="00137F85"/>
    <w:rsid w:val="00140179"/>
    <w:rsid w:val="00140880"/>
    <w:rsid w:val="001409A0"/>
    <w:rsid w:val="00140B22"/>
    <w:rsid w:val="00140B76"/>
    <w:rsid w:val="00140D28"/>
    <w:rsid w:val="00140EF6"/>
    <w:rsid w:val="00140F3C"/>
    <w:rsid w:val="001411A6"/>
    <w:rsid w:val="001411CA"/>
    <w:rsid w:val="00141307"/>
    <w:rsid w:val="0014133E"/>
    <w:rsid w:val="0014136C"/>
    <w:rsid w:val="001413BA"/>
    <w:rsid w:val="0014152B"/>
    <w:rsid w:val="0014171C"/>
    <w:rsid w:val="00141A61"/>
    <w:rsid w:val="00141ADF"/>
    <w:rsid w:val="00141B4A"/>
    <w:rsid w:val="001420CC"/>
    <w:rsid w:val="0014217B"/>
    <w:rsid w:val="001422A9"/>
    <w:rsid w:val="00142542"/>
    <w:rsid w:val="0014264E"/>
    <w:rsid w:val="00142780"/>
    <w:rsid w:val="00142B26"/>
    <w:rsid w:val="00142B68"/>
    <w:rsid w:val="0014309E"/>
    <w:rsid w:val="0014373B"/>
    <w:rsid w:val="00143ABE"/>
    <w:rsid w:val="00143B06"/>
    <w:rsid w:val="00143B65"/>
    <w:rsid w:val="00143E23"/>
    <w:rsid w:val="001442D2"/>
    <w:rsid w:val="00144E7B"/>
    <w:rsid w:val="00144E98"/>
    <w:rsid w:val="00144F9F"/>
    <w:rsid w:val="00145051"/>
    <w:rsid w:val="001451AE"/>
    <w:rsid w:val="001451DC"/>
    <w:rsid w:val="001452DF"/>
    <w:rsid w:val="00145543"/>
    <w:rsid w:val="0014611F"/>
    <w:rsid w:val="001461A9"/>
    <w:rsid w:val="00146467"/>
    <w:rsid w:val="001465D7"/>
    <w:rsid w:val="001469BD"/>
    <w:rsid w:val="00146B41"/>
    <w:rsid w:val="00146BCE"/>
    <w:rsid w:val="00146D16"/>
    <w:rsid w:val="0014712D"/>
    <w:rsid w:val="00147465"/>
    <w:rsid w:val="0014769C"/>
    <w:rsid w:val="00147726"/>
    <w:rsid w:val="00147757"/>
    <w:rsid w:val="001477B8"/>
    <w:rsid w:val="001479FB"/>
    <w:rsid w:val="00147A16"/>
    <w:rsid w:val="00147BFD"/>
    <w:rsid w:val="00147C14"/>
    <w:rsid w:val="00147D27"/>
    <w:rsid w:val="00147D36"/>
    <w:rsid w:val="00147DC3"/>
    <w:rsid w:val="00147FFA"/>
    <w:rsid w:val="00150066"/>
    <w:rsid w:val="001500E7"/>
    <w:rsid w:val="00150794"/>
    <w:rsid w:val="00150CEC"/>
    <w:rsid w:val="00150DFA"/>
    <w:rsid w:val="00150E55"/>
    <w:rsid w:val="00151130"/>
    <w:rsid w:val="0015142B"/>
    <w:rsid w:val="00151449"/>
    <w:rsid w:val="0015178A"/>
    <w:rsid w:val="00151A74"/>
    <w:rsid w:val="00151FB1"/>
    <w:rsid w:val="001521C0"/>
    <w:rsid w:val="00152410"/>
    <w:rsid w:val="0015292A"/>
    <w:rsid w:val="00152A43"/>
    <w:rsid w:val="00152A8E"/>
    <w:rsid w:val="00152D55"/>
    <w:rsid w:val="0015316B"/>
    <w:rsid w:val="001533C1"/>
    <w:rsid w:val="00153669"/>
    <w:rsid w:val="001537D0"/>
    <w:rsid w:val="001538F8"/>
    <w:rsid w:val="00153ABC"/>
    <w:rsid w:val="00153DE6"/>
    <w:rsid w:val="00153F2E"/>
    <w:rsid w:val="00153F8E"/>
    <w:rsid w:val="001547E7"/>
    <w:rsid w:val="00154BC4"/>
    <w:rsid w:val="00155207"/>
    <w:rsid w:val="00155231"/>
    <w:rsid w:val="001552E0"/>
    <w:rsid w:val="00155C58"/>
    <w:rsid w:val="00155EB1"/>
    <w:rsid w:val="00156335"/>
    <w:rsid w:val="00156C9B"/>
    <w:rsid w:val="00157047"/>
    <w:rsid w:val="0015716A"/>
    <w:rsid w:val="0015719B"/>
    <w:rsid w:val="001575AA"/>
    <w:rsid w:val="00157835"/>
    <w:rsid w:val="00157D9E"/>
    <w:rsid w:val="00157F99"/>
    <w:rsid w:val="0016036D"/>
    <w:rsid w:val="00160463"/>
    <w:rsid w:val="001605A6"/>
    <w:rsid w:val="0016069C"/>
    <w:rsid w:val="001606F4"/>
    <w:rsid w:val="00160D6A"/>
    <w:rsid w:val="00160D86"/>
    <w:rsid w:val="00160EFE"/>
    <w:rsid w:val="001610B6"/>
    <w:rsid w:val="00161181"/>
    <w:rsid w:val="001612DC"/>
    <w:rsid w:val="0016148D"/>
    <w:rsid w:val="00161893"/>
    <w:rsid w:val="00161B6A"/>
    <w:rsid w:val="00161BFD"/>
    <w:rsid w:val="00161DBB"/>
    <w:rsid w:val="00161F57"/>
    <w:rsid w:val="00161FF9"/>
    <w:rsid w:val="001624DD"/>
    <w:rsid w:val="00162572"/>
    <w:rsid w:val="001626C5"/>
    <w:rsid w:val="00162D51"/>
    <w:rsid w:val="00162D8B"/>
    <w:rsid w:val="00162E53"/>
    <w:rsid w:val="001631AD"/>
    <w:rsid w:val="00163455"/>
    <w:rsid w:val="00163547"/>
    <w:rsid w:val="00163678"/>
    <w:rsid w:val="00163AD0"/>
    <w:rsid w:val="00163E6A"/>
    <w:rsid w:val="00163F54"/>
    <w:rsid w:val="001641CA"/>
    <w:rsid w:val="00164257"/>
    <w:rsid w:val="00164470"/>
    <w:rsid w:val="001644E6"/>
    <w:rsid w:val="001646AC"/>
    <w:rsid w:val="00164A01"/>
    <w:rsid w:val="00164FEA"/>
    <w:rsid w:val="00165005"/>
    <w:rsid w:val="001653F6"/>
    <w:rsid w:val="001654A1"/>
    <w:rsid w:val="001655B6"/>
    <w:rsid w:val="001656D9"/>
    <w:rsid w:val="001656F2"/>
    <w:rsid w:val="001657AA"/>
    <w:rsid w:val="001658ED"/>
    <w:rsid w:val="00165988"/>
    <w:rsid w:val="00165A17"/>
    <w:rsid w:val="00165AE4"/>
    <w:rsid w:val="00165AEC"/>
    <w:rsid w:val="00165C4C"/>
    <w:rsid w:val="00166066"/>
    <w:rsid w:val="0016608F"/>
    <w:rsid w:val="00166224"/>
    <w:rsid w:val="00166608"/>
    <w:rsid w:val="001666B4"/>
    <w:rsid w:val="001666D5"/>
    <w:rsid w:val="001666D9"/>
    <w:rsid w:val="00166737"/>
    <w:rsid w:val="00166792"/>
    <w:rsid w:val="001668BA"/>
    <w:rsid w:val="0016697E"/>
    <w:rsid w:val="00166C0B"/>
    <w:rsid w:val="00166EA6"/>
    <w:rsid w:val="00166FBA"/>
    <w:rsid w:val="00167231"/>
    <w:rsid w:val="00167464"/>
    <w:rsid w:val="00167578"/>
    <w:rsid w:val="001675E2"/>
    <w:rsid w:val="001675EA"/>
    <w:rsid w:val="0016760C"/>
    <w:rsid w:val="00167621"/>
    <w:rsid w:val="0016767A"/>
    <w:rsid w:val="001676AE"/>
    <w:rsid w:val="00167738"/>
    <w:rsid w:val="0016788B"/>
    <w:rsid w:val="0016796F"/>
    <w:rsid w:val="001679F5"/>
    <w:rsid w:val="00167DC0"/>
    <w:rsid w:val="00167FDF"/>
    <w:rsid w:val="0017003B"/>
    <w:rsid w:val="0017044D"/>
    <w:rsid w:val="00170930"/>
    <w:rsid w:val="00170C7D"/>
    <w:rsid w:val="00170C94"/>
    <w:rsid w:val="00170DCE"/>
    <w:rsid w:val="00170E4D"/>
    <w:rsid w:val="00171287"/>
    <w:rsid w:val="00171453"/>
    <w:rsid w:val="001715FC"/>
    <w:rsid w:val="00171639"/>
    <w:rsid w:val="0017169C"/>
    <w:rsid w:val="001718C0"/>
    <w:rsid w:val="0017198F"/>
    <w:rsid w:val="00171D4A"/>
    <w:rsid w:val="00172078"/>
    <w:rsid w:val="001727A2"/>
    <w:rsid w:val="00172BB4"/>
    <w:rsid w:val="00172F3C"/>
    <w:rsid w:val="00173308"/>
    <w:rsid w:val="001736F6"/>
    <w:rsid w:val="00173C06"/>
    <w:rsid w:val="00173D95"/>
    <w:rsid w:val="00173EA8"/>
    <w:rsid w:val="001740B2"/>
    <w:rsid w:val="00174165"/>
    <w:rsid w:val="001741FF"/>
    <w:rsid w:val="001742B0"/>
    <w:rsid w:val="001742B2"/>
    <w:rsid w:val="00174607"/>
    <w:rsid w:val="001746CF"/>
    <w:rsid w:val="0017485F"/>
    <w:rsid w:val="00174A0E"/>
    <w:rsid w:val="00174AE1"/>
    <w:rsid w:val="00174B4B"/>
    <w:rsid w:val="00174EA6"/>
    <w:rsid w:val="0017524D"/>
    <w:rsid w:val="00175279"/>
    <w:rsid w:val="00175541"/>
    <w:rsid w:val="0017567C"/>
    <w:rsid w:val="00175A04"/>
    <w:rsid w:val="00175A1C"/>
    <w:rsid w:val="00175D13"/>
    <w:rsid w:val="00175D65"/>
    <w:rsid w:val="00175E3D"/>
    <w:rsid w:val="001763FE"/>
    <w:rsid w:val="0017661A"/>
    <w:rsid w:val="001767CF"/>
    <w:rsid w:val="00176C5B"/>
    <w:rsid w:val="00176DAB"/>
    <w:rsid w:val="00176FA9"/>
    <w:rsid w:val="0017712D"/>
    <w:rsid w:val="001771DE"/>
    <w:rsid w:val="001772A7"/>
    <w:rsid w:val="001772B8"/>
    <w:rsid w:val="00177449"/>
    <w:rsid w:val="001776B6"/>
    <w:rsid w:val="00177714"/>
    <w:rsid w:val="0017789F"/>
    <w:rsid w:val="00177D3B"/>
    <w:rsid w:val="00177E27"/>
    <w:rsid w:val="001802B1"/>
    <w:rsid w:val="0018034B"/>
    <w:rsid w:val="0018038F"/>
    <w:rsid w:val="0018044D"/>
    <w:rsid w:val="00180795"/>
    <w:rsid w:val="001807D8"/>
    <w:rsid w:val="001808F4"/>
    <w:rsid w:val="00180B11"/>
    <w:rsid w:val="00180B7C"/>
    <w:rsid w:val="00180D8D"/>
    <w:rsid w:val="001811DA"/>
    <w:rsid w:val="00181245"/>
    <w:rsid w:val="00181636"/>
    <w:rsid w:val="00181691"/>
    <w:rsid w:val="0018178F"/>
    <w:rsid w:val="00181B83"/>
    <w:rsid w:val="00181BE6"/>
    <w:rsid w:val="00181C2D"/>
    <w:rsid w:val="00181C51"/>
    <w:rsid w:val="00181DB0"/>
    <w:rsid w:val="00181E02"/>
    <w:rsid w:val="00181E50"/>
    <w:rsid w:val="00182BEC"/>
    <w:rsid w:val="00182D06"/>
    <w:rsid w:val="00182DA4"/>
    <w:rsid w:val="00182F2C"/>
    <w:rsid w:val="001831FB"/>
    <w:rsid w:val="001835E0"/>
    <w:rsid w:val="001838BE"/>
    <w:rsid w:val="00183AEA"/>
    <w:rsid w:val="00183B7B"/>
    <w:rsid w:val="00183E0D"/>
    <w:rsid w:val="00183F7D"/>
    <w:rsid w:val="0018406D"/>
    <w:rsid w:val="00184130"/>
    <w:rsid w:val="001841FF"/>
    <w:rsid w:val="001847C5"/>
    <w:rsid w:val="0018486E"/>
    <w:rsid w:val="001849C2"/>
    <w:rsid w:val="00184D00"/>
    <w:rsid w:val="00184DC7"/>
    <w:rsid w:val="0018505B"/>
    <w:rsid w:val="00185167"/>
    <w:rsid w:val="00185199"/>
    <w:rsid w:val="00185433"/>
    <w:rsid w:val="001854C6"/>
    <w:rsid w:val="001854FC"/>
    <w:rsid w:val="0018588B"/>
    <w:rsid w:val="00185B4E"/>
    <w:rsid w:val="00185C9A"/>
    <w:rsid w:val="00185DB9"/>
    <w:rsid w:val="00185FB7"/>
    <w:rsid w:val="0018617D"/>
    <w:rsid w:val="00186182"/>
    <w:rsid w:val="00186189"/>
    <w:rsid w:val="00186465"/>
    <w:rsid w:val="001864B9"/>
    <w:rsid w:val="001867FD"/>
    <w:rsid w:val="001869BD"/>
    <w:rsid w:val="00186DE7"/>
    <w:rsid w:val="00186FF9"/>
    <w:rsid w:val="001870DB"/>
    <w:rsid w:val="001870FB"/>
    <w:rsid w:val="0018711D"/>
    <w:rsid w:val="0018726B"/>
    <w:rsid w:val="00187580"/>
    <w:rsid w:val="00187C3B"/>
    <w:rsid w:val="00190175"/>
    <w:rsid w:val="00190231"/>
    <w:rsid w:val="00190320"/>
    <w:rsid w:val="00190590"/>
    <w:rsid w:val="001905AC"/>
    <w:rsid w:val="001906FF"/>
    <w:rsid w:val="00190755"/>
    <w:rsid w:val="00190788"/>
    <w:rsid w:val="001908F2"/>
    <w:rsid w:val="00190BDF"/>
    <w:rsid w:val="00190CFD"/>
    <w:rsid w:val="00190E31"/>
    <w:rsid w:val="001912F6"/>
    <w:rsid w:val="00191570"/>
    <w:rsid w:val="00191677"/>
    <w:rsid w:val="0019167A"/>
    <w:rsid w:val="00191807"/>
    <w:rsid w:val="001919C2"/>
    <w:rsid w:val="00191C6E"/>
    <w:rsid w:val="00192001"/>
    <w:rsid w:val="0019234B"/>
    <w:rsid w:val="00192350"/>
    <w:rsid w:val="00192376"/>
    <w:rsid w:val="00192425"/>
    <w:rsid w:val="001925F7"/>
    <w:rsid w:val="00192F40"/>
    <w:rsid w:val="00192F55"/>
    <w:rsid w:val="00193269"/>
    <w:rsid w:val="0019338B"/>
    <w:rsid w:val="001937D0"/>
    <w:rsid w:val="00193C5C"/>
    <w:rsid w:val="00193C6F"/>
    <w:rsid w:val="001940A9"/>
    <w:rsid w:val="00194131"/>
    <w:rsid w:val="00194436"/>
    <w:rsid w:val="00194464"/>
    <w:rsid w:val="00194670"/>
    <w:rsid w:val="0019473D"/>
    <w:rsid w:val="00194A67"/>
    <w:rsid w:val="00194D46"/>
    <w:rsid w:val="0019538F"/>
    <w:rsid w:val="0019544E"/>
    <w:rsid w:val="0019549E"/>
    <w:rsid w:val="00195611"/>
    <w:rsid w:val="001956EF"/>
    <w:rsid w:val="00195712"/>
    <w:rsid w:val="00195840"/>
    <w:rsid w:val="00195944"/>
    <w:rsid w:val="00195A0F"/>
    <w:rsid w:val="00195A35"/>
    <w:rsid w:val="00195C92"/>
    <w:rsid w:val="001960AC"/>
    <w:rsid w:val="001962F0"/>
    <w:rsid w:val="0019640F"/>
    <w:rsid w:val="001964D7"/>
    <w:rsid w:val="0019652D"/>
    <w:rsid w:val="001965F5"/>
    <w:rsid w:val="0019670B"/>
    <w:rsid w:val="00196753"/>
    <w:rsid w:val="001967DC"/>
    <w:rsid w:val="001968C0"/>
    <w:rsid w:val="001968E3"/>
    <w:rsid w:val="00196E73"/>
    <w:rsid w:val="00196EC9"/>
    <w:rsid w:val="0019744E"/>
    <w:rsid w:val="00197FB7"/>
    <w:rsid w:val="001A00D2"/>
    <w:rsid w:val="001A0152"/>
    <w:rsid w:val="001A017E"/>
    <w:rsid w:val="001A0612"/>
    <w:rsid w:val="001A0702"/>
    <w:rsid w:val="001A08CE"/>
    <w:rsid w:val="001A0969"/>
    <w:rsid w:val="001A0EBA"/>
    <w:rsid w:val="001A0FDE"/>
    <w:rsid w:val="001A11E4"/>
    <w:rsid w:val="001A14BD"/>
    <w:rsid w:val="001A17C0"/>
    <w:rsid w:val="001A198E"/>
    <w:rsid w:val="001A1D77"/>
    <w:rsid w:val="001A1F3F"/>
    <w:rsid w:val="001A1FE5"/>
    <w:rsid w:val="001A23DF"/>
    <w:rsid w:val="001A24CE"/>
    <w:rsid w:val="001A24E8"/>
    <w:rsid w:val="001A2691"/>
    <w:rsid w:val="001A2886"/>
    <w:rsid w:val="001A2987"/>
    <w:rsid w:val="001A2D01"/>
    <w:rsid w:val="001A3242"/>
    <w:rsid w:val="001A34F4"/>
    <w:rsid w:val="001A3599"/>
    <w:rsid w:val="001A3809"/>
    <w:rsid w:val="001A3AF8"/>
    <w:rsid w:val="001A3F26"/>
    <w:rsid w:val="001A4179"/>
    <w:rsid w:val="001A4415"/>
    <w:rsid w:val="001A441F"/>
    <w:rsid w:val="001A444E"/>
    <w:rsid w:val="001A4488"/>
    <w:rsid w:val="001A45EF"/>
    <w:rsid w:val="001A4807"/>
    <w:rsid w:val="001A489B"/>
    <w:rsid w:val="001A48A6"/>
    <w:rsid w:val="001A4A12"/>
    <w:rsid w:val="001A4AA6"/>
    <w:rsid w:val="001A4B75"/>
    <w:rsid w:val="001A4C64"/>
    <w:rsid w:val="001A4DBD"/>
    <w:rsid w:val="001A50E9"/>
    <w:rsid w:val="001A518C"/>
    <w:rsid w:val="001A5264"/>
    <w:rsid w:val="001A55A5"/>
    <w:rsid w:val="001A5863"/>
    <w:rsid w:val="001A5872"/>
    <w:rsid w:val="001A59B1"/>
    <w:rsid w:val="001A5AC7"/>
    <w:rsid w:val="001A5B94"/>
    <w:rsid w:val="001A5BED"/>
    <w:rsid w:val="001A5E75"/>
    <w:rsid w:val="001A5F29"/>
    <w:rsid w:val="001A5F5D"/>
    <w:rsid w:val="001A6019"/>
    <w:rsid w:val="001A61E8"/>
    <w:rsid w:val="001A627A"/>
    <w:rsid w:val="001A62D0"/>
    <w:rsid w:val="001A64F7"/>
    <w:rsid w:val="001A670B"/>
    <w:rsid w:val="001A6864"/>
    <w:rsid w:val="001A68B4"/>
    <w:rsid w:val="001A69F9"/>
    <w:rsid w:val="001A6BEB"/>
    <w:rsid w:val="001A6CE2"/>
    <w:rsid w:val="001A6E1A"/>
    <w:rsid w:val="001A6E81"/>
    <w:rsid w:val="001A7087"/>
    <w:rsid w:val="001A71C2"/>
    <w:rsid w:val="001A724A"/>
    <w:rsid w:val="001A7397"/>
    <w:rsid w:val="001A7709"/>
    <w:rsid w:val="001A77CE"/>
    <w:rsid w:val="001A787E"/>
    <w:rsid w:val="001A7D45"/>
    <w:rsid w:val="001B00D8"/>
    <w:rsid w:val="001B0168"/>
    <w:rsid w:val="001B03AA"/>
    <w:rsid w:val="001B05BC"/>
    <w:rsid w:val="001B085C"/>
    <w:rsid w:val="001B0881"/>
    <w:rsid w:val="001B08EF"/>
    <w:rsid w:val="001B0DB7"/>
    <w:rsid w:val="001B0E2F"/>
    <w:rsid w:val="001B0EDE"/>
    <w:rsid w:val="001B1377"/>
    <w:rsid w:val="001B1624"/>
    <w:rsid w:val="001B1741"/>
    <w:rsid w:val="001B176E"/>
    <w:rsid w:val="001B19E6"/>
    <w:rsid w:val="001B1B0A"/>
    <w:rsid w:val="001B1FF8"/>
    <w:rsid w:val="001B20EA"/>
    <w:rsid w:val="001B21F2"/>
    <w:rsid w:val="001B224C"/>
    <w:rsid w:val="001B2365"/>
    <w:rsid w:val="001B2A39"/>
    <w:rsid w:val="001B2C1A"/>
    <w:rsid w:val="001B2F11"/>
    <w:rsid w:val="001B3087"/>
    <w:rsid w:val="001B327D"/>
    <w:rsid w:val="001B358E"/>
    <w:rsid w:val="001B35CF"/>
    <w:rsid w:val="001B3A2D"/>
    <w:rsid w:val="001B3B61"/>
    <w:rsid w:val="001B3D6A"/>
    <w:rsid w:val="001B3F8C"/>
    <w:rsid w:val="001B4065"/>
    <w:rsid w:val="001B4214"/>
    <w:rsid w:val="001B4284"/>
    <w:rsid w:val="001B431C"/>
    <w:rsid w:val="001B4320"/>
    <w:rsid w:val="001B44BC"/>
    <w:rsid w:val="001B4610"/>
    <w:rsid w:val="001B4642"/>
    <w:rsid w:val="001B4938"/>
    <w:rsid w:val="001B499D"/>
    <w:rsid w:val="001B4D94"/>
    <w:rsid w:val="001B4DB1"/>
    <w:rsid w:val="001B4F60"/>
    <w:rsid w:val="001B5045"/>
    <w:rsid w:val="001B53F8"/>
    <w:rsid w:val="001B55F9"/>
    <w:rsid w:val="001B5D4C"/>
    <w:rsid w:val="001B5EEB"/>
    <w:rsid w:val="001B60B5"/>
    <w:rsid w:val="001B62EB"/>
    <w:rsid w:val="001B658B"/>
    <w:rsid w:val="001B65EC"/>
    <w:rsid w:val="001B6637"/>
    <w:rsid w:val="001B6AFF"/>
    <w:rsid w:val="001B6BE5"/>
    <w:rsid w:val="001B6D0A"/>
    <w:rsid w:val="001B6DC5"/>
    <w:rsid w:val="001B6DE6"/>
    <w:rsid w:val="001B6EAA"/>
    <w:rsid w:val="001B71A9"/>
    <w:rsid w:val="001B7289"/>
    <w:rsid w:val="001B7303"/>
    <w:rsid w:val="001B752D"/>
    <w:rsid w:val="001B7530"/>
    <w:rsid w:val="001B7838"/>
    <w:rsid w:val="001B7D27"/>
    <w:rsid w:val="001B7DF7"/>
    <w:rsid w:val="001C00CE"/>
    <w:rsid w:val="001C017C"/>
    <w:rsid w:val="001C0218"/>
    <w:rsid w:val="001C0323"/>
    <w:rsid w:val="001C0477"/>
    <w:rsid w:val="001C06F4"/>
    <w:rsid w:val="001C08DB"/>
    <w:rsid w:val="001C09E5"/>
    <w:rsid w:val="001C0B90"/>
    <w:rsid w:val="001C0BFD"/>
    <w:rsid w:val="001C0C30"/>
    <w:rsid w:val="001C0DF7"/>
    <w:rsid w:val="001C0ECE"/>
    <w:rsid w:val="001C10D2"/>
    <w:rsid w:val="001C129D"/>
    <w:rsid w:val="001C148B"/>
    <w:rsid w:val="001C1890"/>
    <w:rsid w:val="001C1CAA"/>
    <w:rsid w:val="001C1E95"/>
    <w:rsid w:val="001C2136"/>
    <w:rsid w:val="001C24F9"/>
    <w:rsid w:val="001C2750"/>
    <w:rsid w:val="001C2947"/>
    <w:rsid w:val="001C2A8E"/>
    <w:rsid w:val="001C3032"/>
    <w:rsid w:val="001C33B0"/>
    <w:rsid w:val="001C3518"/>
    <w:rsid w:val="001C37DC"/>
    <w:rsid w:val="001C3B90"/>
    <w:rsid w:val="001C3DCB"/>
    <w:rsid w:val="001C3DCD"/>
    <w:rsid w:val="001C3DE8"/>
    <w:rsid w:val="001C3FF7"/>
    <w:rsid w:val="001C410A"/>
    <w:rsid w:val="001C449A"/>
    <w:rsid w:val="001C458B"/>
    <w:rsid w:val="001C46AF"/>
    <w:rsid w:val="001C488A"/>
    <w:rsid w:val="001C497A"/>
    <w:rsid w:val="001C49E1"/>
    <w:rsid w:val="001C4C7E"/>
    <w:rsid w:val="001C504B"/>
    <w:rsid w:val="001C513C"/>
    <w:rsid w:val="001C519D"/>
    <w:rsid w:val="001C54B9"/>
    <w:rsid w:val="001C5655"/>
    <w:rsid w:val="001C5C50"/>
    <w:rsid w:val="001C60B4"/>
    <w:rsid w:val="001C6282"/>
    <w:rsid w:val="001C629C"/>
    <w:rsid w:val="001C630A"/>
    <w:rsid w:val="001C645B"/>
    <w:rsid w:val="001C666E"/>
    <w:rsid w:val="001C6700"/>
    <w:rsid w:val="001C6BA6"/>
    <w:rsid w:val="001C6ECB"/>
    <w:rsid w:val="001C6F7A"/>
    <w:rsid w:val="001C71AD"/>
    <w:rsid w:val="001C7390"/>
    <w:rsid w:val="001C758C"/>
    <w:rsid w:val="001C7628"/>
    <w:rsid w:val="001C7712"/>
    <w:rsid w:val="001C7859"/>
    <w:rsid w:val="001C7BA8"/>
    <w:rsid w:val="001C7C3E"/>
    <w:rsid w:val="001C7C49"/>
    <w:rsid w:val="001C7EAD"/>
    <w:rsid w:val="001D009A"/>
    <w:rsid w:val="001D06F6"/>
    <w:rsid w:val="001D0772"/>
    <w:rsid w:val="001D0CB8"/>
    <w:rsid w:val="001D0E9E"/>
    <w:rsid w:val="001D101C"/>
    <w:rsid w:val="001D103B"/>
    <w:rsid w:val="001D1467"/>
    <w:rsid w:val="001D1A78"/>
    <w:rsid w:val="001D1C4A"/>
    <w:rsid w:val="001D1D2D"/>
    <w:rsid w:val="001D1E95"/>
    <w:rsid w:val="001D1EBA"/>
    <w:rsid w:val="001D24CF"/>
    <w:rsid w:val="001D25E7"/>
    <w:rsid w:val="001D26D3"/>
    <w:rsid w:val="001D298D"/>
    <w:rsid w:val="001D2A85"/>
    <w:rsid w:val="001D2AF2"/>
    <w:rsid w:val="001D2E0D"/>
    <w:rsid w:val="001D2E93"/>
    <w:rsid w:val="001D316C"/>
    <w:rsid w:val="001D31A1"/>
    <w:rsid w:val="001D3252"/>
    <w:rsid w:val="001D3309"/>
    <w:rsid w:val="001D3CBF"/>
    <w:rsid w:val="001D4454"/>
    <w:rsid w:val="001D48E8"/>
    <w:rsid w:val="001D49F6"/>
    <w:rsid w:val="001D4C47"/>
    <w:rsid w:val="001D4E6A"/>
    <w:rsid w:val="001D4FFD"/>
    <w:rsid w:val="001D512E"/>
    <w:rsid w:val="001D517D"/>
    <w:rsid w:val="001D51FD"/>
    <w:rsid w:val="001D57EE"/>
    <w:rsid w:val="001D5986"/>
    <w:rsid w:val="001D5A61"/>
    <w:rsid w:val="001D5ABA"/>
    <w:rsid w:val="001D5B70"/>
    <w:rsid w:val="001D5E59"/>
    <w:rsid w:val="001D6075"/>
    <w:rsid w:val="001D607C"/>
    <w:rsid w:val="001D63AC"/>
    <w:rsid w:val="001D63CD"/>
    <w:rsid w:val="001D63E2"/>
    <w:rsid w:val="001D66C3"/>
    <w:rsid w:val="001D6821"/>
    <w:rsid w:val="001D6931"/>
    <w:rsid w:val="001D69C4"/>
    <w:rsid w:val="001D6D33"/>
    <w:rsid w:val="001D6DFD"/>
    <w:rsid w:val="001D6EDB"/>
    <w:rsid w:val="001D6EF7"/>
    <w:rsid w:val="001D70FD"/>
    <w:rsid w:val="001D712B"/>
    <w:rsid w:val="001D7132"/>
    <w:rsid w:val="001D7745"/>
    <w:rsid w:val="001D7778"/>
    <w:rsid w:val="001D77FB"/>
    <w:rsid w:val="001D786C"/>
    <w:rsid w:val="001D7988"/>
    <w:rsid w:val="001D7ADE"/>
    <w:rsid w:val="001D7B90"/>
    <w:rsid w:val="001D7C38"/>
    <w:rsid w:val="001D7D2F"/>
    <w:rsid w:val="001D7D51"/>
    <w:rsid w:val="001D7DF0"/>
    <w:rsid w:val="001E0048"/>
    <w:rsid w:val="001E0201"/>
    <w:rsid w:val="001E028A"/>
    <w:rsid w:val="001E031D"/>
    <w:rsid w:val="001E0800"/>
    <w:rsid w:val="001E08FB"/>
    <w:rsid w:val="001E09B7"/>
    <w:rsid w:val="001E0D5C"/>
    <w:rsid w:val="001E0DEC"/>
    <w:rsid w:val="001E0F25"/>
    <w:rsid w:val="001E1193"/>
    <w:rsid w:val="001E18BD"/>
    <w:rsid w:val="001E1985"/>
    <w:rsid w:val="001E19E1"/>
    <w:rsid w:val="001E19F4"/>
    <w:rsid w:val="001E1ADC"/>
    <w:rsid w:val="001E1B9F"/>
    <w:rsid w:val="001E1C43"/>
    <w:rsid w:val="001E1E11"/>
    <w:rsid w:val="001E1EDF"/>
    <w:rsid w:val="001E2106"/>
    <w:rsid w:val="001E215A"/>
    <w:rsid w:val="001E219B"/>
    <w:rsid w:val="001E21E0"/>
    <w:rsid w:val="001E23E8"/>
    <w:rsid w:val="001E23F2"/>
    <w:rsid w:val="001E2450"/>
    <w:rsid w:val="001E2792"/>
    <w:rsid w:val="001E31F1"/>
    <w:rsid w:val="001E3332"/>
    <w:rsid w:val="001E334C"/>
    <w:rsid w:val="001E3E33"/>
    <w:rsid w:val="001E4364"/>
    <w:rsid w:val="001E451B"/>
    <w:rsid w:val="001E4B1D"/>
    <w:rsid w:val="001E4C09"/>
    <w:rsid w:val="001E4D8B"/>
    <w:rsid w:val="001E4E71"/>
    <w:rsid w:val="001E5196"/>
    <w:rsid w:val="001E5493"/>
    <w:rsid w:val="001E610B"/>
    <w:rsid w:val="001E64F3"/>
    <w:rsid w:val="001E66CE"/>
    <w:rsid w:val="001E6788"/>
    <w:rsid w:val="001E6A76"/>
    <w:rsid w:val="001E6C0C"/>
    <w:rsid w:val="001E6C27"/>
    <w:rsid w:val="001E6E32"/>
    <w:rsid w:val="001E6FA2"/>
    <w:rsid w:val="001E7157"/>
    <w:rsid w:val="001E72BD"/>
    <w:rsid w:val="001E76E2"/>
    <w:rsid w:val="001E77A5"/>
    <w:rsid w:val="001E7AAE"/>
    <w:rsid w:val="001E7EC6"/>
    <w:rsid w:val="001F05AE"/>
    <w:rsid w:val="001F06CA"/>
    <w:rsid w:val="001F07A1"/>
    <w:rsid w:val="001F0848"/>
    <w:rsid w:val="001F0899"/>
    <w:rsid w:val="001F0AB9"/>
    <w:rsid w:val="001F0C3B"/>
    <w:rsid w:val="001F0F13"/>
    <w:rsid w:val="001F0F31"/>
    <w:rsid w:val="001F0FAF"/>
    <w:rsid w:val="001F1240"/>
    <w:rsid w:val="001F124B"/>
    <w:rsid w:val="001F1439"/>
    <w:rsid w:val="001F179E"/>
    <w:rsid w:val="001F1F12"/>
    <w:rsid w:val="001F2057"/>
    <w:rsid w:val="001F20B6"/>
    <w:rsid w:val="001F2408"/>
    <w:rsid w:val="001F2578"/>
    <w:rsid w:val="001F2862"/>
    <w:rsid w:val="001F28D2"/>
    <w:rsid w:val="001F2946"/>
    <w:rsid w:val="001F295A"/>
    <w:rsid w:val="001F2CAE"/>
    <w:rsid w:val="001F3039"/>
    <w:rsid w:val="001F3092"/>
    <w:rsid w:val="001F30FA"/>
    <w:rsid w:val="001F3421"/>
    <w:rsid w:val="001F34BB"/>
    <w:rsid w:val="001F36A4"/>
    <w:rsid w:val="001F36CC"/>
    <w:rsid w:val="001F38D4"/>
    <w:rsid w:val="001F3A41"/>
    <w:rsid w:val="001F3B9E"/>
    <w:rsid w:val="001F3BD7"/>
    <w:rsid w:val="001F3E07"/>
    <w:rsid w:val="001F3EEC"/>
    <w:rsid w:val="001F3FB8"/>
    <w:rsid w:val="001F41F0"/>
    <w:rsid w:val="001F4399"/>
    <w:rsid w:val="001F43E3"/>
    <w:rsid w:val="001F4487"/>
    <w:rsid w:val="001F44D6"/>
    <w:rsid w:val="001F46F2"/>
    <w:rsid w:val="001F4745"/>
    <w:rsid w:val="001F4849"/>
    <w:rsid w:val="001F4E3D"/>
    <w:rsid w:val="001F4F61"/>
    <w:rsid w:val="001F53EF"/>
    <w:rsid w:val="001F572A"/>
    <w:rsid w:val="001F57E4"/>
    <w:rsid w:val="001F5931"/>
    <w:rsid w:val="001F5992"/>
    <w:rsid w:val="001F59CB"/>
    <w:rsid w:val="001F5B88"/>
    <w:rsid w:val="001F5BC3"/>
    <w:rsid w:val="001F5C0F"/>
    <w:rsid w:val="001F5C8A"/>
    <w:rsid w:val="001F5D21"/>
    <w:rsid w:val="001F6249"/>
    <w:rsid w:val="001F6441"/>
    <w:rsid w:val="001F647B"/>
    <w:rsid w:val="001F64E0"/>
    <w:rsid w:val="001F6522"/>
    <w:rsid w:val="001F66FE"/>
    <w:rsid w:val="001F6A33"/>
    <w:rsid w:val="001F6A5F"/>
    <w:rsid w:val="001F6E0E"/>
    <w:rsid w:val="001F6FD8"/>
    <w:rsid w:val="001F7206"/>
    <w:rsid w:val="001F7229"/>
    <w:rsid w:val="001F7288"/>
    <w:rsid w:val="001F769A"/>
    <w:rsid w:val="001F7728"/>
    <w:rsid w:val="001F785B"/>
    <w:rsid w:val="001F788F"/>
    <w:rsid w:val="001F7992"/>
    <w:rsid w:val="001F7FAE"/>
    <w:rsid w:val="001F7FE3"/>
    <w:rsid w:val="001F7FF2"/>
    <w:rsid w:val="002001F3"/>
    <w:rsid w:val="002004C4"/>
    <w:rsid w:val="00200639"/>
    <w:rsid w:val="002007A8"/>
    <w:rsid w:val="00200C2A"/>
    <w:rsid w:val="00200DD1"/>
    <w:rsid w:val="002014FD"/>
    <w:rsid w:val="00201686"/>
    <w:rsid w:val="002019B9"/>
    <w:rsid w:val="00201B19"/>
    <w:rsid w:val="00201F5F"/>
    <w:rsid w:val="00202476"/>
    <w:rsid w:val="002029D5"/>
    <w:rsid w:val="00202AE0"/>
    <w:rsid w:val="00202BD0"/>
    <w:rsid w:val="00202CD1"/>
    <w:rsid w:val="00202F56"/>
    <w:rsid w:val="002030CD"/>
    <w:rsid w:val="002030CF"/>
    <w:rsid w:val="00203152"/>
    <w:rsid w:val="00203318"/>
    <w:rsid w:val="002033C9"/>
    <w:rsid w:val="00203566"/>
    <w:rsid w:val="00203CB2"/>
    <w:rsid w:val="00203EB1"/>
    <w:rsid w:val="00203F5E"/>
    <w:rsid w:val="002040CA"/>
    <w:rsid w:val="00204110"/>
    <w:rsid w:val="00204299"/>
    <w:rsid w:val="00204325"/>
    <w:rsid w:val="002044AC"/>
    <w:rsid w:val="002049BD"/>
    <w:rsid w:val="00204AE6"/>
    <w:rsid w:val="00204B09"/>
    <w:rsid w:val="00204B9C"/>
    <w:rsid w:val="00204DDD"/>
    <w:rsid w:val="00205077"/>
    <w:rsid w:val="00205186"/>
    <w:rsid w:val="0020552B"/>
    <w:rsid w:val="00205602"/>
    <w:rsid w:val="0020569D"/>
    <w:rsid w:val="002057B1"/>
    <w:rsid w:val="002058A9"/>
    <w:rsid w:val="00205971"/>
    <w:rsid w:val="00205E00"/>
    <w:rsid w:val="00205F33"/>
    <w:rsid w:val="00205F9E"/>
    <w:rsid w:val="00206005"/>
    <w:rsid w:val="0020606C"/>
    <w:rsid w:val="00206103"/>
    <w:rsid w:val="00206269"/>
    <w:rsid w:val="0020630A"/>
    <w:rsid w:val="00206421"/>
    <w:rsid w:val="0020648B"/>
    <w:rsid w:val="00206997"/>
    <w:rsid w:val="00206C58"/>
    <w:rsid w:val="00206E00"/>
    <w:rsid w:val="00206F0A"/>
    <w:rsid w:val="002070A2"/>
    <w:rsid w:val="002070D5"/>
    <w:rsid w:val="002070F6"/>
    <w:rsid w:val="00207216"/>
    <w:rsid w:val="002073C0"/>
    <w:rsid w:val="002073C5"/>
    <w:rsid w:val="00207648"/>
    <w:rsid w:val="0020797E"/>
    <w:rsid w:val="00207A8B"/>
    <w:rsid w:val="0021002A"/>
    <w:rsid w:val="002100E2"/>
    <w:rsid w:val="00210237"/>
    <w:rsid w:val="00210366"/>
    <w:rsid w:val="00210547"/>
    <w:rsid w:val="00210813"/>
    <w:rsid w:val="00210A59"/>
    <w:rsid w:val="00210F12"/>
    <w:rsid w:val="00211265"/>
    <w:rsid w:val="00211573"/>
    <w:rsid w:val="00211872"/>
    <w:rsid w:val="00211B2B"/>
    <w:rsid w:val="00211BFF"/>
    <w:rsid w:val="0021220D"/>
    <w:rsid w:val="00212279"/>
    <w:rsid w:val="00212727"/>
    <w:rsid w:val="00212758"/>
    <w:rsid w:val="00212873"/>
    <w:rsid w:val="00212BC0"/>
    <w:rsid w:val="00212CBD"/>
    <w:rsid w:val="00212D83"/>
    <w:rsid w:val="00213376"/>
    <w:rsid w:val="0021346F"/>
    <w:rsid w:val="002134E0"/>
    <w:rsid w:val="00213532"/>
    <w:rsid w:val="00213670"/>
    <w:rsid w:val="00213814"/>
    <w:rsid w:val="002139F8"/>
    <w:rsid w:val="00213BF5"/>
    <w:rsid w:val="002140D9"/>
    <w:rsid w:val="002145BB"/>
    <w:rsid w:val="00214CBD"/>
    <w:rsid w:val="00214EB3"/>
    <w:rsid w:val="00214F48"/>
    <w:rsid w:val="00214FC6"/>
    <w:rsid w:val="00215402"/>
    <w:rsid w:val="002154CC"/>
    <w:rsid w:val="00215627"/>
    <w:rsid w:val="0021580D"/>
    <w:rsid w:val="002158B8"/>
    <w:rsid w:val="00215A02"/>
    <w:rsid w:val="00215CA7"/>
    <w:rsid w:val="00215D52"/>
    <w:rsid w:val="0021646F"/>
    <w:rsid w:val="00216542"/>
    <w:rsid w:val="00216830"/>
    <w:rsid w:val="00216980"/>
    <w:rsid w:val="00216D7E"/>
    <w:rsid w:val="00216F3C"/>
    <w:rsid w:val="0021735E"/>
    <w:rsid w:val="0021775A"/>
    <w:rsid w:val="00217829"/>
    <w:rsid w:val="00217AFA"/>
    <w:rsid w:val="00217B26"/>
    <w:rsid w:val="00217E56"/>
    <w:rsid w:val="00217F42"/>
    <w:rsid w:val="002209AC"/>
    <w:rsid w:val="00220B93"/>
    <w:rsid w:val="00220BCD"/>
    <w:rsid w:val="00220CDE"/>
    <w:rsid w:val="00220FC6"/>
    <w:rsid w:val="0022139E"/>
    <w:rsid w:val="00221461"/>
    <w:rsid w:val="00221525"/>
    <w:rsid w:val="0022167A"/>
    <w:rsid w:val="00221900"/>
    <w:rsid w:val="00221950"/>
    <w:rsid w:val="00221A40"/>
    <w:rsid w:val="00221C65"/>
    <w:rsid w:val="00221E38"/>
    <w:rsid w:val="00221E5A"/>
    <w:rsid w:val="00222424"/>
    <w:rsid w:val="0022254F"/>
    <w:rsid w:val="002225EB"/>
    <w:rsid w:val="00222705"/>
    <w:rsid w:val="002227A0"/>
    <w:rsid w:val="002227BE"/>
    <w:rsid w:val="002228EE"/>
    <w:rsid w:val="00222C01"/>
    <w:rsid w:val="00222C99"/>
    <w:rsid w:val="00222D4A"/>
    <w:rsid w:val="00222F1A"/>
    <w:rsid w:val="00222FF7"/>
    <w:rsid w:val="00223391"/>
    <w:rsid w:val="0022363E"/>
    <w:rsid w:val="00223BD0"/>
    <w:rsid w:val="00223D30"/>
    <w:rsid w:val="00223EDF"/>
    <w:rsid w:val="00224043"/>
    <w:rsid w:val="00224214"/>
    <w:rsid w:val="0022439D"/>
    <w:rsid w:val="0022453B"/>
    <w:rsid w:val="00224679"/>
    <w:rsid w:val="00224BBB"/>
    <w:rsid w:val="00224C6B"/>
    <w:rsid w:val="00224FC5"/>
    <w:rsid w:val="002251ED"/>
    <w:rsid w:val="00225635"/>
    <w:rsid w:val="0022572B"/>
    <w:rsid w:val="002257D3"/>
    <w:rsid w:val="00225F41"/>
    <w:rsid w:val="00226118"/>
    <w:rsid w:val="002262F8"/>
    <w:rsid w:val="002268B0"/>
    <w:rsid w:val="00226B1B"/>
    <w:rsid w:val="00226C2C"/>
    <w:rsid w:val="00226D91"/>
    <w:rsid w:val="00226EE6"/>
    <w:rsid w:val="00226F20"/>
    <w:rsid w:val="00226FFC"/>
    <w:rsid w:val="002270DC"/>
    <w:rsid w:val="00227105"/>
    <w:rsid w:val="0022715D"/>
    <w:rsid w:val="00227199"/>
    <w:rsid w:val="002273D4"/>
    <w:rsid w:val="00227405"/>
    <w:rsid w:val="00227608"/>
    <w:rsid w:val="002277CD"/>
    <w:rsid w:val="00227A0C"/>
    <w:rsid w:val="00227A3D"/>
    <w:rsid w:val="00227A58"/>
    <w:rsid w:val="00227AEC"/>
    <w:rsid w:val="00227B6E"/>
    <w:rsid w:val="00227BE1"/>
    <w:rsid w:val="00227D7D"/>
    <w:rsid w:val="00227E27"/>
    <w:rsid w:val="00227F39"/>
    <w:rsid w:val="00227F53"/>
    <w:rsid w:val="00230344"/>
    <w:rsid w:val="002304CF"/>
    <w:rsid w:val="0023098C"/>
    <w:rsid w:val="00230A69"/>
    <w:rsid w:val="00230E83"/>
    <w:rsid w:val="00230F0A"/>
    <w:rsid w:val="00231206"/>
    <w:rsid w:val="00231245"/>
    <w:rsid w:val="002312B2"/>
    <w:rsid w:val="00231589"/>
    <w:rsid w:val="00231891"/>
    <w:rsid w:val="00231ADD"/>
    <w:rsid w:val="00231AF3"/>
    <w:rsid w:val="00231B57"/>
    <w:rsid w:val="00231EDE"/>
    <w:rsid w:val="00231FDC"/>
    <w:rsid w:val="00231FEB"/>
    <w:rsid w:val="0023203C"/>
    <w:rsid w:val="00232067"/>
    <w:rsid w:val="00232315"/>
    <w:rsid w:val="00232449"/>
    <w:rsid w:val="0023288D"/>
    <w:rsid w:val="002330DA"/>
    <w:rsid w:val="002331D0"/>
    <w:rsid w:val="0023351A"/>
    <w:rsid w:val="00233539"/>
    <w:rsid w:val="00233BAE"/>
    <w:rsid w:val="00233BB1"/>
    <w:rsid w:val="00233CE2"/>
    <w:rsid w:val="00233D4F"/>
    <w:rsid w:val="00233D67"/>
    <w:rsid w:val="00234176"/>
    <w:rsid w:val="0023422D"/>
    <w:rsid w:val="00234254"/>
    <w:rsid w:val="002342F6"/>
    <w:rsid w:val="00234331"/>
    <w:rsid w:val="00234368"/>
    <w:rsid w:val="002343DD"/>
    <w:rsid w:val="002346BA"/>
    <w:rsid w:val="00234751"/>
    <w:rsid w:val="00234863"/>
    <w:rsid w:val="002349C4"/>
    <w:rsid w:val="00234AFB"/>
    <w:rsid w:val="00235955"/>
    <w:rsid w:val="00235C2F"/>
    <w:rsid w:val="00235C7A"/>
    <w:rsid w:val="0023619A"/>
    <w:rsid w:val="00236401"/>
    <w:rsid w:val="002365DA"/>
    <w:rsid w:val="002369F6"/>
    <w:rsid w:val="00236E10"/>
    <w:rsid w:val="00236F22"/>
    <w:rsid w:val="00237522"/>
    <w:rsid w:val="00237B71"/>
    <w:rsid w:val="002401A5"/>
    <w:rsid w:val="002401F9"/>
    <w:rsid w:val="002403B6"/>
    <w:rsid w:val="00240417"/>
    <w:rsid w:val="002404AC"/>
    <w:rsid w:val="0024096C"/>
    <w:rsid w:val="00240A14"/>
    <w:rsid w:val="00240AF9"/>
    <w:rsid w:val="00240F2F"/>
    <w:rsid w:val="00240F52"/>
    <w:rsid w:val="00240F5F"/>
    <w:rsid w:val="002410E3"/>
    <w:rsid w:val="0024135E"/>
    <w:rsid w:val="00241372"/>
    <w:rsid w:val="002413F2"/>
    <w:rsid w:val="0024156A"/>
    <w:rsid w:val="002416CE"/>
    <w:rsid w:val="00241745"/>
    <w:rsid w:val="00241859"/>
    <w:rsid w:val="002418BF"/>
    <w:rsid w:val="002419B8"/>
    <w:rsid w:val="002423BE"/>
    <w:rsid w:val="0024277F"/>
    <w:rsid w:val="0024287C"/>
    <w:rsid w:val="00242C0D"/>
    <w:rsid w:val="00242D38"/>
    <w:rsid w:val="00243204"/>
    <w:rsid w:val="00243821"/>
    <w:rsid w:val="00243A34"/>
    <w:rsid w:val="00243AF9"/>
    <w:rsid w:val="002443D5"/>
    <w:rsid w:val="0024448B"/>
    <w:rsid w:val="00244708"/>
    <w:rsid w:val="002447E5"/>
    <w:rsid w:val="00244AE4"/>
    <w:rsid w:val="0024514B"/>
    <w:rsid w:val="002455F2"/>
    <w:rsid w:val="00245619"/>
    <w:rsid w:val="002456E6"/>
    <w:rsid w:val="002457FF"/>
    <w:rsid w:val="00245912"/>
    <w:rsid w:val="002459DE"/>
    <w:rsid w:val="00245A90"/>
    <w:rsid w:val="00245D1B"/>
    <w:rsid w:val="00245E16"/>
    <w:rsid w:val="002464F1"/>
    <w:rsid w:val="00246512"/>
    <w:rsid w:val="002467CF"/>
    <w:rsid w:val="00246B10"/>
    <w:rsid w:val="00246EE0"/>
    <w:rsid w:val="0024712B"/>
    <w:rsid w:val="00247172"/>
    <w:rsid w:val="002471D3"/>
    <w:rsid w:val="00247215"/>
    <w:rsid w:val="0024742B"/>
    <w:rsid w:val="00247686"/>
    <w:rsid w:val="002478C3"/>
    <w:rsid w:val="00247C92"/>
    <w:rsid w:val="00247E4C"/>
    <w:rsid w:val="002500C6"/>
    <w:rsid w:val="0025013E"/>
    <w:rsid w:val="002501C8"/>
    <w:rsid w:val="0025025F"/>
    <w:rsid w:val="00250B71"/>
    <w:rsid w:val="00250BD5"/>
    <w:rsid w:val="00250C76"/>
    <w:rsid w:val="00250DE1"/>
    <w:rsid w:val="00250F87"/>
    <w:rsid w:val="002511A6"/>
    <w:rsid w:val="002515FD"/>
    <w:rsid w:val="002517E5"/>
    <w:rsid w:val="0025190C"/>
    <w:rsid w:val="00251A94"/>
    <w:rsid w:val="00251C07"/>
    <w:rsid w:val="00251CFE"/>
    <w:rsid w:val="00251F35"/>
    <w:rsid w:val="00251FED"/>
    <w:rsid w:val="002521A9"/>
    <w:rsid w:val="002523B0"/>
    <w:rsid w:val="0025253D"/>
    <w:rsid w:val="002525A8"/>
    <w:rsid w:val="00252734"/>
    <w:rsid w:val="00252B73"/>
    <w:rsid w:val="00252C31"/>
    <w:rsid w:val="00252EEA"/>
    <w:rsid w:val="00253035"/>
    <w:rsid w:val="002533F1"/>
    <w:rsid w:val="00253426"/>
    <w:rsid w:val="0025373F"/>
    <w:rsid w:val="002537ED"/>
    <w:rsid w:val="00253A78"/>
    <w:rsid w:val="00253B16"/>
    <w:rsid w:val="00253C62"/>
    <w:rsid w:val="00253D3F"/>
    <w:rsid w:val="00253DC0"/>
    <w:rsid w:val="00253E46"/>
    <w:rsid w:val="002541E0"/>
    <w:rsid w:val="00254407"/>
    <w:rsid w:val="00254450"/>
    <w:rsid w:val="00254549"/>
    <w:rsid w:val="00254726"/>
    <w:rsid w:val="0025476A"/>
    <w:rsid w:val="002547C5"/>
    <w:rsid w:val="00254A4F"/>
    <w:rsid w:val="00254AE6"/>
    <w:rsid w:val="00254D72"/>
    <w:rsid w:val="00254D94"/>
    <w:rsid w:val="00254E9C"/>
    <w:rsid w:val="00254F7C"/>
    <w:rsid w:val="00255390"/>
    <w:rsid w:val="00255579"/>
    <w:rsid w:val="00255643"/>
    <w:rsid w:val="0025598D"/>
    <w:rsid w:val="00255B5F"/>
    <w:rsid w:val="00255C02"/>
    <w:rsid w:val="00255C6C"/>
    <w:rsid w:val="00255F22"/>
    <w:rsid w:val="00256143"/>
    <w:rsid w:val="002561F4"/>
    <w:rsid w:val="002564BC"/>
    <w:rsid w:val="002565F5"/>
    <w:rsid w:val="00256694"/>
    <w:rsid w:val="00256C07"/>
    <w:rsid w:val="00256E95"/>
    <w:rsid w:val="002575DA"/>
    <w:rsid w:val="002576BE"/>
    <w:rsid w:val="00257786"/>
    <w:rsid w:val="002579C4"/>
    <w:rsid w:val="002579D5"/>
    <w:rsid w:val="00257E69"/>
    <w:rsid w:val="00257E9A"/>
    <w:rsid w:val="0026005C"/>
    <w:rsid w:val="0026017F"/>
    <w:rsid w:val="00260238"/>
    <w:rsid w:val="002602C5"/>
    <w:rsid w:val="002603B3"/>
    <w:rsid w:val="00260435"/>
    <w:rsid w:val="002605CB"/>
    <w:rsid w:val="002608A7"/>
    <w:rsid w:val="00260915"/>
    <w:rsid w:val="00260975"/>
    <w:rsid w:val="00260B2F"/>
    <w:rsid w:val="00260D02"/>
    <w:rsid w:val="00260F75"/>
    <w:rsid w:val="002610C8"/>
    <w:rsid w:val="0026111E"/>
    <w:rsid w:val="00261135"/>
    <w:rsid w:val="00261366"/>
    <w:rsid w:val="002614C4"/>
    <w:rsid w:val="0026166D"/>
    <w:rsid w:val="00261DD7"/>
    <w:rsid w:val="00261E09"/>
    <w:rsid w:val="00261FC5"/>
    <w:rsid w:val="002624B2"/>
    <w:rsid w:val="002625ED"/>
    <w:rsid w:val="0026263A"/>
    <w:rsid w:val="0026263B"/>
    <w:rsid w:val="0026263C"/>
    <w:rsid w:val="002627C0"/>
    <w:rsid w:val="00262ADC"/>
    <w:rsid w:val="00262BB9"/>
    <w:rsid w:val="00262D68"/>
    <w:rsid w:val="00262F32"/>
    <w:rsid w:val="0026305C"/>
    <w:rsid w:val="002636B4"/>
    <w:rsid w:val="00263815"/>
    <w:rsid w:val="00263836"/>
    <w:rsid w:val="00263AE5"/>
    <w:rsid w:val="00263C85"/>
    <w:rsid w:val="00263CE2"/>
    <w:rsid w:val="00263E62"/>
    <w:rsid w:val="00263F02"/>
    <w:rsid w:val="00264187"/>
    <w:rsid w:val="0026428E"/>
    <w:rsid w:val="00264336"/>
    <w:rsid w:val="00264416"/>
    <w:rsid w:val="002645E5"/>
    <w:rsid w:val="00264777"/>
    <w:rsid w:val="00264908"/>
    <w:rsid w:val="00264ADF"/>
    <w:rsid w:val="00264C96"/>
    <w:rsid w:val="00264F31"/>
    <w:rsid w:val="00265146"/>
    <w:rsid w:val="00265240"/>
    <w:rsid w:val="0026541B"/>
    <w:rsid w:val="002656B4"/>
    <w:rsid w:val="002657F9"/>
    <w:rsid w:val="00265A9A"/>
    <w:rsid w:val="00265B5A"/>
    <w:rsid w:val="0026620D"/>
    <w:rsid w:val="002663CD"/>
    <w:rsid w:val="002665E4"/>
    <w:rsid w:val="002668E6"/>
    <w:rsid w:val="00266C48"/>
    <w:rsid w:val="00266CC2"/>
    <w:rsid w:val="00267021"/>
    <w:rsid w:val="002670D9"/>
    <w:rsid w:val="00267155"/>
    <w:rsid w:val="0026733B"/>
    <w:rsid w:val="00267827"/>
    <w:rsid w:val="00267D34"/>
    <w:rsid w:val="00267F92"/>
    <w:rsid w:val="00270124"/>
    <w:rsid w:val="002705D5"/>
    <w:rsid w:val="0027062F"/>
    <w:rsid w:val="00270686"/>
    <w:rsid w:val="00270740"/>
    <w:rsid w:val="002707D0"/>
    <w:rsid w:val="00270805"/>
    <w:rsid w:val="0027091F"/>
    <w:rsid w:val="00270BD8"/>
    <w:rsid w:val="00270CCE"/>
    <w:rsid w:val="00270DDB"/>
    <w:rsid w:val="002710B7"/>
    <w:rsid w:val="0027119C"/>
    <w:rsid w:val="002712D5"/>
    <w:rsid w:val="002713EB"/>
    <w:rsid w:val="00271524"/>
    <w:rsid w:val="00271545"/>
    <w:rsid w:val="00271A4B"/>
    <w:rsid w:val="00271AA5"/>
    <w:rsid w:val="00271C13"/>
    <w:rsid w:val="00271C6A"/>
    <w:rsid w:val="00271E7B"/>
    <w:rsid w:val="0027200D"/>
    <w:rsid w:val="002721F0"/>
    <w:rsid w:val="00272642"/>
    <w:rsid w:val="002727E4"/>
    <w:rsid w:val="00272BC8"/>
    <w:rsid w:val="00272BDA"/>
    <w:rsid w:val="00272F77"/>
    <w:rsid w:val="0027307E"/>
    <w:rsid w:val="002732E6"/>
    <w:rsid w:val="00273813"/>
    <w:rsid w:val="00273820"/>
    <w:rsid w:val="002739DD"/>
    <w:rsid w:val="00273A66"/>
    <w:rsid w:val="00273EC1"/>
    <w:rsid w:val="00274132"/>
    <w:rsid w:val="00274292"/>
    <w:rsid w:val="0027441F"/>
    <w:rsid w:val="002746F9"/>
    <w:rsid w:val="00274982"/>
    <w:rsid w:val="00274C8C"/>
    <w:rsid w:val="00274ED8"/>
    <w:rsid w:val="002750A1"/>
    <w:rsid w:val="0027510E"/>
    <w:rsid w:val="00275548"/>
    <w:rsid w:val="00275940"/>
    <w:rsid w:val="00275A78"/>
    <w:rsid w:val="00275B45"/>
    <w:rsid w:val="00275F5E"/>
    <w:rsid w:val="00276129"/>
    <w:rsid w:val="0027612C"/>
    <w:rsid w:val="00276433"/>
    <w:rsid w:val="00276A56"/>
    <w:rsid w:val="0027717C"/>
    <w:rsid w:val="00277195"/>
    <w:rsid w:val="00277235"/>
    <w:rsid w:val="002773F5"/>
    <w:rsid w:val="0027742C"/>
    <w:rsid w:val="00277792"/>
    <w:rsid w:val="002779E2"/>
    <w:rsid w:val="00277AB2"/>
    <w:rsid w:val="00277C82"/>
    <w:rsid w:val="00277F93"/>
    <w:rsid w:val="0028006B"/>
    <w:rsid w:val="002802BE"/>
    <w:rsid w:val="0028082C"/>
    <w:rsid w:val="00280856"/>
    <w:rsid w:val="00280B71"/>
    <w:rsid w:val="00280D80"/>
    <w:rsid w:val="002814BF"/>
    <w:rsid w:val="002814ED"/>
    <w:rsid w:val="002815B2"/>
    <w:rsid w:val="0028189C"/>
    <w:rsid w:val="002818CD"/>
    <w:rsid w:val="002818E9"/>
    <w:rsid w:val="00281D11"/>
    <w:rsid w:val="00281DC7"/>
    <w:rsid w:val="00281EFC"/>
    <w:rsid w:val="00281FE2"/>
    <w:rsid w:val="0028208A"/>
    <w:rsid w:val="002822BB"/>
    <w:rsid w:val="00282876"/>
    <w:rsid w:val="00282C1A"/>
    <w:rsid w:val="00282C47"/>
    <w:rsid w:val="00282D19"/>
    <w:rsid w:val="00282F09"/>
    <w:rsid w:val="00283029"/>
    <w:rsid w:val="00283304"/>
    <w:rsid w:val="0028370B"/>
    <w:rsid w:val="002837BD"/>
    <w:rsid w:val="002837FE"/>
    <w:rsid w:val="00283A24"/>
    <w:rsid w:val="00283CC5"/>
    <w:rsid w:val="00283FFD"/>
    <w:rsid w:val="002848A1"/>
    <w:rsid w:val="002849C8"/>
    <w:rsid w:val="00284E5C"/>
    <w:rsid w:val="00284EE0"/>
    <w:rsid w:val="00285190"/>
    <w:rsid w:val="002854F1"/>
    <w:rsid w:val="00285589"/>
    <w:rsid w:val="002856AF"/>
    <w:rsid w:val="00285DF6"/>
    <w:rsid w:val="00285EEB"/>
    <w:rsid w:val="00286014"/>
    <w:rsid w:val="002860FC"/>
    <w:rsid w:val="00286478"/>
    <w:rsid w:val="002864D3"/>
    <w:rsid w:val="0028665F"/>
    <w:rsid w:val="0028671D"/>
    <w:rsid w:val="0028688E"/>
    <w:rsid w:val="0028692E"/>
    <w:rsid w:val="002869F3"/>
    <w:rsid w:val="00286EA4"/>
    <w:rsid w:val="0028729B"/>
    <w:rsid w:val="00287409"/>
    <w:rsid w:val="002874C5"/>
    <w:rsid w:val="00287521"/>
    <w:rsid w:val="00287AF1"/>
    <w:rsid w:val="00287B56"/>
    <w:rsid w:val="00287F8C"/>
    <w:rsid w:val="00287FB6"/>
    <w:rsid w:val="002900FE"/>
    <w:rsid w:val="0029016A"/>
    <w:rsid w:val="00290490"/>
    <w:rsid w:val="0029059A"/>
    <w:rsid w:val="00290911"/>
    <w:rsid w:val="00290AD6"/>
    <w:rsid w:val="00290C00"/>
    <w:rsid w:val="00290E39"/>
    <w:rsid w:val="00291265"/>
    <w:rsid w:val="002913C5"/>
    <w:rsid w:val="00291688"/>
    <w:rsid w:val="00291782"/>
    <w:rsid w:val="0029184B"/>
    <w:rsid w:val="00291908"/>
    <w:rsid w:val="00291C2F"/>
    <w:rsid w:val="00291C3E"/>
    <w:rsid w:val="00291C74"/>
    <w:rsid w:val="00291C8A"/>
    <w:rsid w:val="002922BA"/>
    <w:rsid w:val="0029234E"/>
    <w:rsid w:val="002926C9"/>
    <w:rsid w:val="002927E2"/>
    <w:rsid w:val="002929A9"/>
    <w:rsid w:val="00292A3D"/>
    <w:rsid w:val="00292B3E"/>
    <w:rsid w:val="00292C3C"/>
    <w:rsid w:val="002930AB"/>
    <w:rsid w:val="0029316F"/>
    <w:rsid w:val="002931FC"/>
    <w:rsid w:val="00293319"/>
    <w:rsid w:val="00293375"/>
    <w:rsid w:val="002933D2"/>
    <w:rsid w:val="002935FE"/>
    <w:rsid w:val="00293669"/>
    <w:rsid w:val="00293751"/>
    <w:rsid w:val="00293798"/>
    <w:rsid w:val="002938BE"/>
    <w:rsid w:val="0029399A"/>
    <w:rsid w:val="00293DD0"/>
    <w:rsid w:val="00293EDC"/>
    <w:rsid w:val="00294036"/>
    <w:rsid w:val="0029414A"/>
    <w:rsid w:val="00294327"/>
    <w:rsid w:val="00294354"/>
    <w:rsid w:val="00294541"/>
    <w:rsid w:val="00294841"/>
    <w:rsid w:val="00294939"/>
    <w:rsid w:val="00294B20"/>
    <w:rsid w:val="00295172"/>
    <w:rsid w:val="002951D7"/>
    <w:rsid w:val="00295356"/>
    <w:rsid w:val="00295554"/>
    <w:rsid w:val="00295660"/>
    <w:rsid w:val="0029571D"/>
    <w:rsid w:val="002957A4"/>
    <w:rsid w:val="002958F9"/>
    <w:rsid w:val="002959C8"/>
    <w:rsid w:val="00295C76"/>
    <w:rsid w:val="00295E8F"/>
    <w:rsid w:val="00295FE9"/>
    <w:rsid w:val="00296061"/>
    <w:rsid w:val="002960CC"/>
    <w:rsid w:val="0029651E"/>
    <w:rsid w:val="002966E6"/>
    <w:rsid w:val="00296761"/>
    <w:rsid w:val="00296789"/>
    <w:rsid w:val="00296945"/>
    <w:rsid w:val="0029697C"/>
    <w:rsid w:val="00296F7C"/>
    <w:rsid w:val="00297200"/>
    <w:rsid w:val="0029733F"/>
    <w:rsid w:val="00297710"/>
    <w:rsid w:val="00297BB4"/>
    <w:rsid w:val="00297CE6"/>
    <w:rsid w:val="00297CF1"/>
    <w:rsid w:val="002A020E"/>
    <w:rsid w:val="002A0351"/>
    <w:rsid w:val="002A066B"/>
    <w:rsid w:val="002A0841"/>
    <w:rsid w:val="002A0A5B"/>
    <w:rsid w:val="002A0C7D"/>
    <w:rsid w:val="002A0D0F"/>
    <w:rsid w:val="002A0D29"/>
    <w:rsid w:val="002A0F56"/>
    <w:rsid w:val="002A1040"/>
    <w:rsid w:val="002A114B"/>
    <w:rsid w:val="002A122C"/>
    <w:rsid w:val="002A1406"/>
    <w:rsid w:val="002A1545"/>
    <w:rsid w:val="002A15F0"/>
    <w:rsid w:val="002A188E"/>
    <w:rsid w:val="002A18BF"/>
    <w:rsid w:val="002A1A72"/>
    <w:rsid w:val="002A1FEC"/>
    <w:rsid w:val="002A1FED"/>
    <w:rsid w:val="002A2195"/>
    <w:rsid w:val="002A2234"/>
    <w:rsid w:val="002A242B"/>
    <w:rsid w:val="002A292C"/>
    <w:rsid w:val="002A2A99"/>
    <w:rsid w:val="002A2AF1"/>
    <w:rsid w:val="002A2B6D"/>
    <w:rsid w:val="002A2DC2"/>
    <w:rsid w:val="002A3063"/>
    <w:rsid w:val="002A317E"/>
    <w:rsid w:val="002A3229"/>
    <w:rsid w:val="002A336F"/>
    <w:rsid w:val="002A33DD"/>
    <w:rsid w:val="002A3541"/>
    <w:rsid w:val="002A364F"/>
    <w:rsid w:val="002A3C0C"/>
    <w:rsid w:val="002A3E09"/>
    <w:rsid w:val="002A467C"/>
    <w:rsid w:val="002A46A1"/>
    <w:rsid w:val="002A46D7"/>
    <w:rsid w:val="002A48CD"/>
    <w:rsid w:val="002A4B17"/>
    <w:rsid w:val="002A4D17"/>
    <w:rsid w:val="002A4EB6"/>
    <w:rsid w:val="002A519C"/>
    <w:rsid w:val="002A51A4"/>
    <w:rsid w:val="002A53ED"/>
    <w:rsid w:val="002A59FD"/>
    <w:rsid w:val="002A5A50"/>
    <w:rsid w:val="002A5B43"/>
    <w:rsid w:val="002A609A"/>
    <w:rsid w:val="002A60E0"/>
    <w:rsid w:val="002A6267"/>
    <w:rsid w:val="002A63DD"/>
    <w:rsid w:val="002A6509"/>
    <w:rsid w:val="002A6808"/>
    <w:rsid w:val="002A6875"/>
    <w:rsid w:val="002A6A4C"/>
    <w:rsid w:val="002A6A9D"/>
    <w:rsid w:val="002A6AD5"/>
    <w:rsid w:val="002A6CDA"/>
    <w:rsid w:val="002A704B"/>
    <w:rsid w:val="002A7114"/>
    <w:rsid w:val="002A7174"/>
    <w:rsid w:val="002A7379"/>
    <w:rsid w:val="002A76E2"/>
    <w:rsid w:val="002A7C62"/>
    <w:rsid w:val="002A7D95"/>
    <w:rsid w:val="002A7EC8"/>
    <w:rsid w:val="002B00D6"/>
    <w:rsid w:val="002B0166"/>
    <w:rsid w:val="002B071C"/>
    <w:rsid w:val="002B0A0E"/>
    <w:rsid w:val="002B11CD"/>
    <w:rsid w:val="002B169B"/>
    <w:rsid w:val="002B1804"/>
    <w:rsid w:val="002B180D"/>
    <w:rsid w:val="002B1BB4"/>
    <w:rsid w:val="002B1BDA"/>
    <w:rsid w:val="002B1DEB"/>
    <w:rsid w:val="002B1E5D"/>
    <w:rsid w:val="002B2937"/>
    <w:rsid w:val="002B2BAD"/>
    <w:rsid w:val="002B2BDE"/>
    <w:rsid w:val="002B2E12"/>
    <w:rsid w:val="002B31E8"/>
    <w:rsid w:val="002B3851"/>
    <w:rsid w:val="002B39C4"/>
    <w:rsid w:val="002B3AFB"/>
    <w:rsid w:val="002B4245"/>
    <w:rsid w:val="002B4289"/>
    <w:rsid w:val="002B4296"/>
    <w:rsid w:val="002B4611"/>
    <w:rsid w:val="002B467C"/>
    <w:rsid w:val="002B4CB8"/>
    <w:rsid w:val="002B4E35"/>
    <w:rsid w:val="002B4FC9"/>
    <w:rsid w:val="002B52F9"/>
    <w:rsid w:val="002B5A64"/>
    <w:rsid w:val="002B5B03"/>
    <w:rsid w:val="002B5CF9"/>
    <w:rsid w:val="002B5F2E"/>
    <w:rsid w:val="002B5F5A"/>
    <w:rsid w:val="002B6224"/>
    <w:rsid w:val="002B630B"/>
    <w:rsid w:val="002B65A9"/>
    <w:rsid w:val="002B68F0"/>
    <w:rsid w:val="002B6DAB"/>
    <w:rsid w:val="002B6EE5"/>
    <w:rsid w:val="002B715E"/>
    <w:rsid w:val="002B744B"/>
    <w:rsid w:val="002B7466"/>
    <w:rsid w:val="002B7587"/>
    <w:rsid w:val="002B759C"/>
    <w:rsid w:val="002B7676"/>
    <w:rsid w:val="002B7733"/>
    <w:rsid w:val="002B77E6"/>
    <w:rsid w:val="002B7A8E"/>
    <w:rsid w:val="002B7B55"/>
    <w:rsid w:val="002B7F12"/>
    <w:rsid w:val="002B7F4F"/>
    <w:rsid w:val="002C014C"/>
    <w:rsid w:val="002C03CF"/>
    <w:rsid w:val="002C0474"/>
    <w:rsid w:val="002C0681"/>
    <w:rsid w:val="002C084E"/>
    <w:rsid w:val="002C08FE"/>
    <w:rsid w:val="002C0B68"/>
    <w:rsid w:val="002C0B94"/>
    <w:rsid w:val="002C0C68"/>
    <w:rsid w:val="002C0C94"/>
    <w:rsid w:val="002C0F91"/>
    <w:rsid w:val="002C10B4"/>
    <w:rsid w:val="002C12D3"/>
    <w:rsid w:val="002C13FF"/>
    <w:rsid w:val="002C167B"/>
    <w:rsid w:val="002C1FE5"/>
    <w:rsid w:val="002C2188"/>
    <w:rsid w:val="002C23DF"/>
    <w:rsid w:val="002C267D"/>
    <w:rsid w:val="002C28A9"/>
    <w:rsid w:val="002C2B2B"/>
    <w:rsid w:val="002C3319"/>
    <w:rsid w:val="002C3334"/>
    <w:rsid w:val="002C335F"/>
    <w:rsid w:val="002C339B"/>
    <w:rsid w:val="002C3532"/>
    <w:rsid w:val="002C37DC"/>
    <w:rsid w:val="002C3887"/>
    <w:rsid w:val="002C38DA"/>
    <w:rsid w:val="002C400A"/>
    <w:rsid w:val="002C405F"/>
    <w:rsid w:val="002C4194"/>
    <w:rsid w:val="002C435F"/>
    <w:rsid w:val="002C46B7"/>
    <w:rsid w:val="002C4846"/>
    <w:rsid w:val="002C494C"/>
    <w:rsid w:val="002C4BC9"/>
    <w:rsid w:val="002C4E57"/>
    <w:rsid w:val="002C508A"/>
    <w:rsid w:val="002C52AD"/>
    <w:rsid w:val="002C5411"/>
    <w:rsid w:val="002C5621"/>
    <w:rsid w:val="002C5948"/>
    <w:rsid w:val="002C5D97"/>
    <w:rsid w:val="002C65FA"/>
    <w:rsid w:val="002C6941"/>
    <w:rsid w:val="002C69FF"/>
    <w:rsid w:val="002C6E05"/>
    <w:rsid w:val="002C6E38"/>
    <w:rsid w:val="002C6F7F"/>
    <w:rsid w:val="002C70CE"/>
    <w:rsid w:val="002C72A1"/>
    <w:rsid w:val="002C72B1"/>
    <w:rsid w:val="002C7520"/>
    <w:rsid w:val="002C7573"/>
    <w:rsid w:val="002C76A7"/>
    <w:rsid w:val="002C770B"/>
    <w:rsid w:val="002C7B7F"/>
    <w:rsid w:val="002C7D29"/>
    <w:rsid w:val="002C7D76"/>
    <w:rsid w:val="002C7DE6"/>
    <w:rsid w:val="002D0052"/>
    <w:rsid w:val="002D0164"/>
    <w:rsid w:val="002D01F7"/>
    <w:rsid w:val="002D0389"/>
    <w:rsid w:val="002D047E"/>
    <w:rsid w:val="002D0542"/>
    <w:rsid w:val="002D0633"/>
    <w:rsid w:val="002D0893"/>
    <w:rsid w:val="002D093F"/>
    <w:rsid w:val="002D0A46"/>
    <w:rsid w:val="002D0C6D"/>
    <w:rsid w:val="002D0F66"/>
    <w:rsid w:val="002D117F"/>
    <w:rsid w:val="002D1281"/>
    <w:rsid w:val="002D135C"/>
    <w:rsid w:val="002D142C"/>
    <w:rsid w:val="002D150E"/>
    <w:rsid w:val="002D17B5"/>
    <w:rsid w:val="002D1898"/>
    <w:rsid w:val="002D19AB"/>
    <w:rsid w:val="002D1D80"/>
    <w:rsid w:val="002D1DE6"/>
    <w:rsid w:val="002D2018"/>
    <w:rsid w:val="002D21E7"/>
    <w:rsid w:val="002D2201"/>
    <w:rsid w:val="002D2498"/>
    <w:rsid w:val="002D25B7"/>
    <w:rsid w:val="002D26C5"/>
    <w:rsid w:val="002D26F8"/>
    <w:rsid w:val="002D273C"/>
    <w:rsid w:val="002D295E"/>
    <w:rsid w:val="002D2AA1"/>
    <w:rsid w:val="002D2B20"/>
    <w:rsid w:val="002D2C68"/>
    <w:rsid w:val="002D2D4B"/>
    <w:rsid w:val="002D313B"/>
    <w:rsid w:val="002D31F4"/>
    <w:rsid w:val="002D36A4"/>
    <w:rsid w:val="002D36B2"/>
    <w:rsid w:val="002D36D8"/>
    <w:rsid w:val="002D3BA3"/>
    <w:rsid w:val="002D3DE0"/>
    <w:rsid w:val="002D411A"/>
    <w:rsid w:val="002D4213"/>
    <w:rsid w:val="002D43FE"/>
    <w:rsid w:val="002D45BD"/>
    <w:rsid w:val="002D482B"/>
    <w:rsid w:val="002D48E8"/>
    <w:rsid w:val="002D4B1E"/>
    <w:rsid w:val="002D4B21"/>
    <w:rsid w:val="002D4C9D"/>
    <w:rsid w:val="002D4D73"/>
    <w:rsid w:val="002D4DAA"/>
    <w:rsid w:val="002D4F33"/>
    <w:rsid w:val="002D4F76"/>
    <w:rsid w:val="002D523F"/>
    <w:rsid w:val="002D54F6"/>
    <w:rsid w:val="002D59DD"/>
    <w:rsid w:val="002D5B54"/>
    <w:rsid w:val="002D5C49"/>
    <w:rsid w:val="002D5CF7"/>
    <w:rsid w:val="002D5D78"/>
    <w:rsid w:val="002D60E3"/>
    <w:rsid w:val="002D642E"/>
    <w:rsid w:val="002D64E6"/>
    <w:rsid w:val="002D686E"/>
    <w:rsid w:val="002D6E90"/>
    <w:rsid w:val="002D6FE6"/>
    <w:rsid w:val="002D70F1"/>
    <w:rsid w:val="002D70FD"/>
    <w:rsid w:val="002D77E5"/>
    <w:rsid w:val="002D79E4"/>
    <w:rsid w:val="002D7B98"/>
    <w:rsid w:val="002D7E42"/>
    <w:rsid w:val="002D7F87"/>
    <w:rsid w:val="002E02A7"/>
    <w:rsid w:val="002E044B"/>
    <w:rsid w:val="002E05DC"/>
    <w:rsid w:val="002E062A"/>
    <w:rsid w:val="002E07F2"/>
    <w:rsid w:val="002E0D0C"/>
    <w:rsid w:val="002E0F7E"/>
    <w:rsid w:val="002E103C"/>
    <w:rsid w:val="002E128A"/>
    <w:rsid w:val="002E1472"/>
    <w:rsid w:val="002E1692"/>
    <w:rsid w:val="002E16CB"/>
    <w:rsid w:val="002E180A"/>
    <w:rsid w:val="002E1A3E"/>
    <w:rsid w:val="002E1B95"/>
    <w:rsid w:val="002E1C5E"/>
    <w:rsid w:val="002E215E"/>
    <w:rsid w:val="002E21B1"/>
    <w:rsid w:val="002E2335"/>
    <w:rsid w:val="002E2518"/>
    <w:rsid w:val="002E2634"/>
    <w:rsid w:val="002E2809"/>
    <w:rsid w:val="002E2881"/>
    <w:rsid w:val="002E28DB"/>
    <w:rsid w:val="002E2C11"/>
    <w:rsid w:val="002E2E0C"/>
    <w:rsid w:val="002E325E"/>
    <w:rsid w:val="002E3362"/>
    <w:rsid w:val="002E3527"/>
    <w:rsid w:val="002E35EE"/>
    <w:rsid w:val="002E3787"/>
    <w:rsid w:val="002E397D"/>
    <w:rsid w:val="002E3A45"/>
    <w:rsid w:val="002E3BE5"/>
    <w:rsid w:val="002E3DC2"/>
    <w:rsid w:val="002E422D"/>
    <w:rsid w:val="002E425F"/>
    <w:rsid w:val="002E4361"/>
    <w:rsid w:val="002E47A2"/>
    <w:rsid w:val="002E4929"/>
    <w:rsid w:val="002E4982"/>
    <w:rsid w:val="002E4BF6"/>
    <w:rsid w:val="002E4D29"/>
    <w:rsid w:val="002E4D48"/>
    <w:rsid w:val="002E4DE0"/>
    <w:rsid w:val="002E503B"/>
    <w:rsid w:val="002E51A9"/>
    <w:rsid w:val="002E52FC"/>
    <w:rsid w:val="002E53F8"/>
    <w:rsid w:val="002E5414"/>
    <w:rsid w:val="002E5584"/>
    <w:rsid w:val="002E56EF"/>
    <w:rsid w:val="002E5B4F"/>
    <w:rsid w:val="002E61E4"/>
    <w:rsid w:val="002E631E"/>
    <w:rsid w:val="002E65DC"/>
    <w:rsid w:val="002E6627"/>
    <w:rsid w:val="002E6691"/>
    <w:rsid w:val="002E67FB"/>
    <w:rsid w:val="002E6904"/>
    <w:rsid w:val="002E6EFE"/>
    <w:rsid w:val="002E6FE9"/>
    <w:rsid w:val="002E7182"/>
    <w:rsid w:val="002E73A8"/>
    <w:rsid w:val="002E73CC"/>
    <w:rsid w:val="002E74A9"/>
    <w:rsid w:val="002E779F"/>
    <w:rsid w:val="002E77B5"/>
    <w:rsid w:val="002E7B60"/>
    <w:rsid w:val="002E7BB4"/>
    <w:rsid w:val="002F0239"/>
    <w:rsid w:val="002F07EB"/>
    <w:rsid w:val="002F08F1"/>
    <w:rsid w:val="002F0942"/>
    <w:rsid w:val="002F0D38"/>
    <w:rsid w:val="002F0D6E"/>
    <w:rsid w:val="002F0DE1"/>
    <w:rsid w:val="002F0ED3"/>
    <w:rsid w:val="002F0F04"/>
    <w:rsid w:val="002F0F7A"/>
    <w:rsid w:val="002F10C1"/>
    <w:rsid w:val="002F1241"/>
    <w:rsid w:val="002F1403"/>
    <w:rsid w:val="002F15CA"/>
    <w:rsid w:val="002F1647"/>
    <w:rsid w:val="002F165C"/>
    <w:rsid w:val="002F1763"/>
    <w:rsid w:val="002F17C0"/>
    <w:rsid w:val="002F18AB"/>
    <w:rsid w:val="002F18E4"/>
    <w:rsid w:val="002F1A90"/>
    <w:rsid w:val="002F1D21"/>
    <w:rsid w:val="002F2374"/>
    <w:rsid w:val="002F2507"/>
    <w:rsid w:val="002F28AB"/>
    <w:rsid w:val="002F29EA"/>
    <w:rsid w:val="002F2D4C"/>
    <w:rsid w:val="002F2E21"/>
    <w:rsid w:val="002F3315"/>
    <w:rsid w:val="002F359C"/>
    <w:rsid w:val="002F3624"/>
    <w:rsid w:val="002F3A53"/>
    <w:rsid w:val="002F3D15"/>
    <w:rsid w:val="002F3E49"/>
    <w:rsid w:val="002F4425"/>
    <w:rsid w:val="002F44A8"/>
    <w:rsid w:val="002F456E"/>
    <w:rsid w:val="002F4615"/>
    <w:rsid w:val="002F4618"/>
    <w:rsid w:val="002F491F"/>
    <w:rsid w:val="002F4B00"/>
    <w:rsid w:val="002F4B05"/>
    <w:rsid w:val="002F4CCB"/>
    <w:rsid w:val="002F4CF6"/>
    <w:rsid w:val="002F4F26"/>
    <w:rsid w:val="002F547D"/>
    <w:rsid w:val="002F5B32"/>
    <w:rsid w:val="002F5E25"/>
    <w:rsid w:val="002F6101"/>
    <w:rsid w:val="002F61E3"/>
    <w:rsid w:val="002F62D6"/>
    <w:rsid w:val="002F6622"/>
    <w:rsid w:val="002F6664"/>
    <w:rsid w:val="002F66F1"/>
    <w:rsid w:val="002F6706"/>
    <w:rsid w:val="002F67DF"/>
    <w:rsid w:val="002F6BB6"/>
    <w:rsid w:val="002F7047"/>
    <w:rsid w:val="002F73A0"/>
    <w:rsid w:val="002F7816"/>
    <w:rsid w:val="002F7A14"/>
    <w:rsid w:val="002F7CB8"/>
    <w:rsid w:val="002F7DB8"/>
    <w:rsid w:val="002F7E0C"/>
    <w:rsid w:val="002F7EF0"/>
    <w:rsid w:val="00300470"/>
    <w:rsid w:val="0030069C"/>
    <w:rsid w:val="003007B5"/>
    <w:rsid w:val="0030083B"/>
    <w:rsid w:val="00300DFE"/>
    <w:rsid w:val="00300E3F"/>
    <w:rsid w:val="00300EFA"/>
    <w:rsid w:val="00301183"/>
    <w:rsid w:val="0030136D"/>
    <w:rsid w:val="003013FB"/>
    <w:rsid w:val="003014E0"/>
    <w:rsid w:val="00301842"/>
    <w:rsid w:val="00301BE4"/>
    <w:rsid w:val="00301D39"/>
    <w:rsid w:val="00301D5A"/>
    <w:rsid w:val="00301E1F"/>
    <w:rsid w:val="0030203D"/>
    <w:rsid w:val="003020B4"/>
    <w:rsid w:val="0030253A"/>
    <w:rsid w:val="003026FF"/>
    <w:rsid w:val="00302942"/>
    <w:rsid w:val="00302B3C"/>
    <w:rsid w:val="00302C7D"/>
    <w:rsid w:val="00302D75"/>
    <w:rsid w:val="00302DA6"/>
    <w:rsid w:val="00303166"/>
    <w:rsid w:val="003031AB"/>
    <w:rsid w:val="00303393"/>
    <w:rsid w:val="0030354F"/>
    <w:rsid w:val="00303A0F"/>
    <w:rsid w:val="00303A3F"/>
    <w:rsid w:val="00303AED"/>
    <w:rsid w:val="00303B0A"/>
    <w:rsid w:val="00304300"/>
    <w:rsid w:val="0030453E"/>
    <w:rsid w:val="0030455A"/>
    <w:rsid w:val="00304585"/>
    <w:rsid w:val="0030467B"/>
    <w:rsid w:val="003047EE"/>
    <w:rsid w:val="003047FE"/>
    <w:rsid w:val="003048F9"/>
    <w:rsid w:val="00304F8F"/>
    <w:rsid w:val="0030510B"/>
    <w:rsid w:val="00305188"/>
    <w:rsid w:val="00305485"/>
    <w:rsid w:val="00305582"/>
    <w:rsid w:val="0030567D"/>
    <w:rsid w:val="003056D5"/>
    <w:rsid w:val="003057A9"/>
    <w:rsid w:val="003057EA"/>
    <w:rsid w:val="00305C5B"/>
    <w:rsid w:val="00305EF6"/>
    <w:rsid w:val="00306394"/>
    <w:rsid w:val="0030659C"/>
    <w:rsid w:val="00306753"/>
    <w:rsid w:val="00306CA1"/>
    <w:rsid w:val="00306CED"/>
    <w:rsid w:val="00306DF6"/>
    <w:rsid w:val="00306E64"/>
    <w:rsid w:val="003071B0"/>
    <w:rsid w:val="00307425"/>
    <w:rsid w:val="003074E8"/>
    <w:rsid w:val="00307974"/>
    <w:rsid w:val="003079CB"/>
    <w:rsid w:val="00307C4F"/>
    <w:rsid w:val="00307CEF"/>
    <w:rsid w:val="00307D6D"/>
    <w:rsid w:val="00307E50"/>
    <w:rsid w:val="00307F6E"/>
    <w:rsid w:val="0031010B"/>
    <w:rsid w:val="0031018E"/>
    <w:rsid w:val="003101A1"/>
    <w:rsid w:val="0031072F"/>
    <w:rsid w:val="00310C6D"/>
    <w:rsid w:val="00310FAE"/>
    <w:rsid w:val="0031151D"/>
    <w:rsid w:val="00311822"/>
    <w:rsid w:val="00311BFF"/>
    <w:rsid w:val="00311D23"/>
    <w:rsid w:val="00311FC2"/>
    <w:rsid w:val="00312239"/>
    <w:rsid w:val="00312AD0"/>
    <w:rsid w:val="00312BD8"/>
    <w:rsid w:val="00312C2F"/>
    <w:rsid w:val="00312C34"/>
    <w:rsid w:val="00312D3B"/>
    <w:rsid w:val="00312EF6"/>
    <w:rsid w:val="003132FC"/>
    <w:rsid w:val="00313734"/>
    <w:rsid w:val="003137AB"/>
    <w:rsid w:val="00313A5D"/>
    <w:rsid w:val="00313F36"/>
    <w:rsid w:val="0031410E"/>
    <w:rsid w:val="003142E7"/>
    <w:rsid w:val="00314330"/>
    <w:rsid w:val="00314342"/>
    <w:rsid w:val="003146A2"/>
    <w:rsid w:val="0031488A"/>
    <w:rsid w:val="00314B45"/>
    <w:rsid w:val="00314EE9"/>
    <w:rsid w:val="00314F56"/>
    <w:rsid w:val="0031551B"/>
    <w:rsid w:val="003155FF"/>
    <w:rsid w:val="00315709"/>
    <w:rsid w:val="00315ABD"/>
    <w:rsid w:val="00315E35"/>
    <w:rsid w:val="00315E7F"/>
    <w:rsid w:val="003162C8"/>
    <w:rsid w:val="003162F0"/>
    <w:rsid w:val="0031651B"/>
    <w:rsid w:val="003165B1"/>
    <w:rsid w:val="00316CA4"/>
    <w:rsid w:val="00316D4E"/>
    <w:rsid w:val="00316D58"/>
    <w:rsid w:val="003171EA"/>
    <w:rsid w:val="00317240"/>
    <w:rsid w:val="00317666"/>
    <w:rsid w:val="003177D7"/>
    <w:rsid w:val="00317B33"/>
    <w:rsid w:val="00317C6A"/>
    <w:rsid w:val="00317F96"/>
    <w:rsid w:val="00317FDD"/>
    <w:rsid w:val="00320186"/>
    <w:rsid w:val="0032044F"/>
    <w:rsid w:val="003204F6"/>
    <w:rsid w:val="003205A9"/>
    <w:rsid w:val="003206FA"/>
    <w:rsid w:val="003207E0"/>
    <w:rsid w:val="00320EF6"/>
    <w:rsid w:val="00320FAA"/>
    <w:rsid w:val="003212B3"/>
    <w:rsid w:val="00321357"/>
    <w:rsid w:val="00321C90"/>
    <w:rsid w:val="00322657"/>
    <w:rsid w:val="003227FE"/>
    <w:rsid w:val="00322A3B"/>
    <w:rsid w:val="00322E8B"/>
    <w:rsid w:val="003230AC"/>
    <w:rsid w:val="00323283"/>
    <w:rsid w:val="003233D0"/>
    <w:rsid w:val="003237CD"/>
    <w:rsid w:val="003237EF"/>
    <w:rsid w:val="00323858"/>
    <w:rsid w:val="00323CAB"/>
    <w:rsid w:val="00323EC8"/>
    <w:rsid w:val="00323F33"/>
    <w:rsid w:val="0032474B"/>
    <w:rsid w:val="00324BAC"/>
    <w:rsid w:val="00324C4E"/>
    <w:rsid w:val="00324FEE"/>
    <w:rsid w:val="00325437"/>
    <w:rsid w:val="0032548D"/>
    <w:rsid w:val="003255C2"/>
    <w:rsid w:val="0032565D"/>
    <w:rsid w:val="0032582F"/>
    <w:rsid w:val="003259F2"/>
    <w:rsid w:val="00325E0B"/>
    <w:rsid w:val="00325E2A"/>
    <w:rsid w:val="0032615A"/>
    <w:rsid w:val="00326221"/>
    <w:rsid w:val="003262A5"/>
    <w:rsid w:val="003262F0"/>
    <w:rsid w:val="00326336"/>
    <w:rsid w:val="0032640C"/>
    <w:rsid w:val="00326512"/>
    <w:rsid w:val="0032656C"/>
    <w:rsid w:val="003265EE"/>
    <w:rsid w:val="00326643"/>
    <w:rsid w:val="0032675B"/>
    <w:rsid w:val="00326811"/>
    <w:rsid w:val="0032682C"/>
    <w:rsid w:val="00326839"/>
    <w:rsid w:val="00326A13"/>
    <w:rsid w:val="00326D28"/>
    <w:rsid w:val="0032712A"/>
    <w:rsid w:val="0032723F"/>
    <w:rsid w:val="003273B8"/>
    <w:rsid w:val="00327432"/>
    <w:rsid w:val="00327781"/>
    <w:rsid w:val="00327AF3"/>
    <w:rsid w:val="00327DC5"/>
    <w:rsid w:val="0033027E"/>
    <w:rsid w:val="0033049A"/>
    <w:rsid w:val="003304BA"/>
    <w:rsid w:val="00330547"/>
    <w:rsid w:val="00330673"/>
    <w:rsid w:val="003307EB"/>
    <w:rsid w:val="0033089E"/>
    <w:rsid w:val="003308EE"/>
    <w:rsid w:val="00330A04"/>
    <w:rsid w:val="00331054"/>
    <w:rsid w:val="00331153"/>
    <w:rsid w:val="0033138F"/>
    <w:rsid w:val="003314DA"/>
    <w:rsid w:val="0033168A"/>
    <w:rsid w:val="0033178E"/>
    <w:rsid w:val="00331843"/>
    <w:rsid w:val="00331A44"/>
    <w:rsid w:val="00331D77"/>
    <w:rsid w:val="00331E98"/>
    <w:rsid w:val="00331EEF"/>
    <w:rsid w:val="00331EF4"/>
    <w:rsid w:val="00332074"/>
    <w:rsid w:val="00332EDF"/>
    <w:rsid w:val="00332FF9"/>
    <w:rsid w:val="00333093"/>
    <w:rsid w:val="003330AE"/>
    <w:rsid w:val="00333289"/>
    <w:rsid w:val="0033332D"/>
    <w:rsid w:val="00333689"/>
    <w:rsid w:val="003338C0"/>
    <w:rsid w:val="003339C1"/>
    <w:rsid w:val="00333ADA"/>
    <w:rsid w:val="00333C54"/>
    <w:rsid w:val="00333ECB"/>
    <w:rsid w:val="0033422B"/>
    <w:rsid w:val="003342DB"/>
    <w:rsid w:val="00334739"/>
    <w:rsid w:val="00334D81"/>
    <w:rsid w:val="0033520C"/>
    <w:rsid w:val="00335842"/>
    <w:rsid w:val="003359C4"/>
    <w:rsid w:val="00335A35"/>
    <w:rsid w:val="00335C05"/>
    <w:rsid w:val="00335E3A"/>
    <w:rsid w:val="00335E92"/>
    <w:rsid w:val="00335E9B"/>
    <w:rsid w:val="00335F27"/>
    <w:rsid w:val="00336095"/>
    <w:rsid w:val="003362B9"/>
    <w:rsid w:val="00336439"/>
    <w:rsid w:val="00336480"/>
    <w:rsid w:val="00336506"/>
    <w:rsid w:val="003366F4"/>
    <w:rsid w:val="0033672A"/>
    <w:rsid w:val="003367AE"/>
    <w:rsid w:val="00336AD5"/>
    <w:rsid w:val="00336C14"/>
    <w:rsid w:val="00336C85"/>
    <w:rsid w:val="00336D7F"/>
    <w:rsid w:val="00336FEF"/>
    <w:rsid w:val="0033712A"/>
    <w:rsid w:val="0033726A"/>
    <w:rsid w:val="0033741C"/>
    <w:rsid w:val="0033748F"/>
    <w:rsid w:val="003379C6"/>
    <w:rsid w:val="00337A1D"/>
    <w:rsid w:val="00337D5B"/>
    <w:rsid w:val="003401D8"/>
    <w:rsid w:val="003404EE"/>
    <w:rsid w:val="00340577"/>
    <w:rsid w:val="00340608"/>
    <w:rsid w:val="003406B0"/>
    <w:rsid w:val="0034087E"/>
    <w:rsid w:val="00340A86"/>
    <w:rsid w:val="00340C1A"/>
    <w:rsid w:val="00340D88"/>
    <w:rsid w:val="00340FE4"/>
    <w:rsid w:val="0034108E"/>
    <w:rsid w:val="00341107"/>
    <w:rsid w:val="003412C8"/>
    <w:rsid w:val="0034173A"/>
    <w:rsid w:val="00341A1C"/>
    <w:rsid w:val="00341EAB"/>
    <w:rsid w:val="00342289"/>
    <w:rsid w:val="00342ABF"/>
    <w:rsid w:val="00342C7B"/>
    <w:rsid w:val="00342DBF"/>
    <w:rsid w:val="00342DF8"/>
    <w:rsid w:val="003434A0"/>
    <w:rsid w:val="0034360F"/>
    <w:rsid w:val="0034364D"/>
    <w:rsid w:val="003436F2"/>
    <w:rsid w:val="003438D3"/>
    <w:rsid w:val="00343B33"/>
    <w:rsid w:val="00343B63"/>
    <w:rsid w:val="00344098"/>
    <w:rsid w:val="0034417E"/>
    <w:rsid w:val="0034424C"/>
    <w:rsid w:val="003448C5"/>
    <w:rsid w:val="00344997"/>
    <w:rsid w:val="00344A63"/>
    <w:rsid w:val="00344A81"/>
    <w:rsid w:val="00344CCA"/>
    <w:rsid w:val="00344CF7"/>
    <w:rsid w:val="00344D44"/>
    <w:rsid w:val="00344DCC"/>
    <w:rsid w:val="00344E96"/>
    <w:rsid w:val="003453A7"/>
    <w:rsid w:val="0034547D"/>
    <w:rsid w:val="00345539"/>
    <w:rsid w:val="003455D8"/>
    <w:rsid w:val="0034581F"/>
    <w:rsid w:val="00345A8F"/>
    <w:rsid w:val="00345C3C"/>
    <w:rsid w:val="00346686"/>
    <w:rsid w:val="003467B0"/>
    <w:rsid w:val="00346B80"/>
    <w:rsid w:val="00346C04"/>
    <w:rsid w:val="00346C05"/>
    <w:rsid w:val="00346CA3"/>
    <w:rsid w:val="00346DC5"/>
    <w:rsid w:val="003470A8"/>
    <w:rsid w:val="0034724D"/>
    <w:rsid w:val="00347251"/>
    <w:rsid w:val="003472DF"/>
    <w:rsid w:val="003474F8"/>
    <w:rsid w:val="00347782"/>
    <w:rsid w:val="003477AE"/>
    <w:rsid w:val="00347AE5"/>
    <w:rsid w:val="00347E74"/>
    <w:rsid w:val="00347EAC"/>
    <w:rsid w:val="00347F43"/>
    <w:rsid w:val="00347FAA"/>
    <w:rsid w:val="00350348"/>
    <w:rsid w:val="0035042D"/>
    <w:rsid w:val="00350455"/>
    <w:rsid w:val="003504ED"/>
    <w:rsid w:val="003505E0"/>
    <w:rsid w:val="003506A5"/>
    <w:rsid w:val="00350908"/>
    <w:rsid w:val="0035093D"/>
    <w:rsid w:val="00350D0C"/>
    <w:rsid w:val="00350DBD"/>
    <w:rsid w:val="00350E3C"/>
    <w:rsid w:val="00350E71"/>
    <w:rsid w:val="003510FF"/>
    <w:rsid w:val="0035137F"/>
    <w:rsid w:val="0035151F"/>
    <w:rsid w:val="00351843"/>
    <w:rsid w:val="00351AF6"/>
    <w:rsid w:val="00351BF0"/>
    <w:rsid w:val="00351F5D"/>
    <w:rsid w:val="00351FAE"/>
    <w:rsid w:val="003521AE"/>
    <w:rsid w:val="0035220B"/>
    <w:rsid w:val="003528D8"/>
    <w:rsid w:val="003529CE"/>
    <w:rsid w:val="00352A09"/>
    <w:rsid w:val="00352CAE"/>
    <w:rsid w:val="00352FD9"/>
    <w:rsid w:val="003530C2"/>
    <w:rsid w:val="0035312B"/>
    <w:rsid w:val="0035319F"/>
    <w:rsid w:val="00353559"/>
    <w:rsid w:val="003536A3"/>
    <w:rsid w:val="003538AB"/>
    <w:rsid w:val="00353B3B"/>
    <w:rsid w:val="00353E45"/>
    <w:rsid w:val="003545AB"/>
    <w:rsid w:val="00354686"/>
    <w:rsid w:val="00354918"/>
    <w:rsid w:val="00354A8A"/>
    <w:rsid w:val="00354B85"/>
    <w:rsid w:val="00354C78"/>
    <w:rsid w:val="00354CAC"/>
    <w:rsid w:val="00355112"/>
    <w:rsid w:val="00355278"/>
    <w:rsid w:val="00355B5A"/>
    <w:rsid w:val="00355BFF"/>
    <w:rsid w:val="00355D3C"/>
    <w:rsid w:val="00355E06"/>
    <w:rsid w:val="0035635E"/>
    <w:rsid w:val="00356542"/>
    <w:rsid w:val="00356658"/>
    <w:rsid w:val="00356763"/>
    <w:rsid w:val="003567E8"/>
    <w:rsid w:val="00356A5A"/>
    <w:rsid w:val="00356A97"/>
    <w:rsid w:val="00356DAF"/>
    <w:rsid w:val="00356F44"/>
    <w:rsid w:val="00356F91"/>
    <w:rsid w:val="0035709B"/>
    <w:rsid w:val="00357367"/>
    <w:rsid w:val="003573E1"/>
    <w:rsid w:val="0035759B"/>
    <w:rsid w:val="00357B91"/>
    <w:rsid w:val="00357D53"/>
    <w:rsid w:val="00357F74"/>
    <w:rsid w:val="003603FA"/>
    <w:rsid w:val="003605C4"/>
    <w:rsid w:val="0036062F"/>
    <w:rsid w:val="003606F9"/>
    <w:rsid w:val="00360746"/>
    <w:rsid w:val="003607CC"/>
    <w:rsid w:val="00360C58"/>
    <w:rsid w:val="00360D9D"/>
    <w:rsid w:val="0036109C"/>
    <w:rsid w:val="003611D4"/>
    <w:rsid w:val="00361209"/>
    <w:rsid w:val="003613AF"/>
    <w:rsid w:val="003614F2"/>
    <w:rsid w:val="00361807"/>
    <w:rsid w:val="00361867"/>
    <w:rsid w:val="0036192C"/>
    <w:rsid w:val="00361BD0"/>
    <w:rsid w:val="00361FD3"/>
    <w:rsid w:val="00362508"/>
    <w:rsid w:val="00362577"/>
    <w:rsid w:val="0036264E"/>
    <w:rsid w:val="00362BC3"/>
    <w:rsid w:val="00362E7A"/>
    <w:rsid w:val="00362FB9"/>
    <w:rsid w:val="003635F7"/>
    <w:rsid w:val="0036378F"/>
    <w:rsid w:val="003637EF"/>
    <w:rsid w:val="003638CD"/>
    <w:rsid w:val="00363976"/>
    <w:rsid w:val="00363FDC"/>
    <w:rsid w:val="00364011"/>
    <w:rsid w:val="0036425E"/>
    <w:rsid w:val="0036429A"/>
    <w:rsid w:val="00364353"/>
    <w:rsid w:val="0036453B"/>
    <w:rsid w:val="0036454D"/>
    <w:rsid w:val="003646FC"/>
    <w:rsid w:val="00364C13"/>
    <w:rsid w:val="00364D82"/>
    <w:rsid w:val="00364EF3"/>
    <w:rsid w:val="003653F6"/>
    <w:rsid w:val="0036549A"/>
    <w:rsid w:val="003657A9"/>
    <w:rsid w:val="003657FF"/>
    <w:rsid w:val="00365841"/>
    <w:rsid w:val="00365964"/>
    <w:rsid w:val="00365985"/>
    <w:rsid w:val="00365987"/>
    <w:rsid w:val="00365D91"/>
    <w:rsid w:val="00365F17"/>
    <w:rsid w:val="0036603E"/>
    <w:rsid w:val="00366066"/>
    <w:rsid w:val="00366458"/>
    <w:rsid w:val="003664E8"/>
    <w:rsid w:val="0036675A"/>
    <w:rsid w:val="003669B5"/>
    <w:rsid w:val="003669EC"/>
    <w:rsid w:val="00366A45"/>
    <w:rsid w:val="00366CD7"/>
    <w:rsid w:val="003672F5"/>
    <w:rsid w:val="00367843"/>
    <w:rsid w:val="00367A8B"/>
    <w:rsid w:val="00367AA1"/>
    <w:rsid w:val="00367D4E"/>
    <w:rsid w:val="0037015B"/>
    <w:rsid w:val="003701BB"/>
    <w:rsid w:val="0037038B"/>
    <w:rsid w:val="0037067A"/>
    <w:rsid w:val="00370848"/>
    <w:rsid w:val="00370875"/>
    <w:rsid w:val="00370C06"/>
    <w:rsid w:val="00370C99"/>
    <w:rsid w:val="00370E91"/>
    <w:rsid w:val="00371255"/>
    <w:rsid w:val="00371553"/>
    <w:rsid w:val="00371788"/>
    <w:rsid w:val="0037189D"/>
    <w:rsid w:val="00371E6F"/>
    <w:rsid w:val="0037209C"/>
    <w:rsid w:val="00372138"/>
    <w:rsid w:val="00372193"/>
    <w:rsid w:val="00372263"/>
    <w:rsid w:val="0037250D"/>
    <w:rsid w:val="00372583"/>
    <w:rsid w:val="00372A1A"/>
    <w:rsid w:val="00372AD2"/>
    <w:rsid w:val="00372B2D"/>
    <w:rsid w:val="00372B8B"/>
    <w:rsid w:val="00372D95"/>
    <w:rsid w:val="00372E14"/>
    <w:rsid w:val="00372F60"/>
    <w:rsid w:val="00372F9B"/>
    <w:rsid w:val="003730B0"/>
    <w:rsid w:val="003733D7"/>
    <w:rsid w:val="003736DB"/>
    <w:rsid w:val="00373D0B"/>
    <w:rsid w:val="00374080"/>
    <w:rsid w:val="003741E6"/>
    <w:rsid w:val="00374450"/>
    <w:rsid w:val="003744B1"/>
    <w:rsid w:val="00374CFF"/>
    <w:rsid w:val="00374D1D"/>
    <w:rsid w:val="003750C5"/>
    <w:rsid w:val="00375191"/>
    <w:rsid w:val="0037543F"/>
    <w:rsid w:val="00375754"/>
    <w:rsid w:val="003758B9"/>
    <w:rsid w:val="00375B30"/>
    <w:rsid w:val="00375DBA"/>
    <w:rsid w:val="00375DD7"/>
    <w:rsid w:val="003761A6"/>
    <w:rsid w:val="00376C70"/>
    <w:rsid w:val="00376C7A"/>
    <w:rsid w:val="00376C84"/>
    <w:rsid w:val="00376D48"/>
    <w:rsid w:val="00376D9E"/>
    <w:rsid w:val="00376E02"/>
    <w:rsid w:val="00377E78"/>
    <w:rsid w:val="00377EC8"/>
    <w:rsid w:val="0038021F"/>
    <w:rsid w:val="003806B9"/>
    <w:rsid w:val="0038078C"/>
    <w:rsid w:val="00380845"/>
    <w:rsid w:val="00380966"/>
    <w:rsid w:val="00380A0F"/>
    <w:rsid w:val="00380C6A"/>
    <w:rsid w:val="00380E11"/>
    <w:rsid w:val="00380F9B"/>
    <w:rsid w:val="00380FEB"/>
    <w:rsid w:val="00380FF9"/>
    <w:rsid w:val="0038122C"/>
    <w:rsid w:val="00381272"/>
    <w:rsid w:val="00381408"/>
    <w:rsid w:val="003818B1"/>
    <w:rsid w:val="00381974"/>
    <w:rsid w:val="00381B10"/>
    <w:rsid w:val="00381CB0"/>
    <w:rsid w:val="00381DDB"/>
    <w:rsid w:val="00381E64"/>
    <w:rsid w:val="00381F68"/>
    <w:rsid w:val="0038213A"/>
    <w:rsid w:val="00382327"/>
    <w:rsid w:val="00382360"/>
    <w:rsid w:val="003823A5"/>
    <w:rsid w:val="003823AD"/>
    <w:rsid w:val="003824FD"/>
    <w:rsid w:val="0038253B"/>
    <w:rsid w:val="0038256C"/>
    <w:rsid w:val="0038272E"/>
    <w:rsid w:val="003827DB"/>
    <w:rsid w:val="00382C01"/>
    <w:rsid w:val="00382E54"/>
    <w:rsid w:val="00382E9D"/>
    <w:rsid w:val="00382EEF"/>
    <w:rsid w:val="00382F10"/>
    <w:rsid w:val="0038310B"/>
    <w:rsid w:val="00383260"/>
    <w:rsid w:val="00383309"/>
    <w:rsid w:val="00383438"/>
    <w:rsid w:val="003834BB"/>
    <w:rsid w:val="00383609"/>
    <w:rsid w:val="0038367F"/>
    <w:rsid w:val="003836C6"/>
    <w:rsid w:val="00383702"/>
    <w:rsid w:val="00383879"/>
    <w:rsid w:val="00383AEB"/>
    <w:rsid w:val="00383ED5"/>
    <w:rsid w:val="00384028"/>
    <w:rsid w:val="00384375"/>
    <w:rsid w:val="003844A4"/>
    <w:rsid w:val="0038479B"/>
    <w:rsid w:val="0038495D"/>
    <w:rsid w:val="00384A7A"/>
    <w:rsid w:val="00384C98"/>
    <w:rsid w:val="00384E74"/>
    <w:rsid w:val="00384FE3"/>
    <w:rsid w:val="0038540C"/>
    <w:rsid w:val="00385625"/>
    <w:rsid w:val="00385727"/>
    <w:rsid w:val="0038592F"/>
    <w:rsid w:val="00385B82"/>
    <w:rsid w:val="00386046"/>
    <w:rsid w:val="00386061"/>
    <w:rsid w:val="00386098"/>
    <w:rsid w:val="0038632B"/>
    <w:rsid w:val="0038638C"/>
    <w:rsid w:val="0038661B"/>
    <w:rsid w:val="00386BA4"/>
    <w:rsid w:val="00386BF6"/>
    <w:rsid w:val="00387063"/>
    <w:rsid w:val="003871C6"/>
    <w:rsid w:val="0038740D"/>
    <w:rsid w:val="0038744E"/>
    <w:rsid w:val="00387586"/>
    <w:rsid w:val="0038772C"/>
    <w:rsid w:val="003879A8"/>
    <w:rsid w:val="00387A11"/>
    <w:rsid w:val="00387D13"/>
    <w:rsid w:val="003901D5"/>
    <w:rsid w:val="0039039C"/>
    <w:rsid w:val="003904A9"/>
    <w:rsid w:val="003909CD"/>
    <w:rsid w:val="00390BA4"/>
    <w:rsid w:val="00390C71"/>
    <w:rsid w:val="00390D67"/>
    <w:rsid w:val="00390D80"/>
    <w:rsid w:val="00390E59"/>
    <w:rsid w:val="00390EE5"/>
    <w:rsid w:val="003910D9"/>
    <w:rsid w:val="00391112"/>
    <w:rsid w:val="00391203"/>
    <w:rsid w:val="0039132D"/>
    <w:rsid w:val="003917AF"/>
    <w:rsid w:val="00391B34"/>
    <w:rsid w:val="00391B67"/>
    <w:rsid w:val="00391E41"/>
    <w:rsid w:val="00391E57"/>
    <w:rsid w:val="003920AE"/>
    <w:rsid w:val="003921F9"/>
    <w:rsid w:val="003926F5"/>
    <w:rsid w:val="00392893"/>
    <w:rsid w:val="003928CF"/>
    <w:rsid w:val="0039299A"/>
    <w:rsid w:val="00392AD7"/>
    <w:rsid w:val="00392C21"/>
    <w:rsid w:val="00392CB6"/>
    <w:rsid w:val="00393081"/>
    <w:rsid w:val="003931BF"/>
    <w:rsid w:val="00393670"/>
    <w:rsid w:val="00393899"/>
    <w:rsid w:val="003938D4"/>
    <w:rsid w:val="00393BD0"/>
    <w:rsid w:val="00393F4D"/>
    <w:rsid w:val="00393FF5"/>
    <w:rsid w:val="003942B3"/>
    <w:rsid w:val="003943DA"/>
    <w:rsid w:val="00394412"/>
    <w:rsid w:val="00394927"/>
    <w:rsid w:val="00394963"/>
    <w:rsid w:val="00394AA8"/>
    <w:rsid w:val="00394B57"/>
    <w:rsid w:val="00394CA6"/>
    <w:rsid w:val="00394E8C"/>
    <w:rsid w:val="00394F05"/>
    <w:rsid w:val="00394FFB"/>
    <w:rsid w:val="00395371"/>
    <w:rsid w:val="00395393"/>
    <w:rsid w:val="0039578C"/>
    <w:rsid w:val="003958CE"/>
    <w:rsid w:val="00395C14"/>
    <w:rsid w:val="00395CA0"/>
    <w:rsid w:val="00395EB7"/>
    <w:rsid w:val="00395EE4"/>
    <w:rsid w:val="00395EEE"/>
    <w:rsid w:val="00395FAE"/>
    <w:rsid w:val="00396161"/>
    <w:rsid w:val="003961BB"/>
    <w:rsid w:val="0039646C"/>
    <w:rsid w:val="003965DA"/>
    <w:rsid w:val="00396C89"/>
    <w:rsid w:val="00396DF8"/>
    <w:rsid w:val="0039753F"/>
    <w:rsid w:val="00397747"/>
    <w:rsid w:val="00397A49"/>
    <w:rsid w:val="00397A65"/>
    <w:rsid w:val="00397A6D"/>
    <w:rsid w:val="00397CB6"/>
    <w:rsid w:val="00397CD9"/>
    <w:rsid w:val="00397D84"/>
    <w:rsid w:val="003A01BC"/>
    <w:rsid w:val="003A0371"/>
    <w:rsid w:val="003A06D3"/>
    <w:rsid w:val="003A09CE"/>
    <w:rsid w:val="003A0A53"/>
    <w:rsid w:val="003A0CED"/>
    <w:rsid w:val="003A0FC4"/>
    <w:rsid w:val="003A1301"/>
    <w:rsid w:val="003A13C5"/>
    <w:rsid w:val="003A150E"/>
    <w:rsid w:val="003A19AC"/>
    <w:rsid w:val="003A1C2F"/>
    <w:rsid w:val="003A1CA0"/>
    <w:rsid w:val="003A204A"/>
    <w:rsid w:val="003A21C0"/>
    <w:rsid w:val="003A237D"/>
    <w:rsid w:val="003A272B"/>
    <w:rsid w:val="003A2C32"/>
    <w:rsid w:val="003A2C3F"/>
    <w:rsid w:val="003A2DA9"/>
    <w:rsid w:val="003A31FD"/>
    <w:rsid w:val="003A329C"/>
    <w:rsid w:val="003A33A1"/>
    <w:rsid w:val="003A347A"/>
    <w:rsid w:val="003A3754"/>
    <w:rsid w:val="003A3BF7"/>
    <w:rsid w:val="003A3DD5"/>
    <w:rsid w:val="003A3F43"/>
    <w:rsid w:val="003A4067"/>
    <w:rsid w:val="003A4A88"/>
    <w:rsid w:val="003A5384"/>
    <w:rsid w:val="003A53E7"/>
    <w:rsid w:val="003A550D"/>
    <w:rsid w:val="003A5542"/>
    <w:rsid w:val="003A55A7"/>
    <w:rsid w:val="003A5949"/>
    <w:rsid w:val="003A5980"/>
    <w:rsid w:val="003A59EB"/>
    <w:rsid w:val="003A5AE4"/>
    <w:rsid w:val="003A5B3C"/>
    <w:rsid w:val="003A5D1D"/>
    <w:rsid w:val="003A5D39"/>
    <w:rsid w:val="003A5E6F"/>
    <w:rsid w:val="003A5F4F"/>
    <w:rsid w:val="003A6486"/>
    <w:rsid w:val="003A6A69"/>
    <w:rsid w:val="003A6C9C"/>
    <w:rsid w:val="003A71A9"/>
    <w:rsid w:val="003A74A5"/>
    <w:rsid w:val="003A74CE"/>
    <w:rsid w:val="003A753F"/>
    <w:rsid w:val="003A75C7"/>
    <w:rsid w:val="003A76C2"/>
    <w:rsid w:val="003A77AA"/>
    <w:rsid w:val="003A7BC3"/>
    <w:rsid w:val="003A7F90"/>
    <w:rsid w:val="003B028C"/>
    <w:rsid w:val="003B0357"/>
    <w:rsid w:val="003B03F8"/>
    <w:rsid w:val="003B0810"/>
    <w:rsid w:val="003B08A5"/>
    <w:rsid w:val="003B0C0F"/>
    <w:rsid w:val="003B0EDB"/>
    <w:rsid w:val="003B0F97"/>
    <w:rsid w:val="003B11B6"/>
    <w:rsid w:val="003B12EA"/>
    <w:rsid w:val="003B1338"/>
    <w:rsid w:val="003B137D"/>
    <w:rsid w:val="003B18D6"/>
    <w:rsid w:val="003B19C5"/>
    <w:rsid w:val="003B1B65"/>
    <w:rsid w:val="003B1DFD"/>
    <w:rsid w:val="003B1F41"/>
    <w:rsid w:val="003B23A6"/>
    <w:rsid w:val="003B2417"/>
    <w:rsid w:val="003B242C"/>
    <w:rsid w:val="003B272D"/>
    <w:rsid w:val="003B2D49"/>
    <w:rsid w:val="003B2F20"/>
    <w:rsid w:val="003B33DC"/>
    <w:rsid w:val="003B35C3"/>
    <w:rsid w:val="003B3729"/>
    <w:rsid w:val="003B386F"/>
    <w:rsid w:val="003B38AE"/>
    <w:rsid w:val="003B390C"/>
    <w:rsid w:val="003B3AE4"/>
    <w:rsid w:val="003B4539"/>
    <w:rsid w:val="003B47DD"/>
    <w:rsid w:val="003B4FBD"/>
    <w:rsid w:val="003B500B"/>
    <w:rsid w:val="003B523D"/>
    <w:rsid w:val="003B52EA"/>
    <w:rsid w:val="003B54A0"/>
    <w:rsid w:val="003B54FF"/>
    <w:rsid w:val="003B5580"/>
    <w:rsid w:val="003B5837"/>
    <w:rsid w:val="003B59BC"/>
    <w:rsid w:val="003B59F2"/>
    <w:rsid w:val="003B5A75"/>
    <w:rsid w:val="003B5A7D"/>
    <w:rsid w:val="003B5E18"/>
    <w:rsid w:val="003B60F2"/>
    <w:rsid w:val="003B6445"/>
    <w:rsid w:val="003B6507"/>
    <w:rsid w:val="003B6675"/>
    <w:rsid w:val="003B682A"/>
    <w:rsid w:val="003B6BFF"/>
    <w:rsid w:val="003B6CCD"/>
    <w:rsid w:val="003B6DB6"/>
    <w:rsid w:val="003B6E4E"/>
    <w:rsid w:val="003B6F24"/>
    <w:rsid w:val="003B7036"/>
    <w:rsid w:val="003B7178"/>
    <w:rsid w:val="003B7413"/>
    <w:rsid w:val="003B74D4"/>
    <w:rsid w:val="003B7BF2"/>
    <w:rsid w:val="003C0045"/>
    <w:rsid w:val="003C00B8"/>
    <w:rsid w:val="003C02E3"/>
    <w:rsid w:val="003C09E6"/>
    <w:rsid w:val="003C1000"/>
    <w:rsid w:val="003C146C"/>
    <w:rsid w:val="003C1559"/>
    <w:rsid w:val="003C16BC"/>
    <w:rsid w:val="003C1708"/>
    <w:rsid w:val="003C1828"/>
    <w:rsid w:val="003C1B2D"/>
    <w:rsid w:val="003C1E70"/>
    <w:rsid w:val="003C227C"/>
    <w:rsid w:val="003C25D4"/>
    <w:rsid w:val="003C27D1"/>
    <w:rsid w:val="003C2B3F"/>
    <w:rsid w:val="003C2F28"/>
    <w:rsid w:val="003C3320"/>
    <w:rsid w:val="003C3966"/>
    <w:rsid w:val="003C3EA1"/>
    <w:rsid w:val="003C3F09"/>
    <w:rsid w:val="003C3F8E"/>
    <w:rsid w:val="003C3F9F"/>
    <w:rsid w:val="003C4044"/>
    <w:rsid w:val="003C4247"/>
    <w:rsid w:val="003C445E"/>
    <w:rsid w:val="003C47A5"/>
    <w:rsid w:val="003C4856"/>
    <w:rsid w:val="003C4868"/>
    <w:rsid w:val="003C53CF"/>
    <w:rsid w:val="003C5610"/>
    <w:rsid w:val="003C58FD"/>
    <w:rsid w:val="003C5AA9"/>
    <w:rsid w:val="003C5E75"/>
    <w:rsid w:val="003C5E9A"/>
    <w:rsid w:val="003C619E"/>
    <w:rsid w:val="003C6447"/>
    <w:rsid w:val="003C655E"/>
    <w:rsid w:val="003C657F"/>
    <w:rsid w:val="003C6A74"/>
    <w:rsid w:val="003C6BAE"/>
    <w:rsid w:val="003C6FAD"/>
    <w:rsid w:val="003C70B9"/>
    <w:rsid w:val="003C7261"/>
    <w:rsid w:val="003C74AC"/>
    <w:rsid w:val="003C762A"/>
    <w:rsid w:val="003C7C22"/>
    <w:rsid w:val="003C7C65"/>
    <w:rsid w:val="003C7C75"/>
    <w:rsid w:val="003C7F18"/>
    <w:rsid w:val="003D0167"/>
    <w:rsid w:val="003D0273"/>
    <w:rsid w:val="003D04F6"/>
    <w:rsid w:val="003D0507"/>
    <w:rsid w:val="003D07D6"/>
    <w:rsid w:val="003D083C"/>
    <w:rsid w:val="003D0AF3"/>
    <w:rsid w:val="003D0AFA"/>
    <w:rsid w:val="003D0CAF"/>
    <w:rsid w:val="003D0D8F"/>
    <w:rsid w:val="003D0EBB"/>
    <w:rsid w:val="003D102E"/>
    <w:rsid w:val="003D12E5"/>
    <w:rsid w:val="003D132D"/>
    <w:rsid w:val="003D1356"/>
    <w:rsid w:val="003D14DE"/>
    <w:rsid w:val="003D1697"/>
    <w:rsid w:val="003D18A6"/>
    <w:rsid w:val="003D194D"/>
    <w:rsid w:val="003D1ECB"/>
    <w:rsid w:val="003D20AC"/>
    <w:rsid w:val="003D29B9"/>
    <w:rsid w:val="003D2BDB"/>
    <w:rsid w:val="003D2C82"/>
    <w:rsid w:val="003D316B"/>
    <w:rsid w:val="003D3704"/>
    <w:rsid w:val="003D37C9"/>
    <w:rsid w:val="003D3AC3"/>
    <w:rsid w:val="003D3D2F"/>
    <w:rsid w:val="003D49F1"/>
    <w:rsid w:val="003D4BD0"/>
    <w:rsid w:val="003D4CD0"/>
    <w:rsid w:val="003D4DA8"/>
    <w:rsid w:val="003D4E7A"/>
    <w:rsid w:val="003D4FD8"/>
    <w:rsid w:val="003D50B9"/>
    <w:rsid w:val="003D56CE"/>
    <w:rsid w:val="003D578C"/>
    <w:rsid w:val="003D5C71"/>
    <w:rsid w:val="003D5D6C"/>
    <w:rsid w:val="003D5D81"/>
    <w:rsid w:val="003D5E22"/>
    <w:rsid w:val="003D6224"/>
    <w:rsid w:val="003D6426"/>
    <w:rsid w:val="003D650B"/>
    <w:rsid w:val="003D6699"/>
    <w:rsid w:val="003D66FB"/>
    <w:rsid w:val="003D6806"/>
    <w:rsid w:val="003D6881"/>
    <w:rsid w:val="003D695F"/>
    <w:rsid w:val="003D6994"/>
    <w:rsid w:val="003D6B3E"/>
    <w:rsid w:val="003D6B99"/>
    <w:rsid w:val="003D6DF7"/>
    <w:rsid w:val="003D6E26"/>
    <w:rsid w:val="003D728C"/>
    <w:rsid w:val="003D732F"/>
    <w:rsid w:val="003D7352"/>
    <w:rsid w:val="003D75B1"/>
    <w:rsid w:val="003D76BC"/>
    <w:rsid w:val="003D770C"/>
    <w:rsid w:val="003D79A8"/>
    <w:rsid w:val="003D7A16"/>
    <w:rsid w:val="003D7A4F"/>
    <w:rsid w:val="003D7DCE"/>
    <w:rsid w:val="003E0091"/>
    <w:rsid w:val="003E00C2"/>
    <w:rsid w:val="003E0328"/>
    <w:rsid w:val="003E0551"/>
    <w:rsid w:val="003E05D6"/>
    <w:rsid w:val="003E08C8"/>
    <w:rsid w:val="003E0F5B"/>
    <w:rsid w:val="003E0FD1"/>
    <w:rsid w:val="003E1298"/>
    <w:rsid w:val="003E134B"/>
    <w:rsid w:val="003E13E3"/>
    <w:rsid w:val="003E14F3"/>
    <w:rsid w:val="003E1563"/>
    <w:rsid w:val="003E15D7"/>
    <w:rsid w:val="003E17FD"/>
    <w:rsid w:val="003E18A0"/>
    <w:rsid w:val="003E1A1C"/>
    <w:rsid w:val="003E1C36"/>
    <w:rsid w:val="003E1D43"/>
    <w:rsid w:val="003E1FDE"/>
    <w:rsid w:val="003E2134"/>
    <w:rsid w:val="003E235E"/>
    <w:rsid w:val="003E2909"/>
    <w:rsid w:val="003E29D1"/>
    <w:rsid w:val="003E2A4A"/>
    <w:rsid w:val="003E2B6E"/>
    <w:rsid w:val="003E2E3F"/>
    <w:rsid w:val="003E2EB1"/>
    <w:rsid w:val="003E30B9"/>
    <w:rsid w:val="003E3324"/>
    <w:rsid w:val="003E34B8"/>
    <w:rsid w:val="003E370D"/>
    <w:rsid w:val="003E3827"/>
    <w:rsid w:val="003E398A"/>
    <w:rsid w:val="003E3AD3"/>
    <w:rsid w:val="003E3C78"/>
    <w:rsid w:val="003E3D77"/>
    <w:rsid w:val="003E3FA2"/>
    <w:rsid w:val="003E400E"/>
    <w:rsid w:val="003E40A4"/>
    <w:rsid w:val="003E4231"/>
    <w:rsid w:val="003E4547"/>
    <w:rsid w:val="003E4685"/>
    <w:rsid w:val="003E46BF"/>
    <w:rsid w:val="003E4A2D"/>
    <w:rsid w:val="003E4EA2"/>
    <w:rsid w:val="003E4FA2"/>
    <w:rsid w:val="003E50C6"/>
    <w:rsid w:val="003E51E7"/>
    <w:rsid w:val="003E537F"/>
    <w:rsid w:val="003E57E9"/>
    <w:rsid w:val="003E5B37"/>
    <w:rsid w:val="003E5DC7"/>
    <w:rsid w:val="003E6174"/>
    <w:rsid w:val="003E647A"/>
    <w:rsid w:val="003E6508"/>
    <w:rsid w:val="003E67A3"/>
    <w:rsid w:val="003E69BC"/>
    <w:rsid w:val="003E6AC6"/>
    <w:rsid w:val="003E6B6F"/>
    <w:rsid w:val="003E7262"/>
    <w:rsid w:val="003E7343"/>
    <w:rsid w:val="003E73BE"/>
    <w:rsid w:val="003E764E"/>
    <w:rsid w:val="003E781E"/>
    <w:rsid w:val="003E783E"/>
    <w:rsid w:val="003E7CE1"/>
    <w:rsid w:val="003E7ED8"/>
    <w:rsid w:val="003E7F28"/>
    <w:rsid w:val="003F0478"/>
    <w:rsid w:val="003F048F"/>
    <w:rsid w:val="003F0B2A"/>
    <w:rsid w:val="003F0BD7"/>
    <w:rsid w:val="003F0EE6"/>
    <w:rsid w:val="003F0F57"/>
    <w:rsid w:val="003F0F70"/>
    <w:rsid w:val="003F10AF"/>
    <w:rsid w:val="003F10ED"/>
    <w:rsid w:val="003F11ED"/>
    <w:rsid w:val="003F1268"/>
    <w:rsid w:val="003F14CA"/>
    <w:rsid w:val="003F1507"/>
    <w:rsid w:val="003F156C"/>
    <w:rsid w:val="003F166F"/>
    <w:rsid w:val="003F17B1"/>
    <w:rsid w:val="003F1B02"/>
    <w:rsid w:val="003F1D07"/>
    <w:rsid w:val="003F2019"/>
    <w:rsid w:val="003F2133"/>
    <w:rsid w:val="003F243E"/>
    <w:rsid w:val="003F2647"/>
    <w:rsid w:val="003F26BD"/>
    <w:rsid w:val="003F2AC8"/>
    <w:rsid w:val="003F2CC9"/>
    <w:rsid w:val="003F2CF0"/>
    <w:rsid w:val="003F2DD3"/>
    <w:rsid w:val="003F31E6"/>
    <w:rsid w:val="003F322A"/>
    <w:rsid w:val="003F351B"/>
    <w:rsid w:val="003F3650"/>
    <w:rsid w:val="003F366C"/>
    <w:rsid w:val="003F37E3"/>
    <w:rsid w:val="003F39D7"/>
    <w:rsid w:val="003F3B10"/>
    <w:rsid w:val="003F3FB4"/>
    <w:rsid w:val="003F400B"/>
    <w:rsid w:val="003F448F"/>
    <w:rsid w:val="003F45B3"/>
    <w:rsid w:val="003F465B"/>
    <w:rsid w:val="003F4831"/>
    <w:rsid w:val="003F4952"/>
    <w:rsid w:val="003F49FE"/>
    <w:rsid w:val="003F4B43"/>
    <w:rsid w:val="003F4B4E"/>
    <w:rsid w:val="003F4C10"/>
    <w:rsid w:val="003F4C8E"/>
    <w:rsid w:val="003F4CC1"/>
    <w:rsid w:val="003F514E"/>
    <w:rsid w:val="003F522B"/>
    <w:rsid w:val="003F54B0"/>
    <w:rsid w:val="003F562D"/>
    <w:rsid w:val="003F5665"/>
    <w:rsid w:val="003F56CC"/>
    <w:rsid w:val="003F579F"/>
    <w:rsid w:val="003F5BDA"/>
    <w:rsid w:val="003F5D48"/>
    <w:rsid w:val="003F5DB4"/>
    <w:rsid w:val="003F60AD"/>
    <w:rsid w:val="003F619C"/>
    <w:rsid w:val="003F6225"/>
    <w:rsid w:val="003F63EE"/>
    <w:rsid w:val="003F690C"/>
    <w:rsid w:val="003F69C3"/>
    <w:rsid w:val="003F6A6E"/>
    <w:rsid w:val="003F6B59"/>
    <w:rsid w:val="003F6CB4"/>
    <w:rsid w:val="003F6FC0"/>
    <w:rsid w:val="003F6FE4"/>
    <w:rsid w:val="003F704F"/>
    <w:rsid w:val="003F705D"/>
    <w:rsid w:val="003F72FB"/>
    <w:rsid w:val="003F737D"/>
    <w:rsid w:val="003F773E"/>
    <w:rsid w:val="003F77F2"/>
    <w:rsid w:val="003F783F"/>
    <w:rsid w:val="003F796F"/>
    <w:rsid w:val="003F7C4F"/>
    <w:rsid w:val="00400093"/>
    <w:rsid w:val="00400473"/>
    <w:rsid w:val="00400586"/>
    <w:rsid w:val="0040065B"/>
    <w:rsid w:val="004006D8"/>
    <w:rsid w:val="004008B3"/>
    <w:rsid w:val="00400959"/>
    <w:rsid w:val="00400A27"/>
    <w:rsid w:val="00400AE5"/>
    <w:rsid w:val="00400DD1"/>
    <w:rsid w:val="00400ED8"/>
    <w:rsid w:val="00400F3B"/>
    <w:rsid w:val="0040120A"/>
    <w:rsid w:val="0040129A"/>
    <w:rsid w:val="004012B3"/>
    <w:rsid w:val="004013A8"/>
    <w:rsid w:val="00401510"/>
    <w:rsid w:val="00401617"/>
    <w:rsid w:val="00401697"/>
    <w:rsid w:val="00402076"/>
    <w:rsid w:val="004020A2"/>
    <w:rsid w:val="004021DA"/>
    <w:rsid w:val="0040238D"/>
    <w:rsid w:val="004025AC"/>
    <w:rsid w:val="00402807"/>
    <w:rsid w:val="00403958"/>
    <w:rsid w:val="00403A6C"/>
    <w:rsid w:val="00403BDF"/>
    <w:rsid w:val="00404252"/>
    <w:rsid w:val="004043D6"/>
    <w:rsid w:val="00404408"/>
    <w:rsid w:val="0040472F"/>
    <w:rsid w:val="00404950"/>
    <w:rsid w:val="004049FC"/>
    <w:rsid w:val="00404C0A"/>
    <w:rsid w:val="00404CE1"/>
    <w:rsid w:val="00404D84"/>
    <w:rsid w:val="00404E21"/>
    <w:rsid w:val="00404E2B"/>
    <w:rsid w:val="004050AB"/>
    <w:rsid w:val="004051B0"/>
    <w:rsid w:val="004051B7"/>
    <w:rsid w:val="00405319"/>
    <w:rsid w:val="004053AF"/>
    <w:rsid w:val="004056B8"/>
    <w:rsid w:val="00405943"/>
    <w:rsid w:val="00405A1C"/>
    <w:rsid w:val="00405CC1"/>
    <w:rsid w:val="00405E11"/>
    <w:rsid w:val="0040615D"/>
    <w:rsid w:val="004061DC"/>
    <w:rsid w:val="00406471"/>
    <w:rsid w:val="004065F5"/>
    <w:rsid w:val="0040681C"/>
    <w:rsid w:val="00406A1E"/>
    <w:rsid w:val="00406DD7"/>
    <w:rsid w:val="00406FFF"/>
    <w:rsid w:val="004070F2"/>
    <w:rsid w:val="0040729D"/>
    <w:rsid w:val="004074AC"/>
    <w:rsid w:val="00407607"/>
    <w:rsid w:val="004078E8"/>
    <w:rsid w:val="004079ED"/>
    <w:rsid w:val="00407F4E"/>
    <w:rsid w:val="00410236"/>
    <w:rsid w:val="004106A7"/>
    <w:rsid w:val="0041082E"/>
    <w:rsid w:val="00410A29"/>
    <w:rsid w:val="00410AB3"/>
    <w:rsid w:val="00410B97"/>
    <w:rsid w:val="00410DA0"/>
    <w:rsid w:val="00410F40"/>
    <w:rsid w:val="00411035"/>
    <w:rsid w:val="004112FB"/>
    <w:rsid w:val="00411375"/>
    <w:rsid w:val="00411464"/>
    <w:rsid w:val="00411578"/>
    <w:rsid w:val="00411617"/>
    <w:rsid w:val="00411744"/>
    <w:rsid w:val="00411850"/>
    <w:rsid w:val="00411B86"/>
    <w:rsid w:val="00411E12"/>
    <w:rsid w:val="00411EFD"/>
    <w:rsid w:val="004120FC"/>
    <w:rsid w:val="004123CC"/>
    <w:rsid w:val="004129F2"/>
    <w:rsid w:val="00412CD8"/>
    <w:rsid w:val="0041320F"/>
    <w:rsid w:val="0041345A"/>
    <w:rsid w:val="0041349F"/>
    <w:rsid w:val="004134A2"/>
    <w:rsid w:val="00413932"/>
    <w:rsid w:val="00413A66"/>
    <w:rsid w:val="00413C5F"/>
    <w:rsid w:val="00413D30"/>
    <w:rsid w:val="00413E44"/>
    <w:rsid w:val="00413EE0"/>
    <w:rsid w:val="00413FAE"/>
    <w:rsid w:val="0041400A"/>
    <w:rsid w:val="00414539"/>
    <w:rsid w:val="00414780"/>
    <w:rsid w:val="00414889"/>
    <w:rsid w:val="00414939"/>
    <w:rsid w:val="00414CD0"/>
    <w:rsid w:val="00415365"/>
    <w:rsid w:val="00415477"/>
    <w:rsid w:val="004154E0"/>
    <w:rsid w:val="00415572"/>
    <w:rsid w:val="00415704"/>
    <w:rsid w:val="004157AB"/>
    <w:rsid w:val="00415824"/>
    <w:rsid w:val="00415979"/>
    <w:rsid w:val="00415B1A"/>
    <w:rsid w:val="00415DCB"/>
    <w:rsid w:val="004160F9"/>
    <w:rsid w:val="004161AE"/>
    <w:rsid w:val="00416392"/>
    <w:rsid w:val="00416619"/>
    <w:rsid w:val="0041689F"/>
    <w:rsid w:val="00416A1B"/>
    <w:rsid w:val="00416B1D"/>
    <w:rsid w:val="00416B5F"/>
    <w:rsid w:val="00416B98"/>
    <w:rsid w:val="00416BA5"/>
    <w:rsid w:val="00416D51"/>
    <w:rsid w:val="00416D75"/>
    <w:rsid w:val="00416E50"/>
    <w:rsid w:val="00416E5A"/>
    <w:rsid w:val="00416EE6"/>
    <w:rsid w:val="0041784E"/>
    <w:rsid w:val="00417C4C"/>
    <w:rsid w:val="00417E7B"/>
    <w:rsid w:val="00417F17"/>
    <w:rsid w:val="00417FDB"/>
    <w:rsid w:val="004201D7"/>
    <w:rsid w:val="004203EC"/>
    <w:rsid w:val="00420463"/>
    <w:rsid w:val="0042048C"/>
    <w:rsid w:val="00420700"/>
    <w:rsid w:val="0042070A"/>
    <w:rsid w:val="0042084A"/>
    <w:rsid w:val="00420AFE"/>
    <w:rsid w:val="00420BFF"/>
    <w:rsid w:val="00420CFE"/>
    <w:rsid w:val="00420EF9"/>
    <w:rsid w:val="00421085"/>
    <w:rsid w:val="0042126C"/>
    <w:rsid w:val="00421406"/>
    <w:rsid w:val="00421714"/>
    <w:rsid w:val="004219A5"/>
    <w:rsid w:val="00421C2D"/>
    <w:rsid w:val="00421DCE"/>
    <w:rsid w:val="00421E98"/>
    <w:rsid w:val="0042210A"/>
    <w:rsid w:val="004221FC"/>
    <w:rsid w:val="00422293"/>
    <w:rsid w:val="004222F6"/>
    <w:rsid w:val="0042233C"/>
    <w:rsid w:val="0042233E"/>
    <w:rsid w:val="00422655"/>
    <w:rsid w:val="004226B2"/>
    <w:rsid w:val="004228C0"/>
    <w:rsid w:val="00422A31"/>
    <w:rsid w:val="00422C1E"/>
    <w:rsid w:val="00422FFA"/>
    <w:rsid w:val="00423077"/>
    <w:rsid w:val="0042317F"/>
    <w:rsid w:val="004231E3"/>
    <w:rsid w:val="00423307"/>
    <w:rsid w:val="004233E2"/>
    <w:rsid w:val="004235E3"/>
    <w:rsid w:val="00423D3C"/>
    <w:rsid w:val="00423ECA"/>
    <w:rsid w:val="00423F14"/>
    <w:rsid w:val="004240C0"/>
    <w:rsid w:val="00424337"/>
    <w:rsid w:val="0042441B"/>
    <w:rsid w:val="0042467E"/>
    <w:rsid w:val="00424802"/>
    <w:rsid w:val="0042488F"/>
    <w:rsid w:val="0042498D"/>
    <w:rsid w:val="00424E37"/>
    <w:rsid w:val="00424ED2"/>
    <w:rsid w:val="00425054"/>
    <w:rsid w:val="004252C3"/>
    <w:rsid w:val="00425A9C"/>
    <w:rsid w:val="00426072"/>
    <w:rsid w:val="0042618A"/>
    <w:rsid w:val="004261B2"/>
    <w:rsid w:val="004264A8"/>
    <w:rsid w:val="0042668F"/>
    <w:rsid w:val="0042697F"/>
    <w:rsid w:val="00426B04"/>
    <w:rsid w:val="00426BCF"/>
    <w:rsid w:val="00426BDB"/>
    <w:rsid w:val="00426BEE"/>
    <w:rsid w:val="00426C43"/>
    <w:rsid w:val="00426CCF"/>
    <w:rsid w:val="00426FA6"/>
    <w:rsid w:val="00427421"/>
    <w:rsid w:val="00427532"/>
    <w:rsid w:val="00427595"/>
    <w:rsid w:val="004275A4"/>
    <w:rsid w:val="00427BD0"/>
    <w:rsid w:val="00430130"/>
    <w:rsid w:val="004306D8"/>
    <w:rsid w:val="00430923"/>
    <w:rsid w:val="00430AA3"/>
    <w:rsid w:val="00430B0D"/>
    <w:rsid w:val="00430D95"/>
    <w:rsid w:val="00430E58"/>
    <w:rsid w:val="00430F20"/>
    <w:rsid w:val="00431191"/>
    <w:rsid w:val="00431382"/>
    <w:rsid w:val="0043148D"/>
    <w:rsid w:val="00431507"/>
    <w:rsid w:val="00431981"/>
    <w:rsid w:val="00431A06"/>
    <w:rsid w:val="00431D48"/>
    <w:rsid w:val="004328B0"/>
    <w:rsid w:val="00432ECF"/>
    <w:rsid w:val="00432F41"/>
    <w:rsid w:val="004330A1"/>
    <w:rsid w:val="00433182"/>
    <w:rsid w:val="004331EE"/>
    <w:rsid w:val="0043330F"/>
    <w:rsid w:val="0043332F"/>
    <w:rsid w:val="004334D1"/>
    <w:rsid w:val="00433879"/>
    <w:rsid w:val="004339E6"/>
    <w:rsid w:val="00433A3D"/>
    <w:rsid w:val="00433B23"/>
    <w:rsid w:val="00433BA2"/>
    <w:rsid w:val="00434374"/>
    <w:rsid w:val="004345D9"/>
    <w:rsid w:val="004349AA"/>
    <w:rsid w:val="00434B05"/>
    <w:rsid w:val="00434B2D"/>
    <w:rsid w:val="00434ED5"/>
    <w:rsid w:val="00434FA9"/>
    <w:rsid w:val="00435069"/>
    <w:rsid w:val="004352C9"/>
    <w:rsid w:val="0043564A"/>
    <w:rsid w:val="004356C1"/>
    <w:rsid w:val="004358D2"/>
    <w:rsid w:val="004359A2"/>
    <w:rsid w:val="00435B81"/>
    <w:rsid w:val="00435E19"/>
    <w:rsid w:val="00435F8E"/>
    <w:rsid w:val="00435F93"/>
    <w:rsid w:val="0043616F"/>
    <w:rsid w:val="00436291"/>
    <w:rsid w:val="00436465"/>
    <w:rsid w:val="0043682F"/>
    <w:rsid w:val="00436884"/>
    <w:rsid w:val="004369D8"/>
    <w:rsid w:val="00436AEB"/>
    <w:rsid w:val="00436DC0"/>
    <w:rsid w:val="00437654"/>
    <w:rsid w:val="004376C3"/>
    <w:rsid w:val="0043782E"/>
    <w:rsid w:val="004378FA"/>
    <w:rsid w:val="00437EB6"/>
    <w:rsid w:val="004400B4"/>
    <w:rsid w:val="0044019F"/>
    <w:rsid w:val="004403B9"/>
    <w:rsid w:val="00440585"/>
    <w:rsid w:val="004407D8"/>
    <w:rsid w:val="00440871"/>
    <w:rsid w:val="004408EE"/>
    <w:rsid w:val="00440B1B"/>
    <w:rsid w:val="00440B43"/>
    <w:rsid w:val="00440C92"/>
    <w:rsid w:val="00440E52"/>
    <w:rsid w:val="004412BB"/>
    <w:rsid w:val="004414FD"/>
    <w:rsid w:val="00441732"/>
    <w:rsid w:val="00441811"/>
    <w:rsid w:val="00441895"/>
    <w:rsid w:val="004419C6"/>
    <w:rsid w:val="00441B84"/>
    <w:rsid w:val="00441EA6"/>
    <w:rsid w:val="00441F10"/>
    <w:rsid w:val="00441FFE"/>
    <w:rsid w:val="0044207C"/>
    <w:rsid w:val="004424D0"/>
    <w:rsid w:val="00442739"/>
    <w:rsid w:val="00442830"/>
    <w:rsid w:val="00442B57"/>
    <w:rsid w:val="00442B89"/>
    <w:rsid w:val="00442DF9"/>
    <w:rsid w:val="00443060"/>
    <w:rsid w:val="0044322B"/>
    <w:rsid w:val="004437C1"/>
    <w:rsid w:val="00443A3D"/>
    <w:rsid w:val="00443A50"/>
    <w:rsid w:val="004440BA"/>
    <w:rsid w:val="00444538"/>
    <w:rsid w:val="004445E2"/>
    <w:rsid w:val="00444643"/>
    <w:rsid w:val="00444931"/>
    <w:rsid w:val="00444D88"/>
    <w:rsid w:val="00444E4E"/>
    <w:rsid w:val="0044527F"/>
    <w:rsid w:val="00445379"/>
    <w:rsid w:val="0044550C"/>
    <w:rsid w:val="00445702"/>
    <w:rsid w:val="0044575B"/>
    <w:rsid w:val="00445867"/>
    <w:rsid w:val="004458B8"/>
    <w:rsid w:val="00445AE9"/>
    <w:rsid w:val="00445D39"/>
    <w:rsid w:val="00445DE0"/>
    <w:rsid w:val="00445DE8"/>
    <w:rsid w:val="00445DFE"/>
    <w:rsid w:val="00445ED4"/>
    <w:rsid w:val="00446666"/>
    <w:rsid w:val="00446796"/>
    <w:rsid w:val="00446828"/>
    <w:rsid w:val="00446A74"/>
    <w:rsid w:val="00446DEB"/>
    <w:rsid w:val="00446E3C"/>
    <w:rsid w:val="004471D2"/>
    <w:rsid w:val="0044723A"/>
    <w:rsid w:val="004473F3"/>
    <w:rsid w:val="004476FE"/>
    <w:rsid w:val="0044780F"/>
    <w:rsid w:val="00447B51"/>
    <w:rsid w:val="00447E14"/>
    <w:rsid w:val="0045076F"/>
    <w:rsid w:val="00450A37"/>
    <w:rsid w:val="00450A62"/>
    <w:rsid w:val="00450B16"/>
    <w:rsid w:val="00450BAD"/>
    <w:rsid w:val="004519FF"/>
    <w:rsid w:val="00451D31"/>
    <w:rsid w:val="00451D77"/>
    <w:rsid w:val="00451E1A"/>
    <w:rsid w:val="00451E55"/>
    <w:rsid w:val="00451F8E"/>
    <w:rsid w:val="004522D9"/>
    <w:rsid w:val="00452463"/>
    <w:rsid w:val="00452586"/>
    <w:rsid w:val="00452DA4"/>
    <w:rsid w:val="00452DB5"/>
    <w:rsid w:val="0045320C"/>
    <w:rsid w:val="004532B9"/>
    <w:rsid w:val="00453666"/>
    <w:rsid w:val="00453690"/>
    <w:rsid w:val="00453800"/>
    <w:rsid w:val="00453804"/>
    <w:rsid w:val="00453A18"/>
    <w:rsid w:val="00453BC8"/>
    <w:rsid w:val="00453D1E"/>
    <w:rsid w:val="00453D28"/>
    <w:rsid w:val="00453F32"/>
    <w:rsid w:val="0045410A"/>
    <w:rsid w:val="00454207"/>
    <w:rsid w:val="0045424C"/>
    <w:rsid w:val="00454378"/>
    <w:rsid w:val="0045458C"/>
    <w:rsid w:val="00454775"/>
    <w:rsid w:val="004547D6"/>
    <w:rsid w:val="004547E4"/>
    <w:rsid w:val="00454C81"/>
    <w:rsid w:val="00454E13"/>
    <w:rsid w:val="00454F1C"/>
    <w:rsid w:val="00454F2E"/>
    <w:rsid w:val="00454F44"/>
    <w:rsid w:val="004550E1"/>
    <w:rsid w:val="00455282"/>
    <w:rsid w:val="00455369"/>
    <w:rsid w:val="00455673"/>
    <w:rsid w:val="004557E7"/>
    <w:rsid w:val="004559F4"/>
    <w:rsid w:val="00455B62"/>
    <w:rsid w:val="00455C4F"/>
    <w:rsid w:val="00455D06"/>
    <w:rsid w:val="00455FFD"/>
    <w:rsid w:val="00456259"/>
    <w:rsid w:val="00456321"/>
    <w:rsid w:val="0045675A"/>
    <w:rsid w:val="00456983"/>
    <w:rsid w:val="004569CE"/>
    <w:rsid w:val="00456B6A"/>
    <w:rsid w:val="00456C18"/>
    <w:rsid w:val="00456D4F"/>
    <w:rsid w:val="0045712B"/>
    <w:rsid w:val="00457421"/>
    <w:rsid w:val="004578EA"/>
    <w:rsid w:val="00457A44"/>
    <w:rsid w:val="00457A55"/>
    <w:rsid w:val="00457BF6"/>
    <w:rsid w:val="00457C13"/>
    <w:rsid w:val="00457D37"/>
    <w:rsid w:val="0046006C"/>
    <w:rsid w:val="004602C1"/>
    <w:rsid w:val="00460306"/>
    <w:rsid w:val="004605E6"/>
    <w:rsid w:val="004606B5"/>
    <w:rsid w:val="00460B7F"/>
    <w:rsid w:val="00460D26"/>
    <w:rsid w:val="00460D2D"/>
    <w:rsid w:val="00460DF7"/>
    <w:rsid w:val="00460F70"/>
    <w:rsid w:val="004610F0"/>
    <w:rsid w:val="00461151"/>
    <w:rsid w:val="00461445"/>
    <w:rsid w:val="00461822"/>
    <w:rsid w:val="00461884"/>
    <w:rsid w:val="00461898"/>
    <w:rsid w:val="004618CA"/>
    <w:rsid w:val="0046195A"/>
    <w:rsid w:val="00462004"/>
    <w:rsid w:val="00462076"/>
    <w:rsid w:val="00462297"/>
    <w:rsid w:val="00463025"/>
    <w:rsid w:val="00463240"/>
    <w:rsid w:val="00463517"/>
    <w:rsid w:val="00463650"/>
    <w:rsid w:val="0046381B"/>
    <w:rsid w:val="00463CA6"/>
    <w:rsid w:val="00463E05"/>
    <w:rsid w:val="00464024"/>
    <w:rsid w:val="00464200"/>
    <w:rsid w:val="0046424E"/>
    <w:rsid w:val="00464293"/>
    <w:rsid w:val="00464653"/>
    <w:rsid w:val="0046470E"/>
    <w:rsid w:val="00464859"/>
    <w:rsid w:val="004649D8"/>
    <w:rsid w:val="00464A77"/>
    <w:rsid w:val="00464CC0"/>
    <w:rsid w:val="00464D04"/>
    <w:rsid w:val="00464D99"/>
    <w:rsid w:val="0046509D"/>
    <w:rsid w:val="00465671"/>
    <w:rsid w:val="00465B59"/>
    <w:rsid w:val="00465B93"/>
    <w:rsid w:val="00465D83"/>
    <w:rsid w:val="00465E00"/>
    <w:rsid w:val="00465ED6"/>
    <w:rsid w:val="00465FF5"/>
    <w:rsid w:val="00466985"/>
    <w:rsid w:val="00466B49"/>
    <w:rsid w:val="00466D53"/>
    <w:rsid w:val="00466FDF"/>
    <w:rsid w:val="004671D2"/>
    <w:rsid w:val="0046722F"/>
    <w:rsid w:val="004674B9"/>
    <w:rsid w:val="0047093A"/>
    <w:rsid w:val="00470966"/>
    <w:rsid w:val="004709DD"/>
    <w:rsid w:val="00470C21"/>
    <w:rsid w:val="00470DE8"/>
    <w:rsid w:val="00470EFA"/>
    <w:rsid w:val="00471092"/>
    <w:rsid w:val="0047133D"/>
    <w:rsid w:val="004716EB"/>
    <w:rsid w:val="004717B5"/>
    <w:rsid w:val="004717BF"/>
    <w:rsid w:val="00471862"/>
    <w:rsid w:val="004718B2"/>
    <w:rsid w:val="0047196E"/>
    <w:rsid w:val="00471B8C"/>
    <w:rsid w:val="004723DF"/>
    <w:rsid w:val="004727D9"/>
    <w:rsid w:val="00472ABB"/>
    <w:rsid w:val="00472CB9"/>
    <w:rsid w:val="00472F4C"/>
    <w:rsid w:val="00472F8F"/>
    <w:rsid w:val="00472FB6"/>
    <w:rsid w:val="004731D0"/>
    <w:rsid w:val="004732D0"/>
    <w:rsid w:val="00473331"/>
    <w:rsid w:val="0047357B"/>
    <w:rsid w:val="0047357F"/>
    <w:rsid w:val="004737B1"/>
    <w:rsid w:val="0047396A"/>
    <w:rsid w:val="00473A59"/>
    <w:rsid w:val="00474015"/>
    <w:rsid w:val="004740A6"/>
    <w:rsid w:val="004740AE"/>
    <w:rsid w:val="0047437B"/>
    <w:rsid w:val="00474507"/>
    <w:rsid w:val="00474E09"/>
    <w:rsid w:val="00474E9B"/>
    <w:rsid w:val="00474EB8"/>
    <w:rsid w:val="00474F17"/>
    <w:rsid w:val="00475D24"/>
    <w:rsid w:val="00475FE3"/>
    <w:rsid w:val="00476067"/>
    <w:rsid w:val="004761D5"/>
    <w:rsid w:val="00476372"/>
    <w:rsid w:val="00476662"/>
    <w:rsid w:val="00476C7D"/>
    <w:rsid w:val="00476D64"/>
    <w:rsid w:val="00476DF9"/>
    <w:rsid w:val="00476FC3"/>
    <w:rsid w:val="00477099"/>
    <w:rsid w:val="00477311"/>
    <w:rsid w:val="004775CF"/>
    <w:rsid w:val="00477AE6"/>
    <w:rsid w:val="00477AED"/>
    <w:rsid w:val="00477AFA"/>
    <w:rsid w:val="00477F3F"/>
    <w:rsid w:val="00477F84"/>
    <w:rsid w:val="00480142"/>
    <w:rsid w:val="00480156"/>
    <w:rsid w:val="004801FD"/>
    <w:rsid w:val="004806A1"/>
    <w:rsid w:val="004806AB"/>
    <w:rsid w:val="00480790"/>
    <w:rsid w:val="0048089C"/>
    <w:rsid w:val="004808E4"/>
    <w:rsid w:val="00480A68"/>
    <w:rsid w:val="00480B6E"/>
    <w:rsid w:val="00480BF1"/>
    <w:rsid w:val="00480C8D"/>
    <w:rsid w:val="00480DC3"/>
    <w:rsid w:val="00480E36"/>
    <w:rsid w:val="00480E3D"/>
    <w:rsid w:val="004812EF"/>
    <w:rsid w:val="00481321"/>
    <w:rsid w:val="004815CB"/>
    <w:rsid w:val="004818A0"/>
    <w:rsid w:val="00481B2C"/>
    <w:rsid w:val="00481E10"/>
    <w:rsid w:val="00482506"/>
    <w:rsid w:val="00482754"/>
    <w:rsid w:val="004827C8"/>
    <w:rsid w:val="00482958"/>
    <w:rsid w:val="00482A38"/>
    <w:rsid w:val="00482CB6"/>
    <w:rsid w:val="0048318A"/>
    <w:rsid w:val="004831CA"/>
    <w:rsid w:val="0048340B"/>
    <w:rsid w:val="004838A7"/>
    <w:rsid w:val="00483A09"/>
    <w:rsid w:val="00483B95"/>
    <w:rsid w:val="00483C00"/>
    <w:rsid w:val="00483F4A"/>
    <w:rsid w:val="00483F54"/>
    <w:rsid w:val="004841A2"/>
    <w:rsid w:val="0048457B"/>
    <w:rsid w:val="004845BB"/>
    <w:rsid w:val="004845CC"/>
    <w:rsid w:val="0048460C"/>
    <w:rsid w:val="0048474D"/>
    <w:rsid w:val="00484B74"/>
    <w:rsid w:val="00484C50"/>
    <w:rsid w:val="00484EF2"/>
    <w:rsid w:val="0048524E"/>
    <w:rsid w:val="004853CC"/>
    <w:rsid w:val="00485481"/>
    <w:rsid w:val="00485617"/>
    <w:rsid w:val="0048567D"/>
    <w:rsid w:val="004856BA"/>
    <w:rsid w:val="00485D17"/>
    <w:rsid w:val="00485ED2"/>
    <w:rsid w:val="00485EDA"/>
    <w:rsid w:val="00485FF9"/>
    <w:rsid w:val="00485FFF"/>
    <w:rsid w:val="00486231"/>
    <w:rsid w:val="0048627A"/>
    <w:rsid w:val="004863E2"/>
    <w:rsid w:val="00486A25"/>
    <w:rsid w:val="00486A48"/>
    <w:rsid w:val="00486AE3"/>
    <w:rsid w:val="00486CB0"/>
    <w:rsid w:val="00486D6E"/>
    <w:rsid w:val="004870D5"/>
    <w:rsid w:val="00487612"/>
    <w:rsid w:val="00487930"/>
    <w:rsid w:val="004879E8"/>
    <w:rsid w:val="00487CF1"/>
    <w:rsid w:val="004902BA"/>
    <w:rsid w:val="00490347"/>
    <w:rsid w:val="00490540"/>
    <w:rsid w:val="00490660"/>
    <w:rsid w:val="004909DD"/>
    <w:rsid w:val="00490AB2"/>
    <w:rsid w:val="00490EF0"/>
    <w:rsid w:val="004912F1"/>
    <w:rsid w:val="0049144D"/>
    <w:rsid w:val="004916A6"/>
    <w:rsid w:val="0049173A"/>
    <w:rsid w:val="00491C81"/>
    <w:rsid w:val="00491EE7"/>
    <w:rsid w:val="00491FE2"/>
    <w:rsid w:val="004924F4"/>
    <w:rsid w:val="0049276C"/>
    <w:rsid w:val="0049284E"/>
    <w:rsid w:val="00492ABE"/>
    <w:rsid w:val="00492B23"/>
    <w:rsid w:val="00493188"/>
    <w:rsid w:val="0049348C"/>
    <w:rsid w:val="0049349C"/>
    <w:rsid w:val="004936C7"/>
    <w:rsid w:val="004937AA"/>
    <w:rsid w:val="00493A1A"/>
    <w:rsid w:val="00493B4A"/>
    <w:rsid w:val="00493B59"/>
    <w:rsid w:val="00493B93"/>
    <w:rsid w:val="00494239"/>
    <w:rsid w:val="00494352"/>
    <w:rsid w:val="004944EC"/>
    <w:rsid w:val="004944FF"/>
    <w:rsid w:val="0049494F"/>
    <w:rsid w:val="00494A88"/>
    <w:rsid w:val="00494BDA"/>
    <w:rsid w:val="00494FBE"/>
    <w:rsid w:val="00495065"/>
    <w:rsid w:val="004953BF"/>
    <w:rsid w:val="004955EF"/>
    <w:rsid w:val="0049574F"/>
    <w:rsid w:val="00495762"/>
    <w:rsid w:val="0049578B"/>
    <w:rsid w:val="00495914"/>
    <w:rsid w:val="0049594B"/>
    <w:rsid w:val="0049620E"/>
    <w:rsid w:val="004967A5"/>
    <w:rsid w:val="00496AC1"/>
    <w:rsid w:val="00496B06"/>
    <w:rsid w:val="00496BF4"/>
    <w:rsid w:val="00496E24"/>
    <w:rsid w:val="00497122"/>
    <w:rsid w:val="0049725A"/>
    <w:rsid w:val="00497568"/>
    <w:rsid w:val="0049787E"/>
    <w:rsid w:val="00497A8B"/>
    <w:rsid w:val="00497D7A"/>
    <w:rsid w:val="00497E77"/>
    <w:rsid w:val="004A00A8"/>
    <w:rsid w:val="004A020C"/>
    <w:rsid w:val="004A03D0"/>
    <w:rsid w:val="004A03F2"/>
    <w:rsid w:val="004A05E5"/>
    <w:rsid w:val="004A0628"/>
    <w:rsid w:val="004A0CD7"/>
    <w:rsid w:val="004A0DFE"/>
    <w:rsid w:val="004A0FF4"/>
    <w:rsid w:val="004A1008"/>
    <w:rsid w:val="004A100D"/>
    <w:rsid w:val="004A1211"/>
    <w:rsid w:val="004A1572"/>
    <w:rsid w:val="004A15DD"/>
    <w:rsid w:val="004A1B8F"/>
    <w:rsid w:val="004A1E5C"/>
    <w:rsid w:val="004A22BA"/>
    <w:rsid w:val="004A2329"/>
    <w:rsid w:val="004A25D1"/>
    <w:rsid w:val="004A2654"/>
    <w:rsid w:val="004A2660"/>
    <w:rsid w:val="004A2716"/>
    <w:rsid w:val="004A2871"/>
    <w:rsid w:val="004A2B04"/>
    <w:rsid w:val="004A2B6A"/>
    <w:rsid w:val="004A2C3B"/>
    <w:rsid w:val="004A2EB1"/>
    <w:rsid w:val="004A2F62"/>
    <w:rsid w:val="004A30ED"/>
    <w:rsid w:val="004A314C"/>
    <w:rsid w:val="004A31F3"/>
    <w:rsid w:val="004A3703"/>
    <w:rsid w:val="004A3897"/>
    <w:rsid w:val="004A3E00"/>
    <w:rsid w:val="004A427A"/>
    <w:rsid w:val="004A4303"/>
    <w:rsid w:val="004A43D5"/>
    <w:rsid w:val="004A469D"/>
    <w:rsid w:val="004A48A3"/>
    <w:rsid w:val="004A51E5"/>
    <w:rsid w:val="004A55D7"/>
    <w:rsid w:val="004A5AE2"/>
    <w:rsid w:val="004A5DF8"/>
    <w:rsid w:val="004A5E11"/>
    <w:rsid w:val="004A5E76"/>
    <w:rsid w:val="004A6C83"/>
    <w:rsid w:val="004A6CFC"/>
    <w:rsid w:val="004A6EED"/>
    <w:rsid w:val="004A7608"/>
    <w:rsid w:val="004A783C"/>
    <w:rsid w:val="004A79AA"/>
    <w:rsid w:val="004A7BED"/>
    <w:rsid w:val="004A7D10"/>
    <w:rsid w:val="004A7E4A"/>
    <w:rsid w:val="004A7FF3"/>
    <w:rsid w:val="004B0035"/>
    <w:rsid w:val="004B003F"/>
    <w:rsid w:val="004B0183"/>
    <w:rsid w:val="004B0300"/>
    <w:rsid w:val="004B0318"/>
    <w:rsid w:val="004B0509"/>
    <w:rsid w:val="004B074C"/>
    <w:rsid w:val="004B08EB"/>
    <w:rsid w:val="004B0953"/>
    <w:rsid w:val="004B09D4"/>
    <w:rsid w:val="004B0EE7"/>
    <w:rsid w:val="004B1016"/>
    <w:rsid w:val="004B125A"/>
    <w:rsid w:val="004B131C"/>
    <w:rsid w:val="004B1401"/>
    <w:rsid w:val="004B163A"/>
    <w:rsid w:val="004B1B5D"/>
    <w:rsid w:val="004B1B74"/>
    <w:rsid w:val="004B1C42"/>
    <w:rsid w:val="004B1D4F"/>
    <w:rsid w:val="004B1E7F"/>
    <w:rsid w:val="004B1EA7"/>
    <w:rsid w:val="004B23DB"/>
    <w:rsid w:val="004B2653"/>
    <w:rsid w:val="004B28F6"/>
    <w:rsid w:val="004B2918"/>
    <w:rsid w:val="004B292E"/>
    <w:rsid w:val="004B2986"/>
    <w:rsid w:val="004B2DC2"/>
    <w:rsid w:val="004B2E3D"/>
    <w:rsid w:val="004B2FDA"/>
    <w:rsid w:val="004B351E"/>
    <w:rsid w:val="004B3767"/>
    <w:rsid w:val="004B3A7B"/>
    <w:rsid w:val="004B3ABD"/>
    <w:rsid w:val="004B3B17"/>
    <w:rsid w:val="004B40A2"/>
    <w:rsid w:val="004B40D6"/>
    <w:rsid w:val="004B4633"/>
    <w:rsid w:val="004B477D"/>
    <w:rsid w:val="004B47EB"/>
    <w:rsid w:val="004B4A89"/>
    <w:rsid w:val="004B4BBC"/>
    <w:rsid w:val="004B4E7D"/>
    <w:rsid w:val="004B4EB1"/>
    <w:rsid w:val="004B4FE2"/>
    <w:rsid w:val="004B5094"/>
    <w:rsid w:val="004B5360"/>
    <w:rsid w:val="004B5389"/>
    <w:rsid w:val="004B53EF"/>
    <w:rsid w:val="004B55D4"/>
    <w:rsid w:val="004B56CB"/>
    <w:rsid w:val="004B58BD"/>
    <w:rsid w:val="004B5B7A"/>
    <w:rsid w:val="004B5D6E"/>
    <w:rsid w:val="004B5DA7"/>
    <w:rsid w:val="004B5F0D"/>
    <w:rsid w:val="004B5F0F"/>
    <w:rsid w:val="004B5F14"/>
    <w:rsid w:val="004B60E1"/>
    <w:rsid w:val="004B612F"/>
    <w:rsid w:val="004B62B3"/>
    <w:rsid w:val="004B6C75"/>
    <w:rsid w:val="004B720F"/>
    <w:rsid w:val="004B7364"/>
    <w:rsid w:val="004B797F"/>
    <w:rsid w:val="004B7A74"/>
    <w:rsid w:val="004B7AED"/>
    <w:rsid w:val="004B7FA8"/>
    <w:rsid w:val="004C02B6"/>
    <w:rsid w:val="004C0375"/>
    <w:rsid w:val="004C04A8"/>
    <w:rsid w:val="004C05C4"/>
    <w:rsid w:val="004C0609"/>
    <w:rsid w:val="004C0CF0"/>
    <w:rsid w:val="004C0F37"/>
    <w:rsid w:val="004C1723"/>
    <w:rsid w:val="004C1A0F"/>
    <w:rsid w:val="004C1DA3"/>
    <w:rsid w:val="004C21CC"/>
    <w:rsid w:val="004C2247"/>
    <w:rsid w:val="004C22B3"/>
    <w:rsid w:val="004C27B5"/>
    <w:rsid w:val="004C27E5"/>
    <w:rsid w:val="004C2858"/>
    <w:rsid w:val="004C29FA"/>
    <w:rsid w:val="004C2EF2"/>
    <w:rsid w:val="004C2EFF"/>
    <w:rsid w:val="004C33F4"/>
    <w:rsid w:val="004C346C"/>
    <w:rsid w:val="004C373E"/>
    <w:rsid w:val="004C39E5"/>
    <w:rsid w:val="004C3D78"/>
    <w:rsid w:val="004C3D95"/>
    <w:rsid w:val="004C402D"/>
    <w:rsid w:val="004C41EE"/>
    <w:rsid w:val="004C4247"/>
    <w:rsid w:val="004C4524"/>
    <w:rsid w:val="004C4723"/>
    <w:rsid w:val="004C498C"/>
    <w:rsid w:val="004C4B7A"/>
    <w:rsid w:val="004C4C70"/>
    <w:rsid w:val="004C4E5A"/>
    <w:rsid w:val="004C4EA8"/>
    <w:rsid w:val="004C5151"/>
    <w:rsid w:val="004C52DB"/>
    <w:rsid w:val="004C5885"/>
    <w:rsid w:val="004C5BB7"/>
    <w:rsid w:val="004C5C4D"/>
    <w:rsid w:val="004C600A"/>
    <w:rsid w:val="004C6044"/>
    <w:rsid w:val="004C62EF"/>
    <w:rsid w:val="004C6322"/>
    <w:rsid w:val="004C64EF"/>
    <w:rsid w:val="004C6635"/>
    <w:rsid w:val="004C6CC3"/>
    <w:rsid w:val="004C72B4"/>
    <w:rsid w:val="004C7513"/>
    <w:rsid w:val="004C75D6"/>
    <w:rsid w:val="004C768F"/>
    <w:rsid w:val="004C786E"/>
    <w:rsid w:val="004C7993"/>
    <w:rsid w:val="004C7AA1"/>
    <w:rsid w:val="004C7FCB"/>
    <w:rsid w:val="004D0209"/>
    <w:rsid w:val="004D0253"/>
    <w:rsid w:val="004D02A1"/>
    <w:rsid w:val="004D03AA"/>
    <w:rsid w:val="004D042C"/>
    <w:rsid w:val="004D052A"/>
    <w:rsid w:val="004D0756"/>
    <w:rsid w:val="004D09BB"/>
    <w:rsid w:val="004D0A2C"/>
    <w:rsid w:val="004D0A8B"/>
    <w:rsid w:val="004D0BB5"/>
    <w:rsid w:val="004D0C1E"/>
    <w:rsid w:val="004D0C71"/>
    <w:rsid w:val="004D14CB"/>
    <w:rsid w:val="004D1721"/>
    <w:rsid w:val="004D198E"/>
    <w:rsid w:val="004D1B22"/>
    <w:rsid w:val="004D1CF0"/>
    <w:rsid w:val="004D1DFA"/>
    <w:rsid w:val="004D1F4F"/>
    <w:rsid w:val="004D2074"/>
    <w:rsid w:val="004D2326"/>
    <w:rsid w:val="004D2356"/>
    <w:rsid w:val="004D24C4"/>
    <w:rsid w:val="004D25E9"/>
    <w:rsid w:val="004D285C"/>
    <w:rsid w:val="004D2925"/>
    <w:rsid w:val="004D29D1"/>
    <w:rsid w:val="004D2EEB"/>
    <w:rsid w:val="004D2FC4"/>
    <w:rsid w:val="004D32CE"/>
    <w:rsid w:val="004D35D3"/>
    <w:rsid w:val="004D3A51"/>
    <w:rsid w:val="004D3D3E"/>
    <w:rsid w:val="004D3D5D"/>
    <w:rsid w:val="004D3E4B"/>
    <w:rsid w:val="004D3F1B"/>
    <w:rsid w:val="004D409B"/>
    <w:rsid w:val="004D4533"/>
    <w:rsid w:val="004D48AA"/>
    <w:rsid w:val="004D4A74"/>
    <w:rsid w:val="004D4FBE"/>
    <w:rsid w:val="004D516B"/>
    <w:rsid w:val="004D522D"/>
    <w:rsid w:val="004D5663"/>
    <w:rsid w:val="004D58FA"/>
    <w:rsid w:val="004D59B1"/>
    <w:rsid w:val="004D5DBF"/>
    <w:rsid w:val="004D5E86"/>
    <w:rsid w:val="004D6207"/>
    <w:rsid w:val="004D62DD"/>
    <w:rsid w:val="004D63C0"/>
    <w:rsid w:val="004D64F4"/>
    <w:rsid w:val="004D65D3"/>
    <w:rsid w:val="004D6702"/>
    <w:rsid w:val="004D6967"/>
    <w:rsid w:val="004D6979"/>
    <w:rsid w:val="004D6ABB"/>
    <w:rsid w:val="004D6C1C"/>
    <w:rsid w:val="004D6D09"/>
    <w:rsid w:val="004D6F2E"/>
    <w:rsid w:val="004D6FB2"/>
    <w:rsid w:val="004D6FCD"/>
    <w:rsid w:val="004D7177"/>
    <w:rsid w:val="004D718C"/>
    <w:rsid w:val="004D735C"/>
    <w:rsid w:val="004D7499"/>
    <w:rsid w:val="004D757A"/>
    <w:rsid w:val="004D7F0D"/>
    <w:rsid w:val="004D7F1F"/>
    <w:rsid w:val="004E0155"/>
    <w:rsid w:val="004E0263"/>
    <w:rsid w:val="004E0382"/>
    <w:rsid w:val="004E03EE"/>
    <w:rsid w:val="004E0524"/>
    <w:rsid w:val="004E06B8"/>
    <w:rsid w:val="004E079F"/>
    <w:rsid w:val="004E0DCA"/>
    <w:rsid w:val="004E0E4F"/>
    <w:rsid w:val="004E117A"/>
    <w:rsid w:val="004E1429"/>
    <w:rsid w:val="004E1789"/>
    <w:rsid w:val="004E1AFE"/>
    <w:rsid w:val="004E1F93"/>
    <w:rsid w:val="004E1FDA"/>
    <w:rsid w:val="004E21D3"/>
    <w:rsid w:val="004E250C"/>
    <w:rsid w:val="004E25DE"/>
    <w:rsid w:val="004E2631"/>
    <w:rsid w:val="004E2694"/>
    <w:rsid w:val="004E26C3"/>
    <w:rsid w:val="004E26DB"/>
    <w:rsid w:val="004E2753"/>
    <w:rsid w:val="004E2C57"/>
    <w:rsid w:val="004E2E60"/>
    <w:rsid w:val="004E3118"/>
    <w:rsid w:val="004E3754"/>
    <w:rsid w:val="004E37B4"/>
    <w:rsid w:val="004E3A38"/>
    <w:rsid w:val="004E3BFB"/>
    <w:rsid w:val="004E3C1C"/>
    <w:rsid w:val="004E3C87"/>
    <w:rsid w:val="004E3DF8"/>
    <w:rsid w:val="004E454C"/>
    <w:rsid w:val="004E48C4"/>
    <w:rsid w:val="004E492D"/>
    <w:rsid w:val="004E4A6F"/>
    <w:rsid w:val="004E4C41"/>
    <w:rsid w:val="004E4C83"/>
    <w:rsid w:val="004E4D5C"/>
    <w:rsid w:val="004E4F1F"/>
    <w:rsid w:val="004E56A8"/>
    <w:rsid w:val="004E58AA"/>
    <w:rsid w:val="004E5A02"/>
    <w:rsid w:val="004E5F19"/>
    <w:rsid w:val="004E600C"/>
    <w:rsid w:val="004E6424"/>
    <w:rsid w:val="004E64A4"/>
    <w:rsid w:val="004E65AF"/>
    <w:rsid w:val="004E69AB"/>
    <w:rsid w:val="004E6EBB"/>
    <w:rsid w:val="004E6F21"/>
    <w:rsid w:val="004E6FC6"/>
    <w:rsid w:val="004E7218"/>
    <w:rsid w:val="004E74D8"/>
    <w:rsid w:val="004E75C8"/>
    <w:rsid w:val="004E774D"/>
    <w:rsid w:val="004F0032"/>
    <w:rsid w:val="004F03CB"/>
    <w:rsid w:val="004F0643"/>
    <w:rsid w:val="004F06EA"/>
    <w:rsid w:val="004F0B55"/>
    <w:rsid w:val="004F0BC5"/>
    <w:rsid w:val="004F0BCE"/>
    <w:rsid w:val="004F0E64"/>
    <w:rsid w:val="004F103B"/>
    <w:rsid w:val="004F1260"/>
    <w:rsid w:val="004F1323"/>
    <w:rsid w:val="004F1367"/>
    <w:rsid w:val="004F139C"/>
    <w:rsid w:val="004F1490"/>
    <w:rsid w:val="004F14B5"/>
    <w:rsid w:val="004F1C35"/>
    <w:rsid w:val="004F1FF7"/>
    <w:rsid w:val="004F2033"/>
    <w:rsid w:val="004F2104"/>
    <w:rsid w:val="004F2133"/>
    <w:rsid w:val="004F2711"/>
    <w:rsid w:val="004F27DA"/>
    <w:rsid w:val="004F2817"/>
    <w:rsid w:val="004F2900"/>
    <w:rsid w:val="004F2AB8"/>
    <w:rsid w:val="004F2BAB"/>
    <w:rsid w:val="004F2DEE"/>
    <w:rsid w:val="004F2E57"/>
    <w:rsid w:val="004F2E7A"/>
    <w:rsid w:val="004F31B2"/>
    <w:rsid w:val="004F3359"/>
    <w:rsid w:val="004F36E8"/>
    <w:rsid w:val="004F37E4"/>
    <w:rsid w:val="004F381A"/>
    <w:rsid w:val="004F3859"/>
    <w:rsid w:val="004F392A"/>
    <w:rsid w:val="004F3BAD"/>
    <w:rsid w:val="004F3CBE"/>
    <w:rsid w:val="004F3DF4"/>
    <w:rsid w:val="004F3E7C"/>
    <w:rsid w:val="004F402E"/>
    <w:rsid w:val="004F40C4"/>
    <w:rsid w:val="004F40F3"/>
    <w:rsid w:val="004F410E"/>
    <w:rsid w:val="004F4164"/>
    <w:rsid w:val="004F4458"/>
    <w:rsid w:val="004F4706"/>
    <w:rsid w:val="004F48D3"/>
    <w:rsid w:val="004F4E4B"/>
    <w:rsid w:val="004F4E6D"/>
    <w:rsid w:val="004F4EE2"/>
    <w:rsid w:val="004F4F72"/>
    <w:rsid w:val="004F508D"/>
    <w:rsid w:val="004F513A"/>
    <w:rsid w:val="004F5559"/>
    <w:rsid w:val="004F555D"/>
    <w:rsid w:val="004F5786"/>
    <w:rsid w:val="004F5B42"/>
    <w:rsid w:val="004F5B44"/>
    <w:rsid w:val="004F5F09"/>
    <w:rsid w:val="004F5F82"/>
    <w:rsid w:val="004F65C7"/>
    <w:rsid w:val="004F674C"/>
    <w:rsid w:val="004F691C"/>
    <w:rsid w:val="004F69D6"/>
    <w:rsid w:val="004F6B97"/>
    <w:rsid w:val="004F6C86"/>
    <w:rsid w:val="004F70CC"/>
    <w:rsid w:val="004F71FA"/>
    <w:rsid w:val="004F7D9A"/>
    <w:rsid w:val="004F7DD9"/>
    <w:rsid w:val="004F7F00"/>
    <w:rsid w:val="00500026"/>
    <w:rsid w:val="00500ADA"/>
    <w:rsid w:val="00500BD2"/>
    <w:rsid w:val="00500C4B"/>
    <w:rsid w:val="00500CB2"/>
    <w:rsid w:val="00500F2D"/>
    <w:rsid w:val="00500FC7"/>
    <w:rsid w:val="00501806"/>
    <w:rsid w:val="005018C4"/>
    <w:rsid w:val="005019A6"/>
    <w:rsid w:val="00501D08"/>
    <w:rsid w:val="00501D55"/>
    <w:rsid w:val="00501E32"/>
    <w:rsid w:val="00501E69"/>
    <w:rsid w:val="00501EEB"/>
    <w:rsid w:val="00501FDC"/>
    <w:rsid w:val="0050200A"/>
    <w:rsid w:val="005023B4"/>
    <w:rsid w:val="0050253A"/>
    <w:rsid w:val="00502657"/>
    <w:rsid w:val="005028A7"/>
    <w:rsid w:val="005029DE"/>
    <w:rsid w:val="00502A2D"/>
    <w:rsid w:val="00502C2A"/>
    <w:rsid w:val="00502ED8"/>
    <w:rsid w:val="00502FC0"/>
    <w:rsid w:val="005031B8"/>
    <w:rsid w:val="0050333E"/>
    <w:rsid w:val="0050344C"/>
    <w:rsid w:val="0050364F"/>
    <w:rsid w:val="00503746"/>
    <w:rsid w:val="0050375D"/>
    <w:rsid w:val="005038AA"/>
    <w:rsid w:val="00503A9A"/>
    <w:rsid w:val="00503B14"/>
    <w:rsid w:val="00503E6A"/>
    <w:rsid w:val="00503FBB"/>
    <w:rsid w:val="00504715"/>
    <w:rsid w:val="00504A0F"/>
    <w:rsid w:val="00504D4C"/>
    <w:rsid w:val="00505057"/>
    <w:rsid w:val="0050513C"/>
    <w:rsid w:val="005052C4"/>
    <w:rsid w:val="005052EE"/>
    <w:rsid w:val="005053BC"/>
    <w:rsid w:val="00505491"/>
    <w:rsid w:val="005058E4"/>
    <w:rsid w:val="005058F1"/>
    <w:rsid w:val="00505C20"/>
    <w:rsid w:val="00505E3C"/>
    <w:rsid w:val="00505F01"/>
    <w:rsid w:val="00506359"/>
    <w:rsid w:val="00506438"/>
    <w:rsid w:val="00506646"/>
    <w:rsid w:val="00506B05"/>
    <w:rsid w:val="00506B0E"/>
    <w:rsid w:val="00506D24"/>
    <w:rsid w:val="00506E7D"/>
    <w:rsid w:val="00506FFF"/>
    <w:rsid w:val="005072C4"/>
    <w:rsid w:val="005073A9"/>
    <w:rsid w:val="00507623"/>
    <w:rsid w:val="0050794C"/>
    <w:rsid w:val="005104B3"/>
    <w:rsid w:val="005104F3"/>
    <w:rsid w:val="00510677"/>
    <w:rsid w:val="00510868"/>
    <w:rsid w:val="00510CE6"/>
    <w:rsid w:val="00510DF7"/>
    <w:rsid w:val="00510FD4"/>
    <w:rsid w:val="0051139F"/>
    <w:rsid w:val="005117AA"/>
    <w:rsid w:val="0051190B"/>
    <w:rsid w:val="00511944"/>
    <w:rsid w:val="005119BA"/>
    <w:rsid w:val="00511BD7"/>
    <w:rsid w:val="00511E5B"/>
    <w:rsid w:val="005122D5"/>
    <w:rsid w:val="00512587"/>
    <w:rsid w:val="005125EB"/>
    <w:rsid w:val="0051265A"/>
    <w:rsid w:val="00512950"/>
    <w:rsid w:val="0051296B"/>
    <w:rsid w:val="0051297D"/>
    <w:rsid w:val="00512B1C"/>
    <w:rsid w:val="00513179"/>
    <w:rsid w:val="00513578"/>
    <w:rsid w:val="00513590"/>
    <w:rsid w:val="005136FE"/>
    <w:rsid w:val="0051391F"/>
    <w:rsid w:val="0051399E"/>
    <w:rsid w:val="00513AD1"/>
    <w:rsid w:val="00513ED9"/>
    <w:rsid w:val="00513F8A"/>
    <w:rsid w:val="005142BE"/>
    <w:rsid w:val="0051478F"/>
    <w:rsid w:val="0051484E"/>
    <w:rsid w:val="00514AA0"/>
    <w:rsid w:val="00514D9C"/>
    <w:rsid w:val="00514E18"/>
    <w:rsid w:val="0051508D"/>
    <w:rsid w:val="00515157"/>
    <w:rsid w:val="00515459"/>
    <w:rsid w:val="00515520"/>
    <w:rsid w:val="005158AD"/>
    <w:rsid w:val="00515CDA"/>
    <w:rsid w:val="00515CFB"/>
    <w:rsid w:val="00515E14"/>
    <w:rsid w:val="00515F98"/>
    <w:rsid w:val="005161E7"/>
    <w:rsid w:val="005161EB"/>
    <w:rsid w:val="005163A8"/>
    <w:rsid w:val="0051665F"/>
    <w:rsid w:val="005168EE"/>
    <w:rsid w:val="00516A42"/>
    <w:rsid w:val="00516A78"/>
    <w:rsid w:val="00516ABE"/>
    <w:rsid w:val="00516AF6"/>
    <w:rsid w:val="0051706F"/>
    <w:rsid w:val="00517148"/>
    <w:rsid w:val="00517384"/>
    <w:rsid w:val="0051740E"/>
    <w:rsid w:val="005179C9"/>
    <w:rsid w:val="00517A51"/>
    <w:rsid w:val="00517BDD"/>
    <w:rsid w:val="00517E5A"/>
    <w:rsid w:val="00517FEE"/>
    <w:rsid w:val="005202A0"/>
    <w:rsid w:val="00520E51"/>
    <w:rsid w:val="00521403"/>
    <w:rsid w:val="00521439"/>
    <w:rsid w:val="005224CB"/>
    <w:rsid w:val="005224DC"/>
    <w:rsid w:val="0052274E"/>
    <w:rsid w:val="00522816"/>
    <w:rsid w:val="00522F85"/>
    <w:rsid w:val="005231B5"/>
    <w:rsid w:val="00523206"/>
    <w:rsid w:val="0052327C"/>
    <w:rsid w:val="005236F9"/>
    <w:rsid w:val="00523AFC"/>
    <w:rsid w:val="00523C69"/>
    <w:rsid w:val="00523C74"/>
    <w:rsid w:val="00523DE0"/>
    <w:rsid w:val="00524157"/>
    <w:rsid w:val="0052434C"/>
    <w:rsid w:val="00524608"/>
    <w:rsid w:val="005247F1"/>
    <w:rsid w:val="00524881"/>
    <w:rsid w:val="005248BB"/>
    <w:rsid w:val="00524AD6"/>
    <w:rsid w:val="00524D83"/>
    <w:rsid w:val="00524DD4"/>
    <w:rsid w:val="00524F35"/>
    <w:rsid w:val="00525144"/>
    <w:rsid w:val="005256B0"/>
    <w:rsid w:val="005256F9"/>
    <w:rsid w:val="0052586D"/>
    <w:rsid w:val="005258DB"/>
    <w:rsid w:val="0052599B"/>
    <w:rsid w:val="00525E73"/>
    <w:rsid w:val="00525F76"/>
    <w:rsid w:val="00526339"/>
    <w:rsid w:val="00526343"/>
    <w:rsid w:val="00526451"/>
    <w:rsid w:val="005265D8"/>
    <w:rsid w:val="005265EE"/>
    <w:rsid w:val="00526636"/>
    <w:rsid w:val="00526748"/>
    <w:rsid w:val="0052703A"/>
    <w:rsid w:val="005270A1"/>
    <w:rsid w:val="00527374"/>
    <w:rsid w:val="005273F0"/>
    <w:rsid w:val="00527618"/>
    <w:rsid w:val="00527A87"/>
    <w:rsid w:val="00527B62"/>
    <w:rsid w:val="00527BC3"/>
    <w:rsid w:val="00527C3C"/>
    <w:rsid w:val="00530144"/>
    <w:rsid w:val="005301FD"/>
    <w:rsid w:val="00530551"/>
    <w:rsid w:val="0053078C"/>
    <w:rsid w:val="0053086D"/>
    <w:rsid w:val="005308D5"/>
    <w:rsid w:val="005309A1"/>
    <w:rsid w:val="00530B43"/>
    <w:rsid w:val="00530DD0"/>
    <w:rsid w:val="00530EEF"/>
    <w:rsid w:val="00530F8F"/>
    <w:rsid w:val="005315BE"/>
    <w:rsid w:val="00531C0A"/>
    <w:rsid w:val="00531C25"/>
    <w:rsid w:val="00532180"/>
    <w:rsid w:val="005321BE"/>
    <w:rsid w:val="00532320"/>
    <w:rsid w:val="005324AB"/>
    <w:rsid w:val="005326E7"/>
    <w:rsid w:val="00532987"/>
    <w:rsid w:val="00532EAB"/>
    <w:rsid w:val="00532F43"/>
    <w:rsid w:val="00532F47"/>
    <w:rsid w:val="00533053"/>
    <w:rsid w:val="00533135"/>
    <w:rsid w:val="005335B1"/>
    <w:rsid w:val="0053376B"/>
    <w:rsid w:val="005338AE"/>
    <w:rsid w:val="00533DA2"/>
    <w:rsid w:val="00533E6A"/>
    <w:rsid w:val="0053412B"/>
    <w:rsid w:val="00534561"/>
    <w:rsid w:val="005347B5"/>
    <w:rsid w:val="0053482D"/>
    <w:rsid w:val="005348D7"/>
    <w:rsid w:val="005349FF"/>
    <w:rsid w:val="00534F8E"/>
    <w:rsid w:val="0053505A"/>
    <w:rsid w:val="005350A1"/>
    <w:rsid w:val="0053536A"/>
    <w:rsid w:val="005358CF"/>
    <w:rsid w:val="00535AA9"/>
    <w:rsid w:val="00535B45"/>
    <w:rsid w:val="00535D25"/>
    <w:rsid w:val="00536530"/>
    <w:rsid w:val="005366DD"/>
    <w:rsid w:val="00536BC9"/>
    <w:rsid w:val="00536C1E"/>
    <w:rsid w:val="00536D07"/>
    <w:rsid w:val="00536D42"/>
    <w:rsid w:val="00536EE1"/>
    <w:rsid w:val="00537276"/>
    <w:rsid w:val="0053739C"/>
    <w:rsid w:val="005374B4"/>
    <w:rsid w:val="00537554"/>
    <w:rsid w:val="0053758F"/>
    <w:rsid w:val="00537BA6"/>
    <w:rsid w:val="00537E2A"/>
    <w:rsid w:val="005400EF"/>
    <w:rsid w:val="00540249"/>
    <w:rsid w:val="0054036F"/>
    <w:rsid w:val="005404DF"/>
    <w:rsid w:val="00540562"/>
    <w:rsid w:val="00540798"/>
    <w:rsid w:val="00540872"/>
    <w:rsid w:val="00540AFD"/>
    <w:rsid w:val="00540B55"/>
    <w:rsid w:val="00540BD0"/>
    <w:rsid w:val="00540C76"/>
    <w:rsid w:val="0054109C"/>
    <w:rsid w:val="00541173"/>
    <w:rsid w:val="00541256"/>
    <w:rsid w:val="00541732"/>
    <w:rsid w:val="0054176E"/>
    <w:rsid w:val="00541882"/>
    <w:rsid w:val="005419FA"/>
    <w:rsid w:val="00541A69"/>
    <w:rsid w:val="00541B7C"/>
    <w:rsid w:val="00541C38"/>
    <w:rsid w:val="00541EE2"/>
    <w:rsid w:val="00541F3F"/>
    <w:rsid w:val="00541F42"/>
    <w:rsid w:val="00541FC7"/>
    <w:rsid w:val="00542150"/>
    <w:rsid w:val="00542191"/>
    <w:rsid w:val="00542276"/>
    <w:rsid w:val="00542311"/>
    <w:rsid w:val="00542573"/>
    <w:rsid w:val="005425A8"/>
    <w:rsid w:val="00542737"/>
    <w:rsid w:val="005428AA"/>
    <w:rsid w:val="00542A15"/>
    <w:rsid w:val="00542C4D"/>
    <w:rsid w:val="00542CBD"/>
    <w:rsid w:val="00542CDE"/>
    <w:rsid w:val="00542EF9"/>
    <w:rsid w:val="00542F9B"/>
    <w:rsid w:val="005431E2"/>
    <w:rsid w:val="0054328C"/>
    <w:rsid w:val="005432E1"/>
    <w:rsid w:val="0054349A"/>
    <w:rsid w:val="0054360C"/>
    <w:rsid w:val="0054417C"/>
    <w:rsid w:val="0054435D"/>
    <w:rsid w:val="00544481"/>
    <w:rsid w:val="0054458B"/>
    <w:rsid w:val="00544610"/>
    <w:rsid w:val="0054494A"/>
    <w:rsid w:val="00544CCD"/>
    <w:rsid w:val="00545272"/>
    <w:rsid w:val="00545325"/>
    <w:rsid w:val="0054538E"/>
    <w:rsid w:val="005456D0"/>
    <w:rsid w:val="00545A14"/>
    <w:rsid w:val="00545AEA"/>
    <w:rsid w:val="00545B90"/>
    <w:rsid w:val="00545E91"/>
    <w:rsid w:val="005461C7"/>
    <w:rsid w:val="00546585"/>
    <w:rsid w:val="005466C7"/>
    <w:rsid w:val="005467EA"/>
    <w:rsid w:val="005468E5"/>
    <w:rsid w:val="0054693E"/>
    <w:rsid w:val="00546C3E"/>
    <w:rsid w:val="00546D8F"/>
    <w:rsid w:val="0054743F"/>
    <w:rsid w:val="0054748D"/>
    <w:rsid w:val="005474ED"/>
    <w:rsid w:val="0054758B"/>
    <w:rsid w:val="005478D7"/>
    <w:rsid w:val="005479D7"/>
    <w:rsid w:val="00547A4B"/>
    <w:rsid w:val="00547DC9"/>
    <w:rsid w:val="00547E6F"/>
    <w:rsid w:val="00547F9E"/>
    <w:rsid w:val="00547FA6"/>
    <w:rsid w:val="005501E3"/>
    <w:rsid w:val="0055021B"/>
    <w:rsid w:val="005505E8"/>
    <w:rsid w:val="0055072B"/>
    <w:rsid w:val="00550AC9"/>
    <w:rsid w:val="00550C1A"/>
    <w:rsid w:val="00550C4C"/>
    <w:rsid w:val="00550DA9"/>
    <w:rsid w:val="00550E78"/>
    <w:rsid w:val="00550EA4"/>
    <w:rsid w:val="005515DE"/>
    <w:rsid w:val="0055168E"/>
    <w:rsid w:val="00551813"/>
    <w:rsid w:val="00551B4C"/>
    <w:rsid w:val="00551C07"/>
    <w:rsid w:val="00551DA2"/>
    <w:rsid w:val="005522A3"/>
    <w:rsid w:val="00552563"/>
    <w:rsid w:val="00552803"/>
    <w:rsid w:val="0055281D"/>
    <w:rsid w:val="00552933"/>
    <w:rsid w:val="005529B2"/>
    <w:rsid w:val="00552BAB"/>
    <w:rsid w:val="00552E94"/>
    <w:rsid w:val="00552F82"/>
    <w:rsid w:val="0055321A"/>
    <w:rsid w:val="005533FC"/>
    <w:rsid w:val="00553452"/>
    <w:rsid w:val="0055348B"/>
    <w:rsid w:val="0055359D"/>
    <w:rsid w:val="00554069"/>
    <w:rsid w:val="00554159"/>
    <w:rsid w:val="00554643"/>
    <w:rsid w:val="00554722"/>
    <w:rsid w:val="00554BE8"/>
    <w:rsid w:val="00554E55"/>
    <w:rsid w:val="00554F4E"/>
    <w:rsid w:val="0055529D"/>
    <w:rsid w:val="0055546A"/>
    <w:rsid w:val="0055562D"/>
    <w:rsid w:val="00555920"/>
    <w:rsid w:val="00555BC6"/>
    <w:rsid w:val="00555C7C"/>
    <w:rsid w:val="00555F2E"/>
    <w:rsid w:val="005561E0"/>
    <w:rsid w:val="0055627C"/>
    <w:rsid w:val="0055637C"/>
    <w:rsid w:val="005566DD"/>
    <w:rsid w:val="0055671B"/>
    <w:rsid w:val="00556736"/>
    <w:rsid w:val="005568B8"/>
    <w:rsid w:val="00556AFC"/>
    <w:rsid w:val="00556CA8"/>
    <w:rsid w:val="00556DE2"/>
    <w:rsid w:val="00556E63"/>
    <w:rsid w:val="00556F6B"/>
    <w:rsid w:val="005570C7"/>
    <w:rsid w:val="0055711B"/>
    <w:rsid w:val="005573B2"/>
    <w:rsid w:val="0055774A"/>
    <w:rsid w:val="00557783"/>
    <w:rsid w:val="00557838"/>
    <w:rsid w:val="00557CAD"/>
    <w:rsid w:val="00557F51"/>
    <w:rsid w:val="00560162"/>
    <w:rsid w:val="00560225"/>
    <w:rsid w:val="00560237"/>
    <w:rsid w:val="00560368"/>
    <w:rsid w:val="0056036B"/>
    <w:rsid w:val="00560410"/>
    <w:rsid w:val="00560481"/>
    <w:rsid w:val="00560491"/>
    <w:rsid w:val="005605E6"/>
    <w:rsid w:val="0056072C"/>
    <w:rsid w:val="005607F6"/>
    <w:rsid w:val="00560DFE"/>
    <w:rsid w:val="0056141C"/>
    <w:rsid w:val="00561792"/>
    <w:rsid w:val="005617DE"/>
    <w:rsid w:val="005619A2"/>
    <w:rsid w:val="005619B1"/>
    <w:rsid w:val="00561A35"/>
    <w:rsid w:val="00561A94"/>
    <w:rsid w:val="00561ECD"/>
    <w:rsid w:val="005621EE"/>
    <w:rsid w:val="00562249"/>
    <w:rsid w:val="0056228A"/>
    <w:rsid w:val="00562525"/>
    <w:rsid w:val="00562813"/>
    <w:rsid w:val="00562915"/>
    <w:rsid w:val="00562B37"/>
    <w:rsid w:val="00562D8F"/>
    <w:rsid w:val="0056304D"/>
    <w:rsid w:val="00563059"/>
    <w:rsid w:val="005633D0"/>
    <w:rsid w:val="00563449"/>
    <w:rsid w:val="005635EA"/>
    <w:rsid w:val="00563741"/>
    <w:rsid w:val="00563959"/>
    <w:rsid w:val="00563A0B"/>
    <w:rsid w:val="00563B04"/>
    <w:rsid w:val="00563BDC"/>
    <w:rsid w:val="00563D52"/>
    <w:rsid w:val="00563DAA"/>
    <w:rsid w:val="00564124"/>
    <w:rsid w:val="00564493"/>
    <w:rsid w:val="005644E8"/>
    <w:rsid w:val="00564C47"/>
    <w:rsid w:val="00564D0A"/>
    <w:rsid w:val="00564D92"/>
    <w:rsid w:val="00564EB1"/>
    <w:rsid w:val="0056581E"/>
    <w:rsid w:val="00565863"/>
    <w:rsid w:val="005659D5"/>
    <w:rsid w:val="00565A09"/>
    <w:rsid w:val="005667A0"/>
    <w:rsid w:val="005667BD"/>
    <w:rsid w:val="0056693D"/>
    <w:rsid w:val="00566C23"/>
    <w:rsid w:val="00566E15"/>
    <w:rsid w:val="00566F20"/>
    <w:rsid w:val="005670C7"/>
    <w:rsid w:val="005670CB"/>
    <w:rsid w:val="00567118"/>
    <w:rsid w:val="005671D0"/>
    <w:rsid w:val="005672B5"/>
    <w:rsid w:val="00567371"/>
    <w:rsid w:val="00567D66"/>
    <w:rsid w:val="00567F83"/>
    <w:rsid w:val="00567FE3"/>
    <w:rsid w:val="0057048B"/>
    <w:rsid w:val="005709C1"/>
    <w:rsid w:val="00570C38"/>
    <w:rsid w:val="00570E82"/>
    <w:rsid w:val="00570F97"/>
    <w:rsid w:val="005710D2"/>
    <w:rsid w:val="0057140E"/>
    <w:rsid w:val="00571435"/>
    <w:rsid w:val="0057145A"/>
    <w:rsid w:val="00571517"/>
    <w:rsid w:val="005717B3"/>
    <w:rsid w:val="00571809"/>
    <w:rsid w:val="0057194D"/>
    <w:rsid w:val="005719CD"/>
    <w:rsid w:val="00571A66"/>
    <w:rsid w:val="00571B01"/>
    <w:rsid w:val="00571BEE"/>
    <w:rsid w:val="00571BF8"/>
    <w:rsid w:val="00571D86"/>
    <w:rsid w:val="0057218B"/>
    <w:rsid w:val="00572563"/>
    <w:rsid w:val="005725B1"/>
    <w:rsid w:val="0057284E"/>
    <w:rsid w:val="005729C4"/>
    <w:rsid w:val="00572A1F"/>
    <w:rsid w:val="00572ED8"/>
    <w:rsid w:val="0057307B"/>
    <w:rsid w:val="00573200"/>
    <w:rsid w:val="0057321F"/>
    <w:rsid w:val="00573244"/>
    <w:rsid w:val="0057339A"/>
    <w:rsid w:val="00573554"/>
    <w:rsid w:val="00573889"/>
    <w:rsid w:val="00573A68"/>
    <w:rsid w:val="00573F5D"/>
    <w:rsid w:val="005741D3"/>
    <w:rsid w:val="0057494A"/>
    <w:rsid w:val="00574999"/>
    <w:rsid w:val="00574ACF"/>
    <w:rsid w:val="00574DFC"/>
    <w:rsid w:val="00574EAA"/>
    <w:rsid w:val="00574F92"/>
    <w:rsid w:val="00575274"/>
    <w:rsid w:val="00575AE2"/>
    <w:rsid w:val="0057613E"/>
    <w:rsid w:val="00576450"/>
    <w:rsid w:val="00576502"/>
    <w:rsid w:val="0057659B"/>
    <w:rsid w:val="005766FF"/>
    <w:rsid w:val="00576925"/>
    <w:rsid w:val="00576C74"/>
    <w:rsid w:val="00576DFD"/>
    <w:rsid w:val="00576E37"/>
    <w:rsid w:val="00576F16"/>
    <w:rsid w:val="00576F34"/>
    <w:rsid w:val="005770CE"/>
    <w:rsid w:val="005770D3"/>
    <w:rsid w:val="00577399"/>
    <w:rsid w:val="00577522"/>
    <w:rsid w:val="00577670"/>
    <w:rsid w:val="005776B0"/>
    <w:rsid w:val="0057776D"/>
    <w:rsid w:val="00577B8C"/>
    <w:rsid w:val="00577C77"/>
    <w:rsid w:val="00577D49"/>
    <w:rsid w:val="0058034C"/>
    <w:rsid w:val="0058051B"/>
    <w:rsid w:val="00580531"/>
    <w:rsid w:val="0058054B"/>
    <w:rsid w:val="005807B2"/>
    <w:rsid w:val="00580AB7"/>
    <w:rsid w:val="00580AE4"/>
    <w:rsid w:val="00580B23"/>
    <w:rsid w:val="00580DC1"/>
    <w:rsid w:val="00581475"/>
    <w:rsid w:val="005816DC"/>
    <w:rsid w:val="005817A7"/>
    <w:rsid w:val="005817C3"/>
    <w:rsid w:val="00581A5F"/>
    <w:rsid w:val="00581B1A"/>
    <w:rsid w:val="00581C3F"/>
    <w:rsid w:val="00582062"/>
    <w:rsid w:val="005823E2"/>
    <w:rsid w:val="0058258F"/>
    <w:rsid w:val="005826D5"/>
    <w:rsid w:val="00582B07"/>
    <w:rsid w:val="00582B29"/>
    <w:rsid w:val="00582CF0"/>
    <w:rsid w:val="00582D3E"/>
    <w:rsid w:val="00583536"/>
    <w:rsid w:val="00583547"/>
    <w:rsid w:val="0058375E"/>
    <w:rsid w:val="00583D14"/>
    <w:rsid w:val="00584265"/>
    <w:rsid w:val="00584331"/>
    <w:rsid w:val="00584510"/>
    <w:rsid w:val="00584679"/>
    <w:rsid w:val="0058476D"/>
    <w:rsid w:val="00584795"/>
    <w:rsid w:val="0058495A"/>
    <w:rsid w:val="00584D0D"/>
    <w:rsid w:val="00584E06"/>
    <w:rsid w:val="00584E9F"/>
    <w:rsid w:val="0058587C"/>
    <w:rsid w:val="0058590C"/>
    <w:rsid w:val="005859ED"/>
    <w:rsid w:val="00585A78"/>
    <w:rsid w:val="00585B5B"/>
    <w:rsid w:val="00585C7C"/>
    <w:rsid w:val="00585CCC"/>
    <w:rsid w:val="00585E9F"/>
    <w:rsid w:val="00585F2C"/>
    <w:rsid w:val="00585FA1"/>
    <w:rsid w:val="00586408"/>
    <w:rsid w:val="00586A7C"/>
    <w:rsid w:val="00586A96"/>
    <w:rsid w:val="00586AAE"/>
    <w:rsid w:val="00586C7A"/>
    <w:rsid w:val="00586E39"/>
    <w:rsid w:val="00587357"/>
    <w:rsid w:val="00587613"/>
    <w:rsid w:val="00587726"/>
    <w:rsid w:val="00587887"/>
    <w:rsid w:val="00587904"/>
    <w:rsid w:val="00587A52"/>
    <w:rsid w:val="00587C16"/>
    <w:rsid w:val="00587CD7"/>
    <w:rsid w:val="00587F93"/>
    <w:rsid w:val="0059021E"/>
    <w:rsid w:val="005903E8"/>
    <w:rsid w:val="005904BC"/>
    <w:rsid w:val="005904F6"/>
    <w:rsid w:val="0059079B"/>
    <w:rsid w:val="0059082C"/>
    <w:rsid w:val="00590886"/>
    <w:rsid w:val="00590A80"/>
    <w:rsid w:val="00590B6B"/>
    <w:rsid w:val="00590C01"/>
    <w:rsid w:val="00590C54"/>
    <w:rsid w:val="00590E11"/>
    <w:rsid w:val="00590ED5"/>
    <w:rsid w:val="00591059"/>
    <w:rsid w:val="005910DC"/>
    <w:rsid w:val="0059112A"/>
    <w:rsid w:val="0059153A"/>
    <w:rsid w:val="00591984"/>
    <w:rsid w:val="005922B5"/>
    <w:rsid w:val="0059232B"/>
    <w:rsid w:val="00592561"/>
    <w:rsid w:val="0059256B"/>
    <w:rsid w:val="005925AD"/>
    <w:rsid w:val="005925F5"/>
    <w:rsid w:val="005926BC"/>
    <w:rsid w:val="00592821"/>
    <w:rsid w:val="00592855"/>
    <w:rsid w:val="00592CB5"/>
    <w:rsid w:val="005930AC"/>
    <w:rsid w:val="005934B9"/>
    <w:rsid w:val="005934EA"/>
    <w:rsid w:val="005935AE"/>
    <w:rsid w:val="00593A18"/>
    <w:rsid w:val="00593B36"/>
    <w:rsid w:val="00593BEE"/>
    <w:rsid w:val="00593C2A"/>
    <w:rsid w:val="00593C94"/>
    <w:rsid w:val="00594086"/>
    <w:rsid w:val="0059424A"/>
    <w:rsid w:val="0059432A"/>
    <w:rsid w:val="00594340"/>
    <w:rsid w:val="005943A2"/>
    <w:rsid w:val="005944D9"/>
    <w:rsid w:val="00594506"/>
    <w:rsid w:val="005947A7"/>
    <w:rsid w:val="00594800"/>
    <w:rsid w:val="00594C66"/>
    <w:rsid w:val="00594CAB"/>
    <w:rsid w:val="00594F7E"/>
    <w:rsid w:val="00594F8A"/>
    <w:rsid w:val="00595166"/>
    <w:rsid w:val="005951AD"/>
    <w:rsid w:val="005953FE"/>
    <w:rsid w:val="0059560C"/>
    <w:rsid w:val="00595687"/>
    <w:rsid w:val="00595AA5"/>
    <w:rsid w:val="00595FCB"/>
    <w:rsid w:val="00596557"/>
    <w:rsid w:val="00596EB1"/>
    <w:rsid w:val="00597463"/>
    <w:rsid w:val="0059784E"/>
    <w:rsid w:val="005978EC"/>
    <w:rsid w:val="00597F8D"/>
    <w:rsid w:val="005A01EF"/>
    <w:rsid w:val="005A0A6C"/>
    <w:rsid w:val="005A0CD0"/>
    <w:rsid w:val="005A10C8"/>
    <w:rsid w:val="005A12DB"/>
    <w:rsid w:val="005A1319"/>
    <w:rsid w:val="005A1498"/>
    <w:rsid w:val="005A1548"/>
    <w:rsid w:val="005A1676"/>
    <w:rsid w:val="005A1A64"/>
    <w:rsid w:val="005A1A72"/>
    <w:rsid w:val="005A1CF9"/>
    <w:rsid w:val="005A1FA7"/>
    <w:rsid w:val="005A2121"/>
    <w:rsid w:val="005A2245"/>
    <w:rsid w:val="005A225A"/>
    <w:rsid w:val="005A243E"/>
    <w:rsid w:val="005A291D"/>
    <w:rsid w:val="005A2936"/>
    <w:rsid w:val="005A2C6D"/>
    <w:rsid w:val="005A2DE8"/>
    <w:rsid w:val="005A328F"/>
    <w:rsid w:val="005A34BE"/>
    <w:rsid w:val="005A3AFB"/>
    <w:rsid w:val="005A3B13"/>
    <w:rsid w:val="005A3BCF"/>
    <w:rsid w:val="005A3D77"/>
    <w:rsid w:val="005A403D"/>
    <w:rsid w:val="005A404A"/>
    <w:rsid w:val="005A4473"/>
    <w:rsid w:val="005A459E"/>
    <w:rsid w:val="005A49DB"/>
    <w:rsid w:val="005A4CD1"/>
    <w:rsid w:val="005A4CF0"/>
    <w:rsid w:val="005A4E27"/>
    <w:rsid w:val="005A528D"/>
    <w:rsid w:val="005A54D6"/>
    <w:rsid w:val="005A57B7"/>
    <w:rsid w:val="005A62EE"/>
    <w:rsid w:val="005A637D"/>
    <w:rsid w:val="005A6964"/>
    <w:rsid w:val="005A69A5"/>
    <w:rsid w:val="005A6C95"/>
    <w:rsid w:val="005A6E69"/>
    <w:rsid w:val="005A7112"/>
    <w:rsid w:val="005A755B"/>
    <w:rsid w:val="005A7B81"/>
    <w:rsid w:val="005A7CBD"/>
    <w:rsid w:val="005A7D82"/>
    <w:rsid w:val="005A7E07"/>
    <w:rsid w:val="005B008B"/>
    <w:rsid w:val="005B0214"/>
    <w:rsid w:val="005B03DB"/>
    <w:rsid w:val="005B047B"/>
    <w:rsid w:val="005B0501"/>
    <w:rsid w:val="005B066D"/>
    <w:rsid w:val="005B0683"/>
    <w:rsid w:val="005B0833"/>
    <w:rsid w:val="005B0895"/>
    <w:rsid w:val="005B0A7D"/>
    <w:rsid w:val="005B0D82"/>
    <w:rsid w:val="005B0DBC"/>
    <w:rsid w:val="005B0E2C"/>
    <w:rsid w:val="005B1065"/>
    <w:rsid w:val="005B14F4"/>
    <w:rsid w:val="005B1524"/>
    <w:rsid w:val="005B16AA"/>
    <w:rsid w:val="005B1918"/>
    <w:rsid w:val="005B1B97"/>
    <w:rsid w:val="005B1BD9"/>
    <w:rsid w:val="005B1CC9"/>
    <w:rsid w:val="005B1DC7"/>
    <w:rsid w:val="005B1EEB"/>
    <w:rsid w:val="005B1FF3"/>
    <w:rsid w:val="005B217D"/>
    <w:rsid w:val="005B24FD"/>
    <w:rsid w:val="005B2769"/>
    <w:rsid w:val="005B29F9"/>
    <w:rsid w:val="005B29FF"/>
    <w:rsid w:val="005B2D94"/>
    <w:rsid w:val="005B2DFA"/>
    <w:rsid w:val="005B2E5C"/>
    <w:rsid w:val="005B31D5"/>
    <w:rsid w:val="005B3282"/>
    <w:rsid w:val="005B3465"/>
    <w:rsid w:val="005B35BE"/>
    <w:rsid w:val="005B37D4"/>
    <w:rsid w:val="005B3855"/>
    <w:rsid w:val="005B387D"/>
    <w:rsid w:val="005B39FD"/>
    <w:rsid w:val="005B3C24"/>
    <w:rsid w:val="005B3E33"/>
    <w:rsid w:val="005B43DA"/>
    <w:rsid w:val="005B45E8"/>
    <w:rsid w:val="005B46B9"/>
    <w:rsid w:val="005B4B33"/>
    <w:rsid w:val="005B4E6F"/>
    <w:rsid w:val="005B4F2E"/>
    <w:rsid w:val="005B4FAC"/>
    <w:rsid w:val="005B512B"/>
    <w:rsid w:val="005B529A"/>
    <w:rsid w:val="005B53B3"/>
    <w:rsid w:val="005B5C4B"/>
    <w:rsid w:val="005B637D"/>
    <w:rsid w:val="005B63F5"/>
    <w:rsid w:val="005B6B38"/>
    <w:rsid w:val="005B6E69"/>
    <w:rsid w:val="005B7001"/>
    <w:rsid w:val="005B704B"/>
    <w:rsid w:val="005B716B"/>
    <w:rsid w:val="005B7355"/>
    <w:rsid w:val="005B7528"/>
    <w:rsid w:val="005B7588"/>
    <w:rsid w:val="005B7747"/>
    <w:rsid w:val="005B799A"/>
    <w:rsid w:val="005B7A87"/>
    <w:rsid w:val="005B7BC1"/>
    <w:rsid w:val="005B7BF9"/>
    <w:rsid w:val="005B7F15"/>
    <w:rsid w:val="005C022A"/>
    <w:rsid w:val="005C0247"/>
    <w:rsid w:val="005C0495"/>
    <w:rsid w:val="005C0511"/>
    <w:rsid w:val="005C055A"/>
    <w:rsid w:val="005C06A4"/>
    <w:rsid w:val="005C076C"/>
    <w:rsid w:val="005C0E41"/>
    <w:rsid w:val="005C0EF2"/>
    <w:rsid w:val="005C109D"/>
    <w:rsid w:val="005C1288"/>
    <w:rsid w:val="005C13C6"/>
    <w:rsid w:val="005C1428"/>
    <w:rsid w:val="005C16DB"/>
    <w:rsid w:val="005C1A3D"/>
    <w:rsid w:val="005C1C89"/>
    <w:rsid w:val="005C1CE1"/>
    <w:rsid w:val="005C1D82"/>
    <w:rsid w:val="005C1EEB"/>
    <w:rsid w:val="005C1EF2"/>
    <w:rsid w:val="005C22E6"/>
    <w:rsid w:val="005C2479"/>
    <w:rsid w:val="005C2553"/>
    <w:rsid w:val="005C2891"/>
    <w:rsid w:val="005C29B4"/>
    <w:rsid w:val="005C29DA"/>
    <w:rsid w:val="005C2D0F"/>
    <w:rsid w:val="005C3602"/>
    <w:rsid w:val="005C3AA2"/>
    <w:rsid w:val="005C3DE9"/>
    <w:rsid w:val="005C40D7"/>
    <w:rsid w:val="005C41D5"/>
    <w:rsid w:val="005C42EC"/>
    <w:rsid w:val="005C438D"/>
    <w:rsid w:val="005C4557"/>
    <w:rsid w:val="005C4618"/>
    <w:rsid w:val="005C46DA"/>
    <w:rsid w:val="005C490A"/>
    <w:rsid w:val="005C4A69"/>
    <w:rsid w:val="005C4CA7"/>
    <w:rsid w:val="005C4FF5"/>
    <w:rsid w:val="005C5289"/>
    <w:rsid w:val="005C529D"/>
    <w:rsid w:val="005C5A8A"/>
    <w:rsid w:val="005C5BB9"/>
    <w:rsid w:val="005C5D23"/>
    <w:rsid w:val="005C5D39"/>
    <w:rsid w:val="005C614B"/>
    <w:rsid w:val="005C62AC"/>
    <w:rsid w:val="005C62FD"/>
    <w:rsid w:val="005C6343"/>
    <w:rsid w:val="005C6386"/>
    <w:rsid w:val="005C681C"/>
    <w:rsid w:val="005C696F"/>
    <w:rsid w:val="005C6C0E"/>
    <w:rsid w:val="005C6F02"/>
    <w:rsid w:val="005C70F9"/>
    <w:rsid w:val="005C72DA"/>
    <w:rsid w:val="005C7647"/>
    <w:rsid w:val="005C76A8"/>
    <w:rsid w:val="005C7820"/>
    <w:rsid w:val="005D0037"/>
    <w:rsid w:val="005D016A"/>
    <w:rsid w:val="005D051C"/>
    <w:rsid w:val="005D0679"/>
    <w:rsid w:val="005D0725"/>
    <w:rsid w:val="005D0836"/>
    <w:rsid w:val="005D0DBD"/>
    <w:rsid w:val="005D0E3A"/>
    <w:rsid w:val="005D0F78"/>
    <w:rsid w:val="005D1069"/>
    <w:rsid w:val="005D108C"/>
    <w:rsid w:val="005D168E"/>
    <w:rsid w:val="005D189B"/>
    <w:rsid w:val="005D1BB5"/>
    <w:rsid w:val="005D1BBD"/>
    <w:rsid w:val="005D1DC5"/>
    <w:rsid w:val="005D2077"/>
    <w:rsid w:val="005D26E7"/>
    <w:rsid w:val="005D2E32"/>
    <w:rsid w:val="005D31CC"/>
    <w:rsid w:val="005D336F"/>
    <w:rsid w:val="005D337A"/>
    <w:rsid w:val="005D35CD"/>
    <w:rsid w:val="005D365D"/>
    <w:rsid w:val="005D3828"/>
    <w:rsid w:val="005D3953"/>
    <w:rsid w:val="005D39E3"/>
    <w:rsid w:val="005D3A75"/>
    <w:rsid w:val="005D3C2E"/>
    <w:rsid w:val="005D3DE3"/>
    <w:rsid w:val="005D3DF8"/>
    <w:rsid w:val="005D3EFD"/>
    <w:rsid w:val="005D4040"/>
    <w:rsid w:val="005D4047"/>
    <w:rsid w:val="005D41AC"/>
    <w:rsid w:val="005D4440"/>
    <w:rsid w:val="005D4984"/>
    <w:rsid w:val="005D4987"/>
    <w:rsid w:val="005D4BE1"/>
    <w:rsid w:val="005D4DBF"/>
    <w:rsid w:val="005D4E07"/>
    <w:rsid w:val="005D5063"/>
    <w:rsid w:val="005D50C1"/>
    <w:rsid w:val="005D50E7"/>
    <w:rsid w:val="005D52A9"/>
    <w:rsid w:val="005D54D5"/>
    <w:rsid w:val="005D54FE"/>
    <w:rsid w:val="005D55C8"/>
    <w:rsid w:val="005D5623"/>
    <w:rsid w:val="005D563D"/>
    <w:rsid w:val="005D5650"/>
    <w:rsid w:val="005D56BD"/>
    <w:rsid w:val="005D5834"/>
    <w:rsid w:val="005D5883"/>
    <w:rsid w:val="005D58EC"/>
    <w:rsid w:val="005D5E84"/>
    <w:rsid w:val="005D60DD"/>
    <w:rsid w:val="005D6247"/>
    <w:rsid w:val="005D644B"/>
    <w:rsid w:val="005D65A8"/>
    <w:rsid w:val="005D6A7B"/>
    <w:rsid w:val="005D6D26"/>
    <w:rsid w:val="005D6D44"/>
    <w:rsid w:val="005D7081"/>
    <w:rsid w:val="005D73D1"/>
    <w:rsid w:val="005D75A4"/>
    <w:rsid w:val="005D7686"/>
    <w:rsid w:val="005D77BC"/>
    <w:rsid w:val="005D78A5"/>
    <w:rsid w:val="005D7A15"/>
    <w:rsid w:val="005D7AD5"/>
    <w:rsid w:val="005D7B44"/>
    <w:rsid w:val="005D7D72"/>
    <w:rsid w:val="005E0171"/>
    <w:rsid w:val="005E028C"/>
    <w:rsid w:val="005E05D3"/>
    <w:rsid w:val="005E0896"/>
    <w:rsid w:val="005E0BC9"/>
    <w:rsid w:val="005E0C88"/>
    <w:rsid w:val="005E101E"/>
    <w:rsid w:val="005E16E3"/>
    <w:rsid w:val="005E1B92"/>
    <w:rsid w:val="005E1B97"/>
    <w:rsid w:val="005E1C45"/>
    <w:rsid w:val="005E1C50"/>
    <w:rsid w:val="005E1CAE"/>
    <w:rsid w:val="005E1F4B"/>
    <w:rsid w:val="005E2054"/>
    <w:rsid w:val="005E2291"/>
    <w:rsid w:val="005E2302"/>
    <w:rsid w:val="005E232E"/>
    <w:rsid w:val="005E2B4C"/>
    <w:rsid w:val="005E2F6F"/>
    <w:rsid w:val="005E31FB"/>
    <w:rsid w:val="005E32E0"/>
    <w:rsid w:val="005E3434"/>
    <w:rsid w:val="005E38DA"/>
    <w:rsid w:val="005E38E5"/>
    <w:rsid w:val="005E3C41"/>
    <w:rsid w:val="005E3E35"/>
    <w:rsid w:val="005E3EE6"/>
    <w:rsid w:val="005E3F9B"/>
    <w:rsid w:val="005E4336"/>
    <w:rsid w:val="005E434B"/>
    <w:rsid w:val="005E452A"/>
    <w:rsid w:val="005E4576"/>
    <w:rsid w:val="005E48A6"/>
    <w:rsid w:val="005E493C"/>
    <w:rsid w:val="005E4AA0"/>
    <w:rsid w:val="005E533F"/>
    <w:rsid w:val="005E54EA"/>
    <w:rsid w:val="005E54FC"/>
    <w:rsid w:val="005E561D"/>
    <w:rsid w:val="005E6048"/>
    <w:rsid w:val="005E6078"/>
    <w:rsid w:val="005E61D4"/>
    <w:rsid w:val="005E6349"/>
    <w:rsid w:val="005E6965"/>
    <w:rsid w:val="005E6AF5"/>
    <w:rsid w:val="005E6C8A"/>
    <w:rsid w:val="005E6FEE"/>
    <w:rsid w:val="005E715A"/>
    <w:rsid w:val="005E72D5"/>
    <w:rsid w:val="005E7320"/>
    <w:rsid w:val="005E74CB"/>
    <w:rsid w:val="005E7522"/>
    <w:rsid w:val="005E7A81"/>
    <w:rsid w:val="005E7BBA"/>
    <w:rsid w:val="005E7F0B"/>
    <w:rsid w:val="005E7FEF"/>
    <w:rsid w:val="005F0588"/>
    <w:rsid w:val="005F0A1E"/>
    <w:rsid w:val="005F0A6B"/>
    <w:rsid w:val="005F0CE6"/>
    <w:rsid w:val="005F1189"/>
    <w:rsid w:val="005F16A0"/>
    <w:rsid w:val="005F1AA0"/>
    <w:rsid w:val="005F1F55"/>
    <w:rsid w:val="005F230B"/>
    <w:rsid w:val="005F24E9"/>
    <w:rsid w:val="005F27A4"/>
    <w:rsid w:val="005F2A8B"/>
    <w:rsid w:val="005F2CE0"/>
    <w:rsid w:val="005F2D4D"/>
    <w:rsid w:val="005F2DFD"/>
    <w:rsid w:val="005F2E28"/>
    <w:rsid w:val="005F2F03"/>
    <w:rsid w:val="005F2F3F"/>
    <w:rsid w:val="005F2FFE"/>
    <w:rsid w:val="005F3321"/>
    <w:rsid w:val="005F3506"/>
    <w:rsid w:val="005F3635"/>
    <w:rsid w:val="005F372B"/>
    <w:rsid w:val="005F37A4"/>
    <w:rsid w:val="005F3967"/>
    <w:rsid w:val="005F3A67"/>
    <w:rsid w:val="005F3C3A"/>
    <w:rsid w:val="005F3CA1"/>
    <w:rsid w:val="005F3E99"/>
    <w:rsid w:val="005F41DE"/>
    <w:rsid w:val="005F435D"/>
    <w:rsid w:val="005F47E9"/>
    <w:rsid w:val="005F48CA"/>
    <w:rsid w:val="005F4F61"/>
    <w:rsid w:val="005F5243"/>
    <w:rsid w:val="005F5331"/>
    <w:rsid w:val="005F53A6"/>
    <w:rsid w:val="005F5407"/>
    <w:rsid w:val="005F550D"/>
    <w:rsid w:val="005F553A"/>
    <w:rsid w:val="005F5634"/>
    <w:rsid w:val="005F57BF"/>
    <w:rsid w:val="005F5859"/>
    <w:rsid w:val="005F5910"/>
    <w:rsid w:val="005F5AA4"/>
    <w:rsid w:val="005F5AB7"/>
    <w:rsid w:val="005F5BAD"/>
    <w:rsid w:val="005F5DD4"/>
    <w:rsid w:val="005F5E45"/>
    <w:rsid w:val="005F6041"/>
    <w:rsid w:val="005F680B"/>
    <w:rsid w:val="005F6D5E"/>
    <w:rsid w:val="005F6EC5"/>
    <w:rsid w:val="005F735B"/>
    <w:rsid w:val="005F7389"/>
    <w:rsid w:val="005F74E3"/>
    <w:rsid w:val="005F7558"/>
    <w:rsid w:val="005F75E6"/>
    <w:rsid w:val="005F76E2"/>
    <w:rsid w:val="005F77B8"/>
    <w:rsid w:val="005F7915"/>
    <w:rsid w:val="005F7961"/>
    <w:rsid w:val="005F7A50"/>
    <w:rsid w:val="005F7AD1"/>
    <w:rsid w:val="005F7B98"/>
    <w:rsid w:val="005F7C66"/>
    <w:rsid w:val="005F7CE8"/>
    <w:rsid w:val="005F7E1F"/>
    <w:rsid w:val="005F7F13"/>
    <w:rsid w:val="005F7F88"/>
    <w:rsid w:val="006003CE"/>
    <w:rsid w:val="00600B49"/>
    <w:rsid w:val="00600BD7"/>
    <w:rsid w:val="00600D1A"/>
    <w:rsid w:val="00600DC5"/>
    <w:rsid w:val="00600E47"/>
    <w:rsid w:val="00600E60"/>
    <w:rsid w:val="00601153"/>
    <w:rsid w:val="00601306"/>
    <w:rsid w:val="0060172D"/>
    <w:rsid w:val="006017C6"/>
    <w:rsid w:val="006019E4"/>
    <w:rsid w:val="006019FD"/>
    <w:rsid w:val="00601CE5"/>
    <w:rsid w:val="00602040"/>
    <w:rsid w:val="00602175"/>
    <w:rsid w:val="0060259C"/>
    <w:rsid w:val="006029C1"/>
    <w:rsid w:val="00602BA9"/>
    <w:rsid w:val="00602C1A"/>
    <w:rsid w:val="00602C3E"/>
    <w:rsid w:val="00602D38"/>
    <w:rsid w:val="00602D3C"/>
    <w:rsid w:val="00602D5E"/>
    <w:rsid w:val="00603082"/>
    <w:rsid w:val="00603088"/>
    <w:rsid w:val="0060318A"/>
    <w:rsid w:val="00603226"/>
    <w:rsid w:val="00603256"/>
    <w:rsid w:val="006032EC"/>
    <w:rsid w:val="0060374A"/>
    <w:rsid w:val="00603F57"/>
    <w:rsid w:val="00604319"/>
    <w:rsid w:val="00604494"/>
    <w:rsid w:val="006045AF"/>
    <w:rsid w:val="00604D85"/>
    <w:rsid w:val="006051F7"/>
    <w:rsid w:val="00605669"/>
    <w:rsid w:val="0060597B"/>
    <w:rsid w:val="00605A93"/>
    <w:rsid w:val="00605E49"/>
    <w:rsid w:val="00605F6D"/>
    <w:rsid w:val="0060606A"/>
    <w:rsid w:val="00606174"/>
    <w:rsid w:val="006063BD"/>
    <w:rsid w:val="00606446"/>
    <w:rsid w:val="00606465"/>
    <w:rsid w:val="006068D5"/>
    <w:rsid w:val="00606A76"/>
    <w:rsid w:val="00606BAD"/>
    <w:rsid w:val="00606C8B"/>
    <w:rsid w:val="00606DF7"/>
    <w:rsid w:val="00606FA0"/>
    <w:rsid w:val="0060703A"/>
    <w:rsid w:val="00607284"/>
    <w:rsid w:val="006072E3"/>
    <w:rsid w:val="00607668"/>
    <w:rsid w:val="00607A2C"/>
    <w:rsid w:val="00607A35"/>
    <w:rsid w:val="00607DE0"/>
    <w:rsid w:val="00607ED7"/>
    <w:rsid w:val="00607F43"/>
    <w:rsid w:val="00610151"/>
    <w:rsid w:val="00610696"/>
    <w:rsid w:val="006107DE"/>
    <w:rsid w:val="00610A15"/>
    <w:rsid w:val="00611096"/>
    <w:rsid w:val="0061154C"/>
    <w:rsid w:val="006117DC"/>
    <w:rsid w:val="00611B19"/>
    <w:rsid w:val="00611BE3"/>
    <w:rsid w:val="00611C8D"/>
    <w:rsid w:val="00611D7B"/>
    <w:rsid w:val="006125D8"/>
    <w:rsid w:val="0061294E"/>
    <w:rsid w:val="0061313F"/>
    <w:rsid w:val="006134F6"/>
    <w:rsid w:val="006135AE"/>
    <w:rsid w:val="006135D5"/>
    <w:rsid w:val="006136E5"/>
    <w:rsid w:val="00613D2D"/>
    <w:rsid w:val="00613D53"/>
    <w:rsid w:val="00613D5F"/>
    <w:rsid w:val="00613E0E"/>
    <w:rsid w:val="00613EA8"/>
    <w:rsid w:val="0061403B"/>
    <w:rsid w:val="00614045"/>
    <w:rsid w:val="00614129"/>
    <w:rsid w:val="006141C7"/>
    <w:rsid w:val="0061429B"/>
    <w:rsid w:val="00614372"/>
    <w:rsid w:val="00614CE0"/>
    <w:rsid w:val="00614FDF"/>
    <w:rsid w:val="00614FF0"/>
    <w:rsid w:val="00615139"/>
    <w:rsid w:val="00615590"/>
    <w:rsid w:val="006157A3"/>
    <w:rsid w:val="00615B9E"/>
    <w:rsid w:val="00615CA7"/>
    <w:rsid w:val="006160F0"/>
    <w:rsid w:val="006162F6"/>
    <w:rsid w:val="00616518"/>
    <w:rsid w:val="0061693A"/>
    <w:rsid w:val="00616A09"/>
    <w:rsid w:val="00616C11"/>
    <w:rsid w:val="00616C60"/>
    <w:rsid w:val="00616D39"/>
    <w:rsid w:val="00616E41"/>
    <w:rsid w:val="00616EBF"/>
    <w:rsid w:val="00616FAF"/>
    <w:rsid w:val="006171D1"/>
    <w:rsid w:val="00617317"/>
    <w:rsid w:val="0061739E"/>
    <w:rsid w:val="006176CE"/>
    <w:rsid w:val="0061777D"/>
    <w:rsid w:val="0061797D"/>
    <w:rsid w:val="00617C5F"/>
    <w:rsid w:val="00617D66"/>
    <w:rsid w:val="00617E36"/>
    <w:rsid w:val="0062002D"/>
    <w:rsid w:val="006200E4"/>
    <w:rsid w:val="006206B8"/>
    <w:rsid w:val="00620722"/>
    <w:rsid w:val="00620734"/>
    <w:rsid w:val="0062079B"/>
    <w:rsid w:val="00620B1F"/>
    <w:rsid w:val="00620DCA"/>
    <w:rsid w:val="00621140"/>
    <w:rsid w:val="0062161C"/>
    <w:rsid w:val="00621643"/>
    <w:rsid w:val="006216F5"/>
    <w:rsid w:val="00621995"/>
    <w:rsid w:val="00621B17"/>
    <w:rsid w:val="00621D17"/>
    <w:rsid w:val="00621E32"/>
    <w:rsid w:val="0062218F"/>
    <w:rsid w:val="006226AB"/>
    <w:rsid w:val="0062297A"/>
    <w:rsid w:val="00622B11"/>
    <w:rsid w:val="00622DEB"/>
    <w:rsid w:val="00622DFF"/>
    <w:rsid w:val="00622FA3"/>
    <w:rsid w:val="00623B0D"/>
    <w:rsid w:val="00623B4B"/>
    <w:rsid w:val="00624613"/>
    <w:rsid w:val="0062472C"/>
    <w:rsid w:val="006247C9"/>
    <w:rsid w:val="00624973"/>
    <w:rsid w:val="00624B80"/>
    <w:rsid w:val="00624BA4"/>
    <w:rsid w:val="00624C27"/>
    <w:rsid w:val="00624EB1"/>
    <w:rsid w:val="00625080"/>
    <w:rsid w:val="006251C0"/>
    <w:rsid w:val="00625373"/>
    <w:rsid w:val="00625449"/>
    <w:rsid w:val="006255A1"/>
    <w:rsid w:val="00625A7A"/>
    <w:rsid w:val="00625C70"/>
    <w:rsid w:val="00625CC8"/>
    <w:rsid w:val="00625CFC"/>
    <w:rsid w:val="00625D0D"/>
    <w:rsid w:val="00625F74"/>
    <w:rsid w:val="006265B0"/>
    <w:rsid w:val="0062662A"/>
    <w:rsid w:val="00626963"/>
    <w:rsid w:val="006269F0"/>
    <w:rsid w:val="006269F4"/>
    <w:rsid w:val="00626AB4"/>
    <w:rsid w:val="00626F61"/>
    <w:rsid w:val="0062710A"/>
    <w:rsid w:val="006271B5"/>
    <w:rsid w:val="00627AA7"/>
    <w:rsid w:val="00627B15"/>
    <w:rsid w:val="00627BD0"/>
    <w:rsid w:val="00627BDE"/>
    <w:rsid w:val="0063021C"/>
    <w:rsid w:val="006303A4"/>
    <w:rsid w:val="006303F5"/>
    <w:rsid w:val="006308E0"/>
    <w:rsid w:val="00630B49"/>
    <w:rsid w:val="00630D07"/>
    <w:rsid w:val="00631150"/>
    <w:rsid w:val="006311B3"/>
    <w:rsid w:val="006315AD"/>
    <w:rsid w:val="006316B7"/>
    <w:rsid w:val="00631C4F"/>
    <w:rsid w:val="00631CE2"/>
    <w:rsid w:val="006322B5"/>
    <w:rsid w:val="006322C4"/>
    <w:rsid w:val="0063254C"/>
    <w:rsid w:val="006328A8"/>
    <w:rsid w:val="00632A06"/>
    <w:rsid w:val="00632EEA"/>
    <w:rsid w:val="00632FFA"/>
    <w:rsid w:val="00633104"/>
    <w:rsid w:val="006333DC"/>
    <w:rsid w:val="006334F8"/>
    <w:rsid w:val="006336A0"/>
    <w:rsid w:val="006336E9"/>
    <w:rsid w:val="00633B80"/>
    <w:rsid w:val="00633E7C"/>
    <w:rsid w:val="00633ED2"/>
    <w:rsid w:val="0063407C"/>
    <w:rsid w:val="00634174"/>
    <w:rsid w:val="006342FC"/>
    <w:rsid w:val="006346B2"/>
    <w:rsid w:val="006347DD"/>
    <w:rsid w:val="00634993"/>
    <w:rsid w:val="00634E8A"/>
    <w:rsid w:val="00634EB1"/>
    <w:rsid w:val="00635374"/>
    <w:rsid w:val="006353AB"/>
    <w:rsid w:val="006354AA"/>
    <w:rsid w:val="00635555"/>
    <w:rsid w:val="0063565D"/>
    <w:rsid w:val="00635709"/>
    <w:rsid w:val="006358A6"/>
    <w:rsid w:val="00635A31"/>
    <w:rsid w:val="00635C35"/>
    <w:rsid w:val="00635CAA"/>
    <w:rsid w:val="00635CC2"/>
    <w:rsid w:val="00635CC6"/>
    <w:rsid w:val="0063613D"/>
    <w:rsid w:val="0063617F"/>
    <w:rsid w:val="0063669A"/>
    <w:rsid w:val="00636702"/>
    <w:rsid w:val="006368C0"/>
    <w:rsid w:val="00636B48"/>
    <w:rsid w:val="00636BC5"/>
    <w:rsid w:val="00636F0B"/>
    <w:rsid w:val="00636F62"/>
    <w:rsid w:val="00637154"/>
    <w:rsid w:val="0063723E"/>
    <w:rsid w:val="00637300"/>
    <w:rsid w:val="00637684"/>
    <w:rsid w:val="00637B7B"/>
    <w:rsid w:val="00637B95"/>
    <w:rsid w:val="00637BF1"/>
    <w:rsid w:val="0064012D"/>
    <w:rsid w:val="006401CE"/>
    <w:rsid w:val="00640587"/>
    <w:rsid w:val="00640694"/>
    <w:rsid w:val="006407BC"/>
    <w:rsid w:val="00640AB4"/>
    <w:rsid w:val="00640C2C"/>
    <w:rsid w:val="00640C4A"/>
    <w:rsid w:val="00640C5C"/>
    <w:rsid w:val="006411A6"/>
    <w:rsid w:val="006411D7"/>
    <w:rsid w:val="006411ED"/>
    <w:rsid w:val="00641209"/>
    <w:rsid w:val="006412E9"/>
    <w:rsid w:val="00641319"/>
    <w:rsid w:val="00641A2A"/>
    <w:rsid w:val="00641D48"/>
    <w:rsid w:val="00641E8C"/>
    <w:rsid w:val="00641FBA"/>
    <w:rsid w:val="006421AE"/>
    <w:rsid w:val="006424D1"/>
    <w:rsid w:val="00642A3C"/>
    <w:rsid w:val="00642A77"/>
    <w:rsid w:val="00642B6F"/>
    <w:rsid w:val="00642D49"/>
    <w:rsid w:val="00642DEB"/>
    <w:rsid w:val="00642F6E"/>
    <w:rsid w:val="00642F8C"/>
    <w:rsid w:val="006430EE"/>
    <w:rsid w:val="0064333C"/>
    <w:rsid w:val="0064343F"/>
    <w:rsid w:val="00643525"/>
    <w:rsid w:val="00643554"/>
    <w:rsid w:val="006439E4"/>
    <w:rsid w:val="00643C88"/>
    <w:rsid w:val="00643D09"/>
    <w:rsid w:val="00643D60"/>
    <w:rsid w:val="00643F27"/>
    <w:rsid w:val="00643F4D"/>
    <w:rsid w:val="006442CA"/>
    <w:rsid w:val="00644448"/>
    <w:rsid w:val="006445A4"/>
    <w:rsid w:val="00644761"/>
    <w:rsid w:val="00644812"/>
    <w:rsid w:val="00644A2D"/>
    <w:rsid w:val="00644A6F"/>
    <w:rsid w:val="00644B5D"/>
    <w:rsid w:val="00644BCB"/>
    <w:rsid w:val="00644C7C"/>
    <w:rsid w:val="00644CB2"/>
    <w:rsid w:val="00644F15"/>
    <w:rsid w:val="00645015"/>
    <w:rsid w:val="0064502C"/>
    <w:rsid w:val="00645469"/>
    <w:rsid w:val="006455BB"/>
    <w:rsid w:val="006456A6"/>
    <w:rsid w:val="00645796"/>
    <w:rsid w:val="00645983"/>
    <w:rsid w:val="006459DE"/>
    <w:rsid w:val="00645BC5"/>
    <w:rsid w:val="00645C65"/>
    <w:rsid w:val="00645DA1"/>
    <w:rsid w:val="0064610A"/>
    <w:rsid w:val="006463C5"/>
    <w:rsid w:val="00646690"/>
    <w:rsid w:val="0064675A"/>
    <w:rsid w:val="00646854"/>
    <w:rsid w:val="00646ADF"/>
    <w:rsid w:val="00646D76"/>
    <w:rsid w:val="00646FC6"/>
    <w:rsid w:val="006470D4"/>
    <w:rsid w:val="0064722B"/>
    <w:rsid w:val="006478FE"/>
    <w:rsid w:val="00647A21"/>
    <w:rsid w:val="00647A60"/>
    <w:rsid w:val="00647B12"/>
    <w:rsid w:val="0065019B"/>
    <w:rsid w:val="00650384"/>
    <w:rsid w:val="0065041D"/>
    <w:rsid w:val="006507FC"/>
    <w:rsid w:val="00650A11"/>
    <w:rsid w:val="00650B9D"/>
    <w:rsid w:val="00650BA1"/>
    <w:rsid w:val="00650D76"/>
    <w:rsid w:val="006510AB"/>
    <w:rsid w:val="00651524"/>
    <w:rsid w:val="00651569"/>
    <w:rsid w:val="00651777"/>
    <w:rsid w:val="00651A8A"/>
    <w:rsid w:val="00651C52"/>
    <w:rsid w:val="00652370"/>
    <w:rsid w:val="0065238E"/>
    <w:rsid w:val="006525AE"/>
    <w:rsid w:val="0065298C"/>
    <w:rsid w:val="00652B7B"/>
    <w:rsid w:val="00652CE5"/>
    <w:rsid w:val="00652E80"/>
    <w:rsid w:val="006530F0"/>
    <w:rsid w:val="00653176"/>
    <w:rsid w:val="00653195"/>
    <w:rsid w:val="006531E7"/>
    <w:rsid w:val="00653305"/>
    <w:rsid w:val="006533B9"/>
    <w:rsid w:val="006533E3"/>
    <w:rsid w:val="0065342A"/>
    <w:rsid w:val="006539D7"/>
    <w:rsid w:val="006542F9"/>
    <w:rsid w:val="00654494"/>
    <w:rsid w:val="00654553"/>
    <w:rsid w:val="0065464E"/>
    <w:rsid w:val="00654799"/>
    <w:rsid w:val="006548CB"/>
    <w:rsid w:val="006549A8"/>
    <w:rsid w:val="00654D2F"/>
    <w:rsid w:val="00654D61"/>
    <w:rsid w:val="00654E47"/>
    <w:rsid w:val="0065502C"/>
    <w:rsid w:val="006551E8"/>
    <w:rsid w:val="006552E6"/>
    <w:rsid w:val="00655860"/>
    <w:rsid w:val="00655C29"/>
    <w:rsid w:val="006562E6"/>
    <w:rsid w:val="006563E8"/>
    <w:rsid w:val="00656594"/>
    <w:rsid w:val="006566B0"/>
    <w:rsid w:val="00656856"/>
    <w:rsid w:val="0065694A"/>
    <w:rsid w:val="0065695E"/>
    <w:rsid w:val="00656A1B"/>
    <w:rsid w:val="00656BC6"/>
    <w:rsid w:val="00656EC0"/>
    <w:rsid w:val="00656F1E"/>
    <w:rsid w:val="00656FE0"/>
    <w:rsid w:val="0065739B"/>
    <w:rsid w:val="00657848"/>
    <w:rsid w:val="006578FE"/>
    <w:rsid w:val="00657BD0"/>
    <w:rsid w:val="00660259"/>
    <w:rsid w:val="0066028F"/>
    <w:rsid w:val="0066039B"/>
    <w:rsid w:val="006603EE"/>
    <w:rsid w:val="0066079B"/>
    <w:rsid w:val="00660B99"/>
    <w:rsid w:val="00660BE7"/>
    <w:rsid w:val="00660D26"/>
    <w:rsid w:val="00660D2A"/>
    <w:rsid w:val="006610DA"/>
    <w:rsid w:val="00661232"/>
    <w:rsid w:val="006612E3"/>
    <w:rsid w:val="006613C0"/>
    <w:rsid w:val="006615AD"/>
    <w:rsid w:val="00661926"/>
    <w:rsid w:val="00661AC4"/>
    <w:rsid w:val="00661D6D"/>
    <w:rsid w:val="00661D9C"/>
    <w:rsid w:val="00661E03"/>
    <w:rsid w:val="00661E49"/>
    <w:rsid w:val="00662126"/>
    <w:rsid w:val="0066232E"/>
    <w:rsid w:val="006625A0"/>
    <w:rsid w:val="00662A96"/>
    <w:rsid w:val="00662DE0"/>
    <w:rsid w:val="006633BE"/>
    <w:rsid w:val="006633D5"/>
    <w:rsid w:val="00663484"/>
    <w:rsid w:val="00663B08"/>
    <w:rsid w:val="00663B1C"/>
    <w:rsid w:val="00663C58"/>
    <w:rsid w:val="00663EAE"/>
    <w:rsid w:val="00663F00"/>
    <w:rsid w:val="00663FE0"/>
    <w:rsid w:val="00664B5E"/>
    <w:rsid w:val="00664B6B"/>
    <w:rsid w:val="00664D80"/>
    <w:rsid w:val="00664DAC"/>
    <w:rsid w:val="00664FB9"/>
    <w:rsid w:val="0066549E"/>
    <w:rsid w:val="00665552"/>
    <w:rsid w:val="00665A37"/>
    <w:rsid w:val="00665DB7"/>
    <w:rsid w:val="00665F02"/>
    <w:rsid w:val="006660FA"/>
    <w:rsid w:val="006667A9"/>
    <w:rsid w:val="00666800"/>
    <w:rsid w:val="006668C1"/>
    <w:rsid w:val="00666ADE"/>
    <w:rsid w:val="00666AEB"/>
    <w:rsid w:val="00666DD1"/>
    <w:rsid w:val="00667360"/>
    <w:rsid w:val="0066752E"/>
    <w:rsid w:val="0066758B"/>
    <w:rsid w:val="00667855"/>
    <w:rsid w:val="006678D0"/>
    <w:rsid w:val="00667A42"/>
    <w:rsid w:val="00667CDA"/>
    <w:rsid w:val="00667CF9"/>
    <w:rsid w:val="00667D13"/>
    <w:rsid w:val="00670289"/>
    <w:rsid w:val="006703C6"/>
    <w:rsid w:val="006704BF"/>
    <w:rsid w:val="00670B5E"/>
    <w:rsid w:val="00670D28"/>
    <w:rsid w:val="0067127F"/>
    <w:rsid w:val="00671321"/>
    <w:rsid w:val="006714ED"/>
    <w:rsid w:val="00671B91"/>
    <w:rsid w:val="00671BA3"/>
    <w:rsid w:val="00671BA6"/>
    <w:rsid w:val="00671E2E"/>
    <w:rsid w:val="00671E60"/>
    <w:rsid w:val="006722B3"/>
    <w:rsid w:val="006723A0"/>
    <w:rsid w:val="00672581"/>
    <w:rsid w:val="006725A2"/>
    <w:rsid w:val="006727C4"/>
    <w:rsid w:val="006728AA"/>
    <w:rsid w:val="00672D02"/>
    <w:rsid w:val="00672D23"/>
    <w:rsid w:val="00672EF4"/>
    <w:rsid w:val="00673020"/>
    <w:rsid w:val="0067305C"/>
    <w:rsid w:val="0067335D"/>
    <w:rsid w:val="00673510"/>
    <w:rsid w:val="0067353B"/>
    <w:rsid w:val="0067378A"/>
    <w:rsid w:val="00673914"/>
    <w:rsid w:val="0067399A"/>
    <w:rsid w:val="006739AC"/>
    <w:rsid w:val="006739DA"/>
    <w:rsid w:val="00673A83"/>
    <w:rsid w:val="00673B22"/>
    <w:rsid w:val="006740E6"/>
    <w:rsid w:val="00674121"/>
    <w:rsid w:val="006743DC"/>
    <w:rsid w:val="006744CB"/>
    <w:rsid w:val="00674B4D"/>
    <w:rsid w:val="00674B7E"/>
    <w:rsid w:val="00674C5B"/>
    <w:rsid w:val="00674D73"/>
    <w:rsid w:val="00674D87"/>
    <w:rsid w:val="006751AA"/>
    <w:rsid w:val="006759C7"/>
    <w:rsid w:val="00675C96"/>
    <w:rsid w:val="0067611C"/>
    <w:rsid w:val="0067615C"/>
    <w:rsid w:val="0067634A"/>
    <w:rsid w:val="00676545"/>
    <w:rsid w:val="0067684F"/>
    <w:rsid w:val="0067697F"/>
    <w:rsid w:val="00676980"/>
    <w:rsid w:val="00676A47"/>
    <w:rsid w:val="00676C2A"/>
    <w:rsid w:val="00676DC7"/>
    <w:rsid w:val="00677137"/>
    <w:rsid w:val="006773AF"/>
    <w:rsid w:val="00677522"/>
    <w:rsid w:val="00677629"/>
    <w:rsid w:val="006777AB"/>
    <w:rsid w:val="006779E7"/>
    <w:rsid w:val="00677D56"/>
    <w:rsid w:val="00677E3B"/>
    <w:rsid w:val="00677F85"/>
    <w:rsid w:val="006801F3"/>
    <w:rsid w:val="006803B1"/>
    <w:rsid w:val="00680613"/>
    <w:rsid w:val="00680624"/>
    <w:rsid w:val="0068087E"/>
    <w:rsid w:val="0068098B"/>
    <w:rsid w:val="00680C0D"/>
    <w:rsid w:val="00680CCE"/>
    <w:rsid w:val="00680F59"/>
    <w:rsid w:val="006811E7"/>
    <w:rsid w:val="0068140F"/>
    <w:rsid w:val="00681415"/>
    <w:rsid w:val="00681445"/>
    <w:rsid w:val="00681BA6"/>
    <w:rsid w:val="00681CB6"/>
    <w:rsid w:val="00681DB2"/>
    <w:rsid w:val="00681E97"/>
    <w:rsid w:val="00682054"/>
    <w:rsid w:val="0068211D"/>
    <w:rsid w:val="00682140"/>
    <w:rsid w:val="0068256C"/>
    <w:rsid w:val="006825BD"/>
    <w:rsid w:val="00682781"/>
    <w:rsid w:val="006827B1"/>
    <w:rsid w:val="0068296A"/>
    <w:rsid w:val="00682BF7"/>
    <w:rsid w:val="00682EBA"/>
    <w:rsid w:val="00683293"/>
    <w:rsid w:val="006837B4"/>
    <w:rsid w:val="00683A0B"/>
    <w:rsid w:val="00683B00"/>
    <w:rsid w:val="00683C70"/>
    <w:rsid w:val="00683C71"/>
    <w:rsid w:val="00683C8F"/>
    <w:rsid w:val="00683D82"/>
    <w:rsid w:val="00683F5F"/>
    <w:rsid w:val="006840CB"/>
    <w:rsid w:val="0068432B"/>
    <w:rsid w:val="00684353"/>
    <w:rsid w:val="006845D3"/>
    <w:rsid w:val="00684760"/>
    <w:rsid w:val="006848E7"/>
    <w:rsid w:val="00684995"/>
    <w:rsid w:val="00684B48"/>
    <w:rsid w:val="006850B3"/>
    <w:rsid w:val="006854F7"/>
    <w:rsid w:val="00685669"/>
    <w:rsid w:val="0068582A"/>
    <w:rsid w:val="00685936"/>
    <w:rsid w:val="00685B22"/>
    <w:rsid w:val="00685C7C"/>
    <w:rsid w:val="00685E46"/>
    <w:rsid w:val="00685FAE"/>
    <w:rsid w:val="006860AB"/>
    <w:rsid w:val="00686508"/>
    <w:rsid w:val="006865C5"/>
    <w:rsid w:val="006865F3"/>
    <w:rsid w:val="00686C1F"/>
    <w:rsid w:val="00686E2E"/>
    <w:rsid w:val="0068723B"/>
    <w:rsid w:val="006872D5"/>
    <w:rsid w:val="0068739C"/>
    <w:rsid w:val="00687536"/>
    <w:rsid w:val="006875C0"/>
    <w:rsid w:val="0068767B"/>
    <w:rsid w:val="00687689"/>
    <w:rsid w:val="006876A3"/>
    <w:rsid w:val="0068786F"/>
    <w:rsid w:val="00687870"/>
    <w:rsid w:val="006879EF"/>
    <w:rsid w:val="00687B5E"/>
    <w:rsid w:val="00687FF1"/>
    <w:rsid w:val="0069043F"/>
    <w:rsid w:val="00690526"/>
    <w:rsid w:val="00690968"/>
    <w:rsid w:val="0069097D"/>
    <w:rsid w:val="00690995"/>
    <w:rsid w:val="00690BA9"/>
    <w:rsid w:val="00690BD9"/>
    <w:rsid w:val="00690D38"/>
    <w:rsid w:val="00690D86"/>
    <w:rsid w:val="00690F6B"/>
    <w:rsid w:val="00691049"/>
    <w:rsid w:val="0069111C"/>
    <w:rsid w:val="00691129"/>
    <w:rsid w:val="00691786"/>
    <w:rsid w:val="0069190D"/>
    <w:rsid w:val="006919B1"/>
    <w:rsid w:val="00691AC3"/>
    <w:rsid w:val="00691EEC"/>
    <w:rsid w:val="00691FB2"/>
    <w:rsid w:val="0069229F"/>
    <w:rsid w:val="00692333"/>
    <w:rsid w:val="006923BD"/>
    <w:rsid w:val="00692492"/>
    <w:rsid w:val="006924AE"/>
    <w:rsid w:val="006928F4"/>
    <w:rsid w:val="00692913"/>
    <w:rsid w:val="006929EC"/>
    <w:rsid w:val="00692A58"/>
    <w:rsid w:val="00692B52"/>
    <w:rsid w:val="00692D29"/>
    <w:rsid w:val="00692F98"/>
    <w:rsid w:val="00692FBE"/>
    <w:rsid w:val="006934D8"/>
    <w:rsid w:val="0069387A"/>
    <w:rsid w:val="00693D48"/>
    <w:rsid w:val="00693E51"/>
    <w:rsid w:val="00694133"/>
    <w:rsid w:val="006941B7"/>
    <w:rsid w:val="006942EF"/>
    <w:rsid w:val="006946AA"/>
    <w:rsid w:val="006946DC"/>
    <w:rsid w:val="006947C5"/>
    <w:rsid w:val="00694CCC"/>
    <w:rsid w:val="00694F2B"/>
    <w:rsid w:val="0069538E"/>
    <w:rsid w:val="006953B0"/>
    <w:rsid w:val="00695B43"/>
    <w:rsid w:val="00695DA9"/>
    <w:rsid w:val="0069617C"/>
    <w:rsid w:val="006962C8"/>
    <w:rsid w:val="00696982"/>
    <w:rsid w:val="00696D3E"/>
    <w:rsid w:val="00696F15"/>
    <w:rsid w:val="006970DA"/>
    <w:rsid w:val="006974C6"/>
    <w:rsid w:val="006975F4"/>
    <w:rsid w:val="00697646"/>
    <w:rsid w:val="006976FE"/>
    <w:rsid w:val="0069776F"/>
    <w:rsid w:val="0069777E"/>
    <w:rsid w:val="006978B7"/>
    <w:rsid w:val="00697A8C"/>
    <w:rsid w:val="00697B91"/>
    <w:rsid w:val="00697CE7"/>
    <w:rsid w:val="00697D5E"/>
    <w:rsid w:val="00697DF0"/>
    <w:rsid w:val="00697E47"/>
    <w:rsid w:val="00697F2B"/>
    <w:rsid w:val="006A00CF"/>
    <w:rsid w:val="006A02C6"/>
    <w:rsid w:val="006A061F"/>
    <w:rsid w:val="006A07FD"/>
    <w:rsid w:val="006A0D7C"/>
    <w:rsid w:val="006A0EE9"/>
    <w:rsid w:val="006A0F21"/>
    <w:rsid w:val="006A0F75"/>
    <w:rsid w:val="006A1052"/>
    <w:rsid w:val="006A106C"/>
    <w:rsid w:val="006A12F2"/>
    <w:rsid w:val="006A152D"/>
    <w:rsid w:val="006A1544"/>
    <w:rsid w:val="006A163A"/>
    <w:rsid w:val="006A16CE"/>
    <w:rsid w:val="006A1DC1"/>
    <w:rsid w:val="006A1EFB"/>
    <w:rsid w:val="006A1F66"/>
    <w:rsid w:val="006A207C"/>
    <w:rsid w:val="006A2183"/>
    <w:rsid w:val="006A2359"/>
    <w:rsid w:val="006A24DE"/>
    <w:rsid w:val="006A250F"/>
    <w:rsid w:val="006A263D"/>
    <w:rsid w:val="006A2A60"/>
    <w:rsid w:val="006A2E30"/>
    <w:rsid w:val="006A2E90"/>
    <w:rsid w:val="006A2ECA"/>
    <w:rsid w:val="006A3066"/>
    <w:rsid w:val="006A318E"/>
    <w:rsid w:val="006A31D4"/>
    <w:rsid w:val="006A368C"/>
    <w:rsid w:val="006A38FF"/>
    <w:rsid w:val="006A3D58"/>
    <w:rsid w:val="006A3D73"/>
    <w:rsid w:val="006A3E0C"/>
    <w:rsid w:val="006A3ECC"/>
    <w:rsid w:val="006A46BC"/>
    <w:rsid w:val="006A4759"/>
    <w:rsid w:val="006A4BEA"/>
    <w:rsid w:val="006A4F88"/>
    <w:rsid w:val="006A500D"/>
    <w:rsid w:val="006A501B"/>
    <w:rsid w:val="006A50A5"/>
    <w:rsid w:val="006A523D"/>
    <w:rsid w:val="006A5427"/>
    <w:rsid w:val="006A5431"/>
    <w:rsid w:val="006A553D"/>
    <w:rsid w:val="006A555B"/>
    <w:rsid w:val="006A559D"/>
    <w:rsid w:val="006A57CE"/>
    <w:rsid w:val="006A5934"/>
    <w:rsid w:val="006A5973"/>
    <w:rsid w:val="006A5AA4"/>
    <w:rsid w:val="006A5AD7"/>
    <w:rsid w:val="006A5CCB"/>
    <w:rsid w:val="006A5CFB"/>
    <w:rsid w:val="006A5E9D"/>
    <w:rsid w:val="006A6157"/>
    <w:rsid w:val="006A615F"/>
    <w:rsid w:val="006A645E"/>
    <w:rsid w:val="006A6555"/>
    <w:rsid w:val="006A66FB"/>
    <w:rsid w:val="006A6995"/>
    <w:rsid w:val="006A6D02"/>
    <w:rsid w:val="006A6D50"/>
    <w:rsid w:val="006A6E6B"/>
    <w:rsid w:val="006A720C"/>
    <w:rsid w:val="006A75FF"/>
    <w:rsid w:val="006A76F0"/>
    <w:rsid w:val="006A77FB"/>
    <w:rsid w:val="006A7C1A"/>
    <w:rsid w:val="006A7CAF"/>
    <w:rsid w:val="006B0071"/>
    <w:rsid w:val="006B00B3"/>
    <w:rsid w:val="006B00B5"/>
    <w:rsid w:val="006B05CD"/>
    <w:rsid w:val="006B062D"/>
    <w:rsid w:val="006B0A64"/>
    <w:rsid w:val="006B1354"/>
    <w:rsid w:val="006B14A9"/>
    <w:rsid w:val="006B1A0B"/>
    <w:rsid w:val="006B1A16"/>
    <w:rsid w:val="006B1ACD"/>
    <w:rsid w:val="006B1B51"/>
    <w:rsid w:val="006B1F1D"/>
    <w:rsid w:val="006B20F8"/>
    <w:rsid w:val="006B2461"/>
    <w:rsid w:val="006B2CB8"/>
    <w:rsid w:val="006B2E25"/>
    <w:rsid w:val="006B31EC"/>
    <w:rsid w:val="006B32FE"/>
    <w:rsid w:val="006B33B7"/>
    <w:rsid w:val="006B363E"/>
    <w:rsid w:val="006B3930"/>
    <w:rsid w:val="006B3A3F"/>
    <w:rsid w:val="006B3A85"/>
    <w:rsid w:val="006B3E96"/>
    <w:rsid w:val="006B412F"/>
    <w:rsid w:val="006B4164"/>
    <w:rsid w:val="006B41EE"/>
    <w:rsid w:val="006B44AD"/>
    <w:rsid w:val="006B463B"/>
    <w:rsid w:val="006B46D3"/>
    <w:rsid w:val="006B4809"/>
    <w:rsid w:val="006B4940"/>
    <w:rsid w:val="006B4C30"/>
    <w:rsid w:val="006B4E94"/>
    <w:rsid w:val="006B5185"/>
    <w:rsid w:val="006B537D"/>
    <w:rsid w:val="006B56CF"/>
    <w:rsid w:val="006B57FE"/>
    <w:rsid w:val="006B58B8"/>
    <w:rsid w:val="006B58E0"/>
    <w:rsid w:val="006B5ADD"/>
    <w:rsid w:val="006B5C41"/>
    <w:rsid w:val="006B5FB2"/>
    <w:rsid w:val="006B6193"/>
    <w:rsid w:val="006B61BB"/>
    <w:rsid w:val="006B61C6"/>
    <w:rsid w:val="006B6920"/>
    <w:rsid w:val="006B6945"/>
    <w:rsid w:val="006B6B71"/>
    <w:rsid w:val="006B6B94"/>
    <w:rsid w:val="006B6C10"/>
    <w:rsid w:val="006B73A4"/>
    <w:rsid w:val="006B73E7"/>
    <w:rsid w:val="006B74BA"/>
    <w:rsid w:val="006B75D1"/>
    <w:rsid w:val="006B7939"/>
    <w:rsid w:val="006B7967"/>
    <w:rsid w:val="006B7A4D"/>
    <w:rsid w:val="006B7A7F"/>
    <w:rsid w:val="006B7A82"/>
    <w:rsid w:val="006B7B43"/>
    <w:rsid w:val="006B7CF8"/>
    <w:rsid w:val="006B7D98"/>
    <w:rsid w:val="006B7FE6"/>
    <w:rsid w:val="006C00B6"/>
    <w:rsid w:val="006C0234"/>
    <w:rsid w:val="006C0404"/>
    <w:rsid w:val="006C06D8"/>
    <w:rsid w:val="006C078B"/>
    <w:rsid w:val="006C0803"/>
    <w:rsid w:val="006C0F4D"/>
    <w:rsid w:val="006C0F93"/>
    <w:rsid w:val="006C1108"/>
    <w:rsid w:val="006C1137"/>
    <w:rsid w:val="006C1164"/>
    <w:rsid w:val="006C11A6"/>
    <w:rsid w:val="006C13FA"/>
    <w:rsid w:val="006C19DF"/>
    <w:rsid w:val="006C1CAD"/>
    <w:rsid w:val="006C1FDA"/>
    <w:rsid w:val="006C241B"/>
    <w:rsid w:val="006C25CB"/>
    <w:rsid w:val="006C2811"/>
    <w:rsid w:val="006C318F"/>
    <w:rsid w:val="006C3700"/>
    <w:rsid w:val="006C3A5A"/>
    <w:rsid w:val="006C3A72"/>
    <w:rsid w:val="006C4222"/>
    <w:rsid w:val="006C42BB"/>
    <w:rsid w:val="006C43E5"/>
    <w:rsid w:val="006C4470"/>
    <w:rsid w:val="006C44C9"/>
    <w:rsid w:val="006C461F"/>
    <w:rsid w:val="006C4779"/>
    <w:rsid w:val="006C4D44"/>
    <w:rsid w:val="006C51CB"/>
    <w:rsid w:val="006C5258"/>
    <w:rsid w:val="006C536C"/>
    <w:rsid w:val="006C54DC"/>
    <w:rsid w:val="006C56D6"/>
    <w:rsid w:val="006C58F6"/>
    <w:rsid w:val="006C5986"/>
    <w:rsid w:val="006C59EF"/>
    <w:rsid w:val="006C5ABD"/>
    <w:rsid w:val="006C5AD9"/>
    <w:rsid w:val="006C5BD8"/>
    <w:rsid w:val="006C5D3F"/>
    <w:rsid w:val="006C5E49"/>
    <w:rsid w:val="006C5F7A"/>
    <w:rsid w:val="006C5FF6"/>
    <w:rsid w:val="006C623C"/>
    <w:rsid w:val="006C62A5"/>
    <w:rsid w:val="006C62CF"/>
    <w:rsid w:val="006C63C2"/>
    <w:rsid w:val="006C6773"/>
    <w:rsid w:val="006C67C0"/>
    <w:rsid w:val="006C6AC4"/>
    <w:rsid w:val="006C6D34"/>
    <w:rsid w:val="006C6E38"/>
    <w:rsid w:val="006C6FD7"/>
    <w:rsid w:val="006C702D"/>
    <w:rsid w:val="006C709D"/>
    <w:rsid w:val="006C759F"/>
    <w:rsid w:val="006C77EC"/>
    <w:rsid w:val="006C79A1"/>
    <w:rsid w:val="006C7A95"/>
    <w:rsid w:val="006C7AF4"/>
    <w:rsid w:val="006D01B2"/>
    <w:rsid w:val="006D046B"/>
    <w:rsid w:val="006D06E8"/>
    <w:rsid w:val="006D082D"/>
    <w:rsid w:val="006D085D"/>
    <w:rsid w:val="006D0AF4"/>
    <w:rsid w:val="006D0C2C"/>
    <w:rsid w:val="006D1075"/>
    <w:rsid w:val="006D108D"/>
    <w:rsid w:val="006D116E"/>
    <w:rsid w:val="006D1276"/>
    <w:rsid w:val="006D136C"/>
    <w:rsid w:val="006D14ED"/>
    <w:rsid w:val="006D1604"/>
    <w:rsid w:val="006D18F0"/>
    <w:rsid w:val="006D1ABA"/>
    <w:rsid w:val="006D1D7D"/>
    <w:rsid w:val="006D2012"/>
    <w:rsid w:val="006D238B"/>
    <w:rsid w:val="006D25BA"/>
    <w:rsid w:val="006D28A6"/>
    <w:rsid w:val="006D2D45"/>
    <w:rsid w:val="006D2FAB"/>
    <w:rsid w:val="006D30FD"/>
    <w:rsid w:val="006D3142"/>
    <w:rsid w:val="006D3359"/>
    <w:rsid w:val="006D3457"/>
    <w:rsid w:val="006D3691"/>
    <w:rsid w:val="006D3C89"/>
    <w:rsid w:val="006D3DA9"/>
    <w:rsid w:val="006D3E8D"/>
    <w:rsid w:val="006D3F9C"/>
    <w:rsid w:val="006D40F5"/>
    <w:rsid w:val="006D429B"/>
    <w:rsid w:val="006D43C0"/>
    <w:rsid w:val="006D472F"/>
    <w:rsid w:val="006D47F1"/>
    <w:rsid w:val="006D4D81"/>
    <w:rsid w:val="006D4DF0"/>
    <w:rsid w:val="006D4E05"/>
    <w:rsid w:val="006D4EE0"/>
    <w:rsid w:val="006D503A"/>
    <w:rsid w:val="006D5095"/>
    <w:rsid w:val="006D529F"/>
    <w:rsid w:val="006D5467"/>
    <w:rsid w:val="006D5812"/>
    <w:rsid w:val="006D5979"/>
    <w:rsid w:val="006D5D41"/>
    <w:rsid w:val="006D5FE1"/>
    <w:rsid w:val="006D6157"/>
    <w:rsid w:val="006D61D3"/>
    <w:rsid w:val="006D643C"/>
    <w:rsid w:val="006D65B6"/>
    <w:rsid w:val="006D669B"/>
    <w:rsid w:val="006D6707"/>
    <w:rsid w:val="006D6769"/>
    <w:rsid w:val="006D6AEA"/>
    <w:rsid w:val="006D6AFA"/>
    <w:rsid w:val="006D6DB8"/>
    <w:rsid w:val="006D6DEE"/>
    <w:rsid w:val="006D6F01"/>
    <w:rsid w:val="006D720E"/>
    <w:rsid w:val="006D7708"/>
    <w:rsid w:val="006D79AC"/>
    <w:rsid w:val="006D7C91"/>
    <w:rsid w:val="006E00EE"/>
    <w:rsid w:val="006E0342"/>
    <w:rsid w:val="006E03CD"/>
    <w:rsid w:val="006E0407"/>
    <w:rsid w:val="006E0855"/>
    <w:rsid w:val="006E0870"/>
    <w:rsid w:val="006E0FE8"/>
    <w:rsid w:val="006E1110"/>
    <w:rsid w:val="006E1609"/>
    <w:rsid w:val="006E1653"/>
    <w:rsid w:val="006E174D"/>
    <w:rsid w:val="006E1BAE"/>
    <w:rsid w:val="006E1DDD"/>
    <w:rsid w:val="006E1F60"/>
    <w:rsid w:val="006E2566"/>
    <w:rsid w:val="006E261E"/>
    <w:rsid w:val="006E268A"/>
    <w:rsid w:val="006E2BBF"/>
    <w:rsid w:val="006E2CD2"/>
    <w:rsid w:val="006E2F2E"/>
    <w:rsid w:val="006E2FC6"/>
    <w:rsid w:val="006E300B"/>
    <w:rsid w:val="006E3063"/>
    <w:rsid w:val="006E3079"/>
    <w:rsid w:val="006E339C"/>
    <w:rsid w:val="006E3438"/>
    <w:rsid w:val="006E351E"/>
    <w:rsid w:val="006E36F1"/>
    <w:rsid w:val="006E3739"/>
    <w:rsid w:val="006E37A7"/>
    <w:rsid w:val="006E3A89"/>
    <w:rsid w:val="006E3BCD"/>
    <w:rsid w:val="006E4047"/>
    <w:rsid w:val="006E4102"/>
    <w:rsid w:val="006E44F2"/>
    <w:rsid w:val="006E4C3F"/>
    <w:rsid w:val="006E4D8C"/>
    <w:rsid w:val="006E5235"/>
    <w:rsid w:val="006E57E4"/>
    <w:rsid w:val="006E5AC9"/>
    <w:rsid w:val="006E5C65"/>
    <w:rsid w:val="006E5DDD"/>
    <w:rsid w:val="006E5EDB"/>
    <w:rsid w:val="006E6035"/>
    <w:rsid w:val="006E60C9"/>
    <w:rsid w:val="006E62A4"/>
    <w:rsid w:val="006E62ED"/>
    <w:rsid w:val="006E6547"/>
    <w:rsid w:val="006E68BD"/>
    <w:rsid w:val="006E6F82"/>
    <w:rsid w:val="006E716D"/>
    <w:rsid w:val="006E7336"/>
    <w:rsid w:val="006E735B"/>
    <w:rsid w:val="006E7919"/>
    <w:rsid w:val="006E7E97"/>
    <w:rsid w:val="006E7F3F"/>
    <w:rsid w:val="006E7FB8"/>
    <w:rsid w:val="006F0235"/>
    <w:rsid w:val="006F0298"/>
    <w:rsid w:val="006F0398"/>
    <w:rsid w:val="006F06F1"/>
    <w:rsid w:val="006F0A61"/>
    <w:rsid w:val="006F0DAD"/>
    <w:rsid w:val="006F0E8E"/>
    <w:rsid w:val="006F1255"/>
    <w:rsid w:val="006F14B1"/>
    <w:rsid w:val="006F1DAA"/>
    <w:rsid w:val="006F22FE"/>
    <w:rsid w:val="006F237E"/>
    <w:rsid w:val="006F25F3"/>
    <w:rsid w:val="006F2729"/>
    <w:rsid w:val="006F282E"/>
    <w:rsid w:val="006F2D21"/>
    <w:rsid w:val="006F2E13"/>
    <w:rsid w:val="006F3101"/>
    <w:rsid w:val="006F32C4"/>
    <w:rsid w:val="006F352A"/>
    <w:rsid w:val="006F3932"/>
    <w:rsid w:val="006F3BA2"/>
    <w:rsid w:val="006F3E3D"/>
    <w:rsid w:val="006F3ECF"/>
    <w:rsid w:val="006F4354"/>
    <w:rsid w:val="006F43B5"/>
    <w:rsid w:val="006F43BA"/>
    <w:rsid w:val="006F4442"/>
    <w:rsid w:val="006F4A62"/>
    <w:rsid w:val="006F4F67"/>
    <w:rsid w:val="006F4FAE"/>
    <w:rsid w:val="006F505E"/>
    <w:rsid w:val="006F5225"/>
    <w:rsid w:val="006F5540"/>
    <w:rsid w:val="006F5558"/>
    <w:rsid w:val="006F574F"/>
    <w:rsid w:val="006F585E"/>
    <w:rsid w:val="006F5917"/>
    <w:rsid w:val="006F59AD"/>
    <w:rsid w:val="006F59AF"/>
    <w:rsid w:val="006F5A29"/>
    <w:rsid w:val="006F5C53"/>
    <w:rsid w:val="006F5D66"/>
    <w:rsid w:val="006F5E62"/>
    <w:rsid w:val="006F5F24"/>
    <w:rsid w:val="006F5F90"/>
    <w:rsid w:val="006F64B8"/>
    <w:rsid w:val="006F6548"/>
    <w:rsid w:val="006F6680"/>
    <w:rsid w:val="006F6687"/>
    <w:rsid w:val="006F684A"/>
    <w:rsid w:val="006F6C30"/>
    <w:rsid w:val="006F6D06"/>
    <w:rsid w:val="006F6E63"/>
    <w:rsid w:val="006F6FF0"/>
    <w:rsid w:val="006F7003"/>
    <w:rsid w:val="006F720A"/>
    <w:rsid w:val="006F7313"/>
    <w:rsid w:val="006F7684"/>
    <w:rsid w:val="006F7A20"/>
    <w:rsid w:val="006F7FF4"/>
    <w:rsid w:val="00700419"/>
    <w:rsid w:val="007005CC"/>
    <w:rsid w:val="00701100"/>
    <w:rsid w:val="007011A4"/>
    <w:rsid w:val="007014D9"/>
    <w:rsid w:val="00701803"/>
    <w:rsid w:val="00701A75"/>
    <w:rsid w:val="00701B37"/>
    <w:rsid w:val="00701BB8"/>
    <w:rsid w:val="00701CDC"/>
    <w:rsid w:val="0070224D"/>
    <w:rsid w:val="0070238A"/>
    <w:rsid w:val="007023A9"/>
    <w:rsid w:val="007024FE"/>
    <w:rsid w:val="00702527"/>
    <w:rsid w:val="007025CC"/>
    <w:rsid w:val="0070273E"/>
    <w:rsid w:val="0070277A"/>
    <w:rsid w:val="007028C4"/>
    <w:rsid w:val="00702BEE"/>
    <w:rsid w:val="00702BFF"/>
    <w:rsid w:val="00702C4E"/>
    <w:rsid w:val="00702F47"/>
    <w:rsid w:val="0070318E"/>
    <w:rsid w:val="00703219"/>
    <w:rsid w:val="007034BB"/>
    <w:rsid w:val="0070351B"/>
    <w:rsid w:val="0070352F"/>
    <w:rsid w:val="00703540"/>
    <w:rsid w:val="00703610"/>
    <w:rsid w:val="00703804"/>
    <w:rsid w:val="00703D99"/>
    <w:rsid w:val="0070408E"/>
    <w:rsid w:val="0070414E"/>
    <w:rsid w:val="007046DA"/>
    <w:rsid w:val="00704749"/>
    <w:rsid w:val="007047CC"/>
    <w:rsid w:val="00704907"/>
    <w:rsid w:val="0070493A"/>
    <w:rsid w:val="0070494E"/>
    <w:rsid w:val="00704A92"/>
    <w:rsid w:val="00704C9D"/>
    <w:rsid w:val="00704D1E"/>
    <w:rsid w:val="00704F62"/>
    <w:rsid w:val="00704FE4"/>
    <w:rsid w:val="00705074"/>
    <w:rsid w:val="007050DC"/>
    <w:rsid w:val="00705102"/>
    <w:rsid w:val="007057B5"/>
    <w:rsid w:val="00705810"/>
    <w:rsid w:val="00705A9C"/>
    <w:rsid w:val="00705BBB"/>
    <w:rsid w:val="00705CB3"/>
    <w:rsid w:val="00705D30"/>
    <w:rsid w:val="0070608A"/>
    <w:rsid w:val="00706346"/>
    <w:rsid w:val="007063B6"/>
    <w:rsid w:val="0070644D"/>
    <w:rsid w:val="007066C2"/>
    <w:rsid w:val="00706903"/>
    <w:rsid w:val="00706A6B"/>
    <w:rsid w:val="00706B41"/>
    <w:rsid w:val="00706E9D"/>
    <w:rsid w:val="00706EED"/>
    <w:rsid w:val="0070701D"/>
    <w:rsid w:val="0070723F"/>
    <w:rsid w:val="00707345"/>
    <w:rsid w:val="00707480"/>
    <w:rsid w:val="0070758A"/>
    <w:rsid w:val="00707600"/>
    <w:rsid w:val="007078E2"/>
    <w:rsid w:val="00707A5C"/>
    <w:rsid w:val="00707B43"/>
    <w:rsid w:val="00707D48"/>
    <w:rsid w:val="00707FA2"/>
    <w:rsid w:val="0071008D"/>
    <w:rsid w:val="007100F6"/>
    <w:rsid w:val="00710134"/>
    <w:rsid w:val="00710693"/>
    <w:rsid w:val="0071099C"/>
    <w:rsid w:val="007109C7"/>
    <w:rsid w:val="00710A51"/>
    <w:rsid w:val="00710A69"/>
    <w:rsid w:val="00710C81"/>
    <w:rsid w:val="00710C9D"/>
    <w:rsid w:val="00710DFF"/>
    <w:rsid w:val="00710F02"/>
    <w:rsid w:val="00711215"/>
    <w:rsid w:val="0071134F"/>
    <w:rsid w:val="0071137C"/>
    <w:rsid w:val="0071167E"/>
    <w:rsid w:val="00711975"/>
    <w:rsid w:val="00711A3D"/>
    <w:rsid w:val="00711BBF"/>
    <w:rsid w:val="00712210"/>
    <w:rsid w:val="00712550"/>
    <w:rsid w:val="00712752"/>
    <w:rsid w:val="00712A67"/>
    <w:rsid w:val="00712B42"/>
    <w:rsid w:val="00712BDE"/>
    <w:rsid w:val="00712C05"/>
    <w:rsid w:val="00712C15"/>
    <w:rsid w:val="00712E71"/>
    <w:rsid w:val="00712E80"/>
    <w:rsid w:val="00712EA7"/>
    <w:rsid w:val="00713012"/>
    <w:rsid w:val="00713293"/>
    <w:rsid w:val="0071331C"/>
    <w:rsid w:val="007134CA"/>
    <w:rsid w:val="0071362D"/>
    <w:rsid w:val="0071365C"/>
    <w:rsid w:val="007136E7"/>
    <w:rsid w:val="007137CC"/>
    <w:rsid w:val="0071380B"/>
    <w:rsid w:val="00713BC8"/>
    <w:rsid w:val="00714044"/>
    <w:rsid w:val="0071428C"/>
    <w:rsid w:val="007142A1"/>
    <w:rsid w:val="00714647"/>
    <w:rsid w:val="007148B8"/>
    <w:rsid w:val="0071492E"/>
    <w:rsid w:val="00714986"/>
    <w:rsid w:val="00714B1C"/>
    <w:rsid w:val="00714BE5"/>
    <w:rsid w:val="00714F38"/>
    <w:rsid w:val="007152B1"/>
    <w:rsid w:val="007153B5"/>
    <w:rsid w:val="00715527"/>
    <w:rsid w:val="00715702"/>
    <w:rsid w:val="00715809"/>
    <w:rsid w:val="00715B01"/>
    <w:rsid w:val="00715B49"/>
    <w:rsid w:val="00715D46"/>
    <w:rsid w:val="00715D73"/>
    <w:rsid w:val="00715FA5"/>
    <w:rsid w:val="00715FCB"/>
    <w:rsid w:val="00716603"/>
    <w:rsid w:val="007167EF"/>
    <w:rsid w:val="00716871"/>
    <w:rsid w:val="00716ABA"/>
    <w:rsid w:val="00716ACB"/>
    <w:rsid w:val="00716D6E"/>
    <w:rsid w:val="00716E51"/>
    <w:rsid w:val="00717202"/>
    <w:rsid w:val="007172AB"/>
    <w:rsid w:val="007172EF"/>
    <w:rsid w:val="007174F4"/>
    <w:rsid w:val="0071754E"/>
    <w:rsid w:val="00720083"/>
    <w:rsid w:val="007202BB"/>
    <w:rsid w:val="007202CE"/>
    <w:rsid w:val="00720437"/>
    <w:rsid w:val="00720878"/>
    <w:rsid w:val="00720AD9"/>
    <w:rsid w:val="00720B09"/>
    <w:rsid w:val="00720EFB"/>
    <w:rsid w:val="00721140"/>
    <w:rsid w:val="00721401"/>
    <w:rsid w:val="00721531"/>
    <w:rsid w:val="0072160B"/>
    <w:rsid w:val="00721836"/>
    <w:rsid w:val="00721A6C"/>
    <w:rsid w:val="00721C53"/>
    <w:rsid w:val="00721F2B"/>
    <w:rsid w:val="00721F94"/>
    <w:rsid w:val="00721FDE"/>
    <w:rsid w:val="0072207F"/>
    <w:rsid w:val="00722125"/>
    <w:rsid w:val="0072284A"/>
    <w:rsid w:val="00722898"/>
    <w:rsid w:val="007228F7"/>
    <w:rsid w:val="00722A50"/>
    <w:rsid w:val="00722DED"/>
    <w:rsid w:val="0072372F"/>
    <w:rsid w:val="00723B1D"/>
    <w:rsid w:val="00724025"/>
    <w:rsid w:val="0072431A"/>
    <w:rsid w:val="00724338"/>
    <w:rsid w:val="007243BF"/>
    <w:rsid w:val="007247F6"/>
    <w:rsid w:val="00724A83"/>
    <w:rsid w:val="00724C8C"/>
    <w:rsid w:val="0072523A"/>
    <w:rsid w:val="00725571"/>
    <w:rsid w:val="0072591B"/>
    <w:rsid w:val="007259A9"/>
    <w:rsid w:val="00725CB2"/>
    <w:rsid w:val="00725E92"/>
    <w:rsid w:val="00725FCA"/>
    <w:rsid w:val="00726408"/>
    <w:rsid w:val="00726710"/>
    <w:rsid w:val="00726737"/>
    <w:rsid w:val="007267CF"/>
    <w:rsid w:val="0072682D"/>
    <w:rsid w:val="0072696C"/>
    <w:rsid w:val="00726A0F"/>
    <w:rsid w:val="00726AED"/>
    <w:rsid w:val="00726CED"/>
    <w:rsid w:val="00726CF0"/>
    <w:rsid w:val="00726D3A"/>
    <w:rsid w:val="00726E0C"/>
    <w:rsid w:val="00726E93"/>
    <w:rsid w:val="007271F9"/>
    <w:rsid w:val="00727361"/>
    <w:rsid w:val="0072764C"/>
    <w:rsid w:val="00727847"/>
    <w:rsid w:val="00727C96"/>
    <w:rsid w:val="00727D99"/>
    <w:rsid w:val="00727EA8"/>
    <w:rsid w:val="00727ED6"/>
    <w:rsid w:val="0073028E"/>
    <w:rsid w:val="007303D2"/>
    <w:rsid w:val="007304ED"/>
    <w:rsid w:val="0073074A"/>
    <w:rsid w:val="00730B41"/>
    <w:rsid w:val="00730B5D"/>
    <w:rsid w:val="00730D32"/>
    <w:rsid w:val="00730DF5"/>
    <w:rsid w:val="00730F2E"/>
    <w:rsid w:val="00730FE7"/>
    <w:rsid w:val="007311E4"/>
    <w:rsid w:val="0073135D"/>
    <w:rsid w:val="0073137E"/>
    <w:rsid w:val="0073139D"/>
    <w:rsid w:val="007317DF"/>
    <w:rsid w:val="007318B7"/>
    <w:rsid w:val="00731CE4"/>
    <w:rsid w:val="00731D1B"/>
    <w:rsid w:val="00731DEF"/>
    <w:rsid w:val="00732178"/>
    <w:rsid w:val="0073292B"/>
    <w:rsid w:val="00732AED"/>
    <w:rsid w:val="00732C14"/>
    <w:rsid w:val="00732E28"/>
    <w:rsid w:val="00732F2B"/>
    <w:rsid w:val="00733341"/>
    <w:rsid w:val="00733574"/>
    <w:rsid w:val="00733DB1"/>
    <w:rsid w:val="007342D1"/>
    <w:rsid w:val="007342EA"/>
    <w:rsid w:val="007342EB"/>
    <w:rsid w:val="0073435B"/>
    <w:rsid w:val="0073445D"/>
    <w:rsid w:val="007345BC"/>
    <w:rsid w:val="007347EE"/>
    <w:rsid w:val="00734B41"/>
    <w:rsid w:val="00734DB3"/>
    <w:rsid w:val="00735069"/>
    <w:rsid w:val="00735097"/>
    <w:rsid w:val="00735654"/>
    <w:rsid w:val="007356BC"/>
    <w:rsid w:val="00735967"/>
    <w:rsid w:val="0073600D"/>
    <w:rsid w:val="00736253"/>
    <w:rsid w:val="007362EC"/>
    <w:rsid w:val="00736352"/>
    <w:rsid w:val="0073638C"/>
    <w:rsid w:val="007364CB"/>
    <w:rsid w:val="00736581"/>
    <w:rsid w:val="007366BB"/>
    <w:rsid w:val="00736934"/>
    <w:rsid w:val="00736AAB"/>
    <w:rsid w:val="00736B7C"/>
    <w:rsid w:val="00736C2C"/>
    <w:rsid w:val="00736C63"/>
    <w:rsid w:val="007375FD"/>
    <w:rsid w:val="007378B0"/>
    <w:rsid w:val="00737E53"/>
    <w:rsid w:val="007400A4"/>
    <w:rsid w:val="007400B6"/>
    <w:rsid w:val="007401FB"/>
    <w:rsid w:val="0074023B"/>
    <w:rsid w:val="007403C9"/>
    <w:rsid w:val="007405AB"/>
    <w:rsid w:val="007405AC"/>
    <w:rsid w:val="007406AC"/>
    <w:rsid w:val="00740C47"/>
    <w:rsid w:val="0074105D"/>
    <w:rsid w:val="007410E5"/>
    <w:rsid w:val="007413D2"/>
    <w:rsid w:val="0074147A"/>
    <w:rsid w:val="007418BD"/>
    <w:rsid w:val="00741B18"/>
    <w:rsid w:val="00741D3E"/>
    <w:rsid w:val="00741D72"/>
    <w:rsid w:val="00741E99"/>
    <w:rsid w:val="00741EF6"/>
    <w:rsid w:val="00741F1D"/>
    <w:rsid w:val="00741FCB"/>
    <w:rsid w:val="0074222B"/>
    <w:rsid w:val="00742465"/>
    <w:rsid w:val="00742689"/>
    <w:rsid w:val="00742713"/>
    <w:rsid w:val="00742BCD"/>
    <w:rsid w:val="0074322A"/>
    <w:rsid w:val="00743277"/>
    <w:rsid w:val="0074334F"/>
    <w:rsid w:val="007438DB"/>
    <w:rsid w:val="00743B37"/>
    <w:rsid w:val="00743EBD"/>
    <w:rsid w:val="00743FB6"/>
    <w:rsid w:val="0074411A"/>
    <w:rsid w:val="00744243"/>
    <w:rsid w:val="0074464B"/>
    <w:rsid w:val="00744726"/>
    <w:rsid w:val="00744D61"/>
    <w:rsid w:val="00744E3A"/>
    <w:rsid w:val="00744ED4"/>
    <w:rsid w:val="00744F9C"/>
    <w:rsid w:val="00745013"/>
    <w:rsid w:val="0074509C"/>
    <w:rsid w:val="00745437"/>
    <w:rsid w:val="00745A60"/>
    <w:rsid w:val="00745AD5"/>
    <w:rsid w:val="00745D75"/>
    <w:rsid w:val="00745E84"/>
    <w:rsid w:val="00745F79"/>
    <w:rsid w:val="00745F85"/>
    <w:rsid w:val="00746181"/>
    <w:rsid w:val="007461A4"/>
    <w:rsid w:val="00746453"/>
    <w:rsid w:val="007466B7"/>
    <w:rsid w:val="007466B8"/>
    <w:rsid w:val="007467B9"/>
    <w:rsid w:val="007467E5"/>
    <w:rsid w:val="007467EE"/>
    <w:rsid w:val="007468E6"/>
    <w:rsid w:val="007468FA"/>
    <w:rsid w:val="00746B0A"/>
    <w:rsid w:val="00746CA1"/>
    <w:rsid w:val="00746EE0"/>
    <w:rsid w:val="00746F50"/>
    <w:rsid w:val="0074731B"/>
    <w:rsid w:val="00747651"/>
    <w:rsid w:val="007476F1"/>
    <w:rsid w:val="00747889"/>
    <w:rsid w:val="0074799F"/>
    <w:rsid w:val="00747C78"/>
    <w:rsid w:val="00747D73"/>
    <w:rsid w:val="00747E58"/>
    <w:rsid w:val="00747F32"/>
    <w:rsid w:val="00750100"/>
    <w:rsid w:val="00750181"/>
    <w:rsid w:val="007501D4"/>
    <w:rsid w:val="007502DD"/>
    <w:rsid w:val="007507E8"/>
    <w:rsid w:val="00750ACE"/>
    <w:rsid w:val="00750CB1"/>
    <w:rsid w:val="00750F06"/>
    <w:rsid w:val="007511B8"/>
    <w:rsid w:val="007511E7"/>
    <w:rsid w:val="00751229"/>
    <w:rsid w:val="0075170D"/>
    <w:rsid w:val="00751AAE"/>
    <w:rsid w:val="00751AE2"/>
    <w:rsid w:val="00752290"/>
    <w:rsid w:val="00752303"/>
    <w:rsid w:val="00752977"/>
    <w:rsid w:val="00752AA4"/>
    <w:rsid w:val="00752B4D"/>
    <w:rsid w:val="00752D60"/>
    <w:rsid w:val="007531F6"/>
    <w:rsid w:val="0075376C"/>
    <w:rsid w:val="007537A2"/>
    <w:rsid w:val="007537CF"/>
    <w:rsid w:val="007538C7"/>
    <w:rsid w:val="007538E4"/>
    <w:rsid w:val="00753BA2"/>
    <w:rsid w:val="00753C74"/>
    <w:rsid w:val="00753CBA"/>
    <w:rsid w:val="00753DD9"/>
    <w:rsid w:val="00753E3C"/>
    <w:rsid w:val="00753E8F"/>
    <w:rsid w:val="0075400A"/>
    <w:rsid w:val="007545C6"/>
    <w:rsid w:val="007545E0"/>
    <w:rsid w:val="0075485F"/>
    <w:rsid w:val="00754A09"/>
    <w:rsid w:val="00754B07"/>
    <w:rsid w:val="00754BEA"/>
    <w:rsid w:val="0075505A"/>
    <w:rsid w:val="007550B4"/>
    <w:rsid w:val="007551B1"/>
    <w:rsid w:val="0075533F"/>
    <w:rsid w:val="00755760"/>
    <w:rsid w:val="00755846"/>
    <w:rsid w:val="00755A40"/>
    <w:rsid w:val="00755A9E"/>
    <w:rsid w:val="00755AB3"/>
    <w:rsid w:val="00755C21"/>
    <w:rsid w:val="00755D1C"/>
    <w:rsid w:val="00755F4B"/>
    <w:rsid w:val="0075601F"/>
    <w:rsid w:val="007564AC"/>
    <w:rsid w:val="00756915"/>
    <w:rsid w:val="00756999"/>
    <w:rsid w:val="00756B38"/>
    <w:rsid w:val="00756BAD"/>
    <w:rsid w:val="00756C2C"/>
    <w:rsid w:val="00756D03"/>
    <w:rsid w:val="00756D06"/>
    <w:rsid w:val="00757304"/>
    <w:rsid w:val="007574DE"/>
    <w:rsid w:val="007575FD"/>
    <w:rsid w:val="007576AE"/>
    <w:rsid w:val="0075780A"/>
    <w:rsid w:val="007578C7"/>
    <w:rsid w:val="00757961"/>
    <w:rsid w:val="00757E6C"/>
    <w:rsid w:val="00757F9D"/>
    <w:rsid w:val="0076000A"/>
    <w:rsid w:val="0076013B"/>
    <w:rsid w:val="0076030E"/>
    <w:rsid w:val="007603F5"/>
    <w:rsid w:val="00760525"/>
    <w:rsid w:val="0076067C"/>
    <w:rsid w:val="00760744"/>
    <w:rsid w:val="00760910"/>
    <w:rsid w:val="00760BD1"/>
    <w:rsid w:val="00761008"/>
    <w:rsid w:val="00761037"/>
    <w:rsid w:val="00761319"/>
    <w:rsid w:val="007617F6"/>
    <w:rsid w:val="0076182A"/>
    <w:rsid w:val="00761A8C"/>
    <w:rsid w:val="00761CB0"/>
    <w:rsid w:val="00761CBB"/>
    <w:rsid w:val="00761D7B"/>
    <w:rsid w:val="00761DF0"/>
    <w:rsid w:val="00762005"/>
    <w:rsid w:val="007625D8"/>
    <w:rsid w:val="007627E9"/>
    <w:rsid w:val="00762A86"/>
    <w:rsid w:val="00762ADF"/>
    <w:rsid w:val="00762B38"/>
    <w:rsid w:val="00762BCE"/>
    <w:rsid w:val="00763365"/>
    <w:rsid w:val="00763D4C"/>
    <w:rsid w:val="00763F93"/>
    <w:rsid w:val="00764067"/>
    <w:rsid w:val="00764611"/>
    <w:rsid w:val="00764640"/>
    <w:rsid w:val="00764D5C"/>
    <w:rsid w:val="00765009"/>
    <w:rsid w:val="00765010"/>
    <w:rsid w:val="007653D3"/>
    <w:rsid w:val="007657AD"/>
    <w:rsid w:val="00765AAF"/>
    <w:rsid w:val="00765E26"/>
    <w:rsid w:val="00766479"/>
    <w:rsid w:val="00766576"/>
    <w:rsid w:val="007669C3"/>
    <w:rsid w:val="00766CC3"/>
    <w:rsid w:val="00766FB9"/>
    <w:rsid w:val="007670E9"/>
    <w:rsid w:val="007675EB"/>
    <w:rsid w:val="007676C3"/>
    <w:rsid w:val="00767B04"/>
    <w:rsid w:val="00767C7E"/>
    <w:rsid w:val="00770208"/>
    <w:rsid w:val="0077042F"/>
    <w:rsid w:val="007704B6"/>
    <w:rsid w:val="007708A1"/>
    <w:rsid w:val="0077091E"/>
    <w:rsid w:val="00770AE9"/>
    <w:rsid w:val="00770DBE"/>
    <w:rsid w:val="00770F62"/>
    <w:rsid w:val="00770F67"/>
    <w:rsid w:val="00771061"/>
    <w:rsid w:val="00771493"/>
    <w:rsid w:val="00771522"/>
    <w:rsid w:val="007715C3"/>
    <w:rsid w:val="007717EA"/>
    <w:rsid w:val="00771B6E"/>
    <w:rsid w:val="00771CA5"/>
    <w:rsid w:val="00771CC1"/>
    <w:rsid w:val="00771CD1"/>
    <w:rsid w:val="00771DC3"/>
    <w:rsid w:val="00771DD4"/>
    <w:rsid w:val="00771E19"/>
    <w:rsid w:val="00771EDE"/>
    <w:rsid w:val="00771F68"/>
    <w:rsid w:val="007722B2"/>
    <w:rsid w:val="007724C6"/>
    <w:rsid w:val="00772519"/>
    <w:rsid w:val="007726F6"/>
    <w:rsid w:val="0077271B"/>
    <w:rsid w:val="007728DF"/>
    <w:rsid w:val="0077291C"/>
    <w:rsid w:val="00772A0E"/>
    <w:rsid w:val="00772DAF"/>
    <w:rsid w:val="0077360C"/>
    <w:rsid w:val="00773835"/>
    <w:rsid w:val="00773A69"/>
    <w:rsid w:val="00773A91"/>
    <w:rsid w:val="00773AB3"/>
    <w:rsid w:val="00773CA8"/>
    <w:rsid w:val="00773D16"/>
    <w:rsid w:val="00774120"/>
    <w:rsid w:val="00774274"/>
    <w:rsid w:val="007742C8"/>
    <w:rsid w:val="007744CD"/>
    <w:rsid w:val="007745BA"/>
    <w:rsid w:val="007746B2"/>
    <w:rsid w:val="0077483D"/>
    <w:rsid w:val="00774853"/>
    <w:rsid w:val="00774ADC"/>
    <w:rsid w:val="00774ADE"/>
    <w:rsid w:val="00774C04"/>
    <w:rsid w:val="00774EF3"/>
    <w:rsid w:val="00775636"/>
    <w:rsid w:val="00775713"/>
    <w:rsid w:val="00775755"/>
    <w:rsid w:val="00775923"/>
    <w:rsid w:val="007759CB"/>
    <w:rsid w:val="00775BB1"/>
    <w:rsid w:val="00775CE5"/>
    <w:rsid w:val="00775E92"/>
    <w:rsid w:val="00775FD3"/>
    <w:rsid w:val="0077607F"/>
    <w:rsid w:val="00776460"/>
    <w:rsid w:val="007766E8"/>
    <w:rsid w:val="00776A1B"/>
    <w:rsid w:val="00776AA9"/>
    <w:rsid w:val="0077717C"/>
    <w:rsid w:val="00777196"/>
    <w:rsid w:val="007771DF"/>
    <w:rsid w:val="00777204"/>
    <w:rsid w:val="00777375"/>
    <w:rsid w:val="00777512"/>
    <w:rsid w:val="00777572"/>
    <w:rsid w:val="00777822"/>
    <w:rsid w:val="007778AE"/>
    <w:rsid w:val="007778CB"/>
    <w:rsid w:val="0077792C"/>
    <w:rsid w:val="00777A8A"/>
    <w:rsid w:val="00777E28"/>
    <w:rsid w:val="00780359"/>
    <w:rsid w:val="007803EF"/>
    <w:rsid w:val="00780412"/>
    <w:rsid w:val="00780817"/>
    <w:rsid w:val="00780B98"/>
    <w:rsid w:val="00780CFC"/>
    <w:rsid w:val="00780F32"/>
    <w:rsid w:val="007810C2"/>
    <w:rsid w:val="007810D0"/>
    <w:rsid w:val="0078132F"/>
    <w:rsid w:val="00781346"/>
    <w:rsid w:val="007813C0"/>
    <w:rsid w:val="00781455"/>
    <w:rsid w:val="007814C1"/>
    <w:rsid w:val="00781700"/>
    <w:rsid w:val="00781954"/>
    <w:rsid w:val="00781A86"/>
    <w:rsid w:val="00781EFC"/>
    <w:rsid w:val="00781FE4"/>
    <w:rsid w:val="007821DE"/>
    <w:rsid w:val="007822EB"/>
    <w:rsid w:val="007824B3"/>
    <w:rsid w:val="00782652"/>
    <w:rsid w:val="007826C4"/>
    <w:rsid w:val="007829F4"/>
    <w:rsid w:val="00782F8B"/>
    <w:rsid w:val="007839B7"/>
    <w:rsid w:val="00783B0C"/>
    <w:rsid w:val="00783D84"/>
    <w:rsid w:val="00783F19"/>
    <w:rsid w:val="00784008"/>
    <w:rsid w:val="00784100"/>
    <w:rsid w:val="00784173"/>
    <w:rsid w:val="0078467C"/>
    <w:rsid w:val="00784A25"/>
    <w:rsid w:val="00784A37"/>
    <w:rsid w:val="00784B15"/>
    <w:rsid w:val="00785056"/>
    <w:rsid w:val="007851F4"/>
    <w:rsid w:val="0078526C"/>
    <w:rsid w:val="0078535F"/>
    <w:rsid w:val="0078556F"/>
    <w:rsid w:val="00785611"/>
    <w:rsid w:val="007858E0"/>
    <w:rsid w:val="007858E8"/>
    <w:rsid w:val="00785CDC"/>
    <w:rsid w:val="00785F36"/>
    <w:rsid w:val="0078614C"/>
    <w:rsid w:val="00786236"/>
    <w:rsid w:val="0078684A"/>
    <w:rsid w:val="0078691F"/>
    <w:rsid w:val="00786998"/>
    <w:rsid w:val="00786A7A"/>
    <w:rsid w:val="00786BC7"/>
    <w:rsid w:val="00786E39"/>
    <w:rsid w:val="0078700D"/>
    <w:rsid w:val="00787191"/>
    <w:rsid w:val="007871CB"/>
    <w:rsid w:val="007871F4"/>
    <w:rsid w:val="007876C0"/>
    <w:rsid w:val="00787775"/>
    <w:rsid w:val="00787B0A"/>
    <w:rsid w:val="00787C7F"/>
    <w:rsid w:val="00787D04"/>
    <w:rsid w:val="00787E16"/>
    <w:rsid w:val="00790347"/>
    <w:rsid w:val="00790380"/>
    <w:rsid w:val="00790548"/>
    <w:rsid w:val="007905A1"/>
    <w:rsid w:val="007905C4"/>
    <w:rsid w:val="00790726"/>
    <w:rsid w:val="00790771"/>
    <w:rsid w:val="00790A60"/>
    <w:rsid w:val="00790B7E"/>
    <w:rsid w:val="00790C32"/>
    <w:rsid w:val="00790CA3"/>
    <w:rsid w:val="00790DEB"/>
    <w:rsid w:val="00791290"/>
    <w:rsid w:val="00791377"/>
    <w:rsid w:val="007913BC"/>
    <w:rsid w:val="007915C4"/>
    <w:rsid w:val="007918E0"/>
    <w:rsid w:val="00791EA3"/>
    <w:rsid w:val="007920E9"/>
    <w:rsid w:val="00792348"/>
    <w:rsid w:val="007927E9"/>
    <w:rsid w:val="00792A22"/>
    <w:rsid w:val="00792BD1"/>
    <w:rsid w:val="00792C99"/>
    <w:rsid w:val="00792ECE"/>
    <w:rsid w:val="00792FDD"/>
    <w:rsid w:val="007930CA"/>
    <w:rsid w:val="0079336F"/>
    <w:rsid w:val="0079356E"/>
    <w:rsid w:val="00793C26"/>
    <w:rsid w:val="00793C90"/>
    <w:rsid w:val="00793DDA"/>
    <w:rsid w:val="007942FA"/>
    <w:rsid w:val="0079432C"/>
    <w:rsid w:val="00794522"/>
    <w:rsid w:val="00794526"/>
    <w:rsid w:val="00794744"/>
    <w:rsid w:val="00794927"/>
    <w:rsid w:val="00794B0F"/>
    <w:rsid w:val="00794B12"/>
    <w:rsid w:val="00794E08"/>
    <w:rsid w:val="00794E60"/>
    <w:rsid w:val="00794EF1"/>
    <w:rsid w:val="00794FD2"/>
    <w:rsid w:val="00795292"/>
    <w:rsid w:val="00795E5F"/>
    <w:rsid w:val="00795EF2"/>
    <w:rsid w:val="00795FC9"/>
    <w:rsid w:val="007962A4"/>
    <w:rsid w:val="007962DC"/>
    <w:rsid w:val="007963F4"/>
    <w:rsid w:val="00796432"/>
    <w:rsid w:val="00796566"/>
    <w:rsid w:val="0079671A"/>
    <w:rsid w:val="0079671F"/>
    <w:rsid w:val="00796CE7"/>
    <w:rsid w:val="00796F1F"/>
    <w:rsid w:val="0079711A"/>
    <w:rsid w:val="00797686"/>
    <w:rsid w:val="007978A1"/>
    <w:rsid w:val="00797AC4"/>
    <w:rsid w:val="00797B9D"/>
    <w:rsid w:val="00797C31"/>
    <w:rsid w:val="00797DDE"/>
    <w:rsid w:val="00797E2F"/>
    <w:rsid w:val="007A0137"/>
    <w:rsid w:val="007A0187"/>
    <w:rsid w:val="007A0357"/>
    <w:rsid w:val="007A039C"/>
    <w:rsid w:val="007A05EC"/>
    <w:rsid w:val="007A061C"/>
    <w:rsid w:val="007A0707"/>
    <w:rsid w:val="007A0930"/>
    <w:rsid w:val="007A09B7"/>
    <w:rsid w:val="007A0AA9"/>
    <w:rsid w:val="007A0ABF"/>
    <w:rsid w:val="007A0E9A"/>
    <w:rsid w:val="007A10B6"/>
    <w:rsid w:val="007A1327"/>
    <w:rsid w:val="007A1479"/>
    <w:rsid w:val="007A1625"/>
    <w:rsid w:val="007A1714"/>
    <w:rsid w:val="007A1948"/>
    <w:rsid w:val="007A1C33"/>
    <w:rsid w:val="007A22B8"/>
    <w:rsid w:val="007A22EB"/>
    <w:rsid w:val="007A231D"/>
    <w:rsid w:val="007A2B49"/>
    <w:rsid w:val="007A2C4C"/>
    <w:rsid w:val="007A31A0"/>
    <w:rsid w:val="007A3291"/>
    <w:rsid w:val="007A349D"/>
    <w:rsid w:val="007A36D4"/>
    <w:rsid w:val="007A37B3"/>
    <w:rsid w:val="007A3852"/>
    <w:rsid w:val="007A38A1"/>
    <w:rsid w:val="007A399F"/>
    <w:rsid w:val="007A3AE1"/>
    <w:rsid w:val="007A3B62"/>
    <w:rsid w:val="007A3D0A"/>
    <w:rsid w:val="007A405A"/>
    <w:rsid w:val="007A4258"/>
    <w:rsid w:val="007A4892"/>
    <w:rsid w:val="007A4962"/>
    <w:rsid w:val="007A49C8"/>
    <w:rsid w:val="007A4AA3"/>
    <w:rsid w:val="007A4B7A"/>
    <w:rsid w:val="007A4DC8"/>
    <w:rsid w:val="007A4F3B"/>
    <w:rsid w:val="007A521C"/>
    <w:rsid w:val="007A52D8"/>
    <w:rsid w:val="007A5571"/>
    <w:rsid w:val="007A5819"/>
    <w:rsid w:val="007A5B11"/>
    <w:rsid w:val="007A5C9C"/>
    <w:rsid w:val="007A629D"/>
    <w:rsid w:val="007A6473"/>
    <w:rsid w:val="007A65F5"/>
    <w:rsid w:val="007A667D"/>
    <w:rsid w:val="007A6686"/>
    <w:rsid w:val="007A6916"/>
    <w:rsid w:val="007A6BD7"/>
    <w:rsid w:val="007A6CC4"/>
    <w:rsid w:val="007A6EA9"/>
    <w:rsid w:val="007A70BB"/>
    <w:rsid w:val="007A7214"/>
    <w:rsid w:val="007A7439"/>
    <w:rsid w:val="007A745F"/>
    <w:rsid w:val="007A762E"/>
    <w:rsid w:val="007A7749"/>
    <w:rsid w:val="007A7CBC"/>
    <w:rsid w:val="007A7D74"/>
    <w:rsid w:val="007A7EA7"/>
    <w:rsid w:val="007A7F68"/>
    <w:rsid w:val="007A7FFB"/>
    <w:rsid w:val="007B00AC"/>
    <w:rsid w:val="007B0709"/>
    <w:rsid w:val="007B0A83"/>
    <w:rsid w:val="007B0B02"/>
    <w:rsid w:val="007B0B44"/>
    <w:rsid w:val="007B0B80"/>
    <w:rsid w:val="007B0DE6"/>
    <w:rsid w:val="007B0E5A"/>
    <w:rsid w:val="007B0EE9"/>
    <w:rsid w:val="007B0F88"/>
    <w:rsid w:val="007B120A"/>
    <w:rsid w:val="007B129D"/>
    <w:rsid w:val="007B12F8"/>
    <w:rsid w:val="007B1328"/>
    <w:rsid w:val="007B1338"/>
    <w:rsid w:val="007B1354"/>
    <w:rsid w:val="007B136F"/>
    <w:rsid w:val="007B1547"/>
    <w:rsid w:val="007B2218"/>
    <w:rsid w:val="007B2409"/>
    <w:rsid w:val="007B24A8"/>
    <w:rsid w:val="007B2574"/>
    <w:rsid w:val="007B2686"/>
    <w:rsid w:val="007B269C"/>
    <w:rsid w:val="007B292B"/>
    <w:rsid w:val="007B2A8E"/>
    <w:rsid w:val="007B2F13"/>
    <w:rsid w:val="007B2F99"/>
    <w:rsid w:val="007B314E"/>
    <w:rsid w:val="007B3202"/>
    <w:rsid w:val="007B32C1"/>
    <w:rsid w:val="007B3463"/>
    <w:rsid w:val="007B38F1"/>
    <w:rsid w:val="007B390B"/>
    <w:rsid w:val="007B3AC8"/>
    <w:rsid w:val="007B3C2E"/>
    <w:rsid w:val="007B3C95"/>
    <w:rsid w:val="007B3FE6"/>
    <w:rsid w:val="007B4504"/>
    <w:rsid w:val="007B45B3"/>
    <w:rsid w:val="007B47DC"/>
    <w:rsid w:val="007B4A2E"/>
    <w:rsid w:val="007B4AB7"/>
    <w:rsid w:val="007B4AED"/>
    <w:rsid w:val="007B4D88"/>
    <w:rsid w:val="007B4DF3"/>
    <w:rsid w:val="007B4DFA"/>
    <w:rsid w:val="007B4E9B"/>
    <w:rsid w:val="007B5341"/>
    <w:rsid w:val="007B5380"/>
    <w:rsid w:val="007B56A6"/>
    <w:rsid w:val="007B5960"/>
    <w:rsid w:val="007B5A5F"/>
    <w:rsid w:val="007B5A6F"/>
    <w:rsid w:val="007B5E22"/>
    <w:rsid w:val="007B5F61"/>
    <w:rsid w:val="007B5FCF"/>
    <w:rsid w:val="007B6784"/>
    <w:rsid w:val="007B6E86"/>
    <w:rsid w:val="007B7144"/>
    <w:rsid w:val="007B7161"/>
    <w:rsid w:val="007B735F"/>
    <w:rsid w:val="007B7549"/>
    <w:rsid w:val="007B75B4"/>
    <w:rsid w:val="007B76C0"/>
    <w:rsid w:val="007B7C2D"/>
    <w:rsid w:val="007B7C3C"/>
    <w:rsid w:val="007B7E5E"/>
    <w:rsid w:val="007C008F"/>
    <w:rsid w:val="007C00DE"/>
    <w:rsid w:val="007C03D8"/>
    <w:rsid w:val="007C0937"/>
    <w:rsid w:val="007C09CC"/>
    <w:rsid w:val="007C09EE"/>
    <w:rsid w:val="007C0A07"/>
    <w:rsid w:val="007C0A66"/>
    <w:rsid w:val="007C0DC1"/>
    <w:rsid w:val="007C0E0D"/>
    <w:rsid w:val="007C15B3"/>
    <w:rsid w:val="007C19E2"/>
    <w:rsid w:val="007C1A4B"/>
    <w:rsid w:val="007C1D90"/>
    <w:rsid w:val="007C1E1F"/>
    <w:rsid w:val="007C21C2"/>
    <w:rsid w:val="007C22DA"/>
    <w:rsid w:val="007C2491"/>
    <w:rsid w:val="007C2507"/>
    <w:rsid w:val="007C2654"/>
    <w:rsid w:val="007C293E"/>
    <w:rsid w:val="007C2A78"/>
    <w:rsid w:val="007C2C5F"/>
    <w:rsid w:val="007C2D57"/>
    <w:rsid w:val="007C3297"/>
    <w:rsid w:val="007C32F5"/>
    <w:rsid w:val="007C3657"/>
    <w:rsid w:val="007C36CC"/>
    <w:rsid w:val="007C381C"/>
    <w:rsid w:val="007C38C8"/>
    <w:rsid w:val="007C39B1"/>
    <w:rsid w:val="007C39E2"/>
    <w:rsid w:val="007C3CAB"/>
    <w:rsid w:val="007C3D71"/>
    <w:rsid w:val="007C3EBD"/>
    <w:rsid w:val="007C3F56"/>
    <w:rsid w:val="007C4162"/>
    <w:rsid w:val="007C4196"/>
    <w:rsid w:val="007C4253"/>
    <w:rsid w:val="007C4691"/>
    <w:rsid w:val="007C4732"/>
    <w:rsid w:val="007C4935"/>
    <w:rsid w:val="007C493D"/>
    <w:rsid w:val="007C496E"/>
    <w:rsid w:val="007C4B0A"/>
    <w:rsid w:val="007C4B88"/>
    <w:rsid w:val="007C4CB2"/>
    <w:rsid w:val="007C524B"/>
    <w:rsid w:val="007C5506"/>
    <w:rsid w:val="007C5557"/>
    <w:rsid w:val="007C55E2"/>
    <w:rsid w:val="007C562D"/>
    <w:rsid w:val="007C59E4"/>
    <w:rsid w:val="007C59EC"/>
    <w:rsid w:val="007C5AA4"/>
    <w:rsid w:val="007C5C08"/>
    <w:rsid w:val="007C5E47"/>
    <w:rsid w:val="007C5F53"/>
    <w:rsid w:val="007C6428"/>
    <w:rsid w:val="007C6446"/>
    <w:rsid w:val="007C6478"/>
    <w:rsid w:val="007C665E"/>
    <w:rsid w:val="007C6A44"/>
    <w:rsid w:val="007C6AB7"/>
    <w:rsid w:val="007C6B45"/>
    <w:rsid w:val="007C6C0B"/>
    <w:rsid w:val="007C6D79"/>
    <w:rsid w:val="007C6E5A"/>
    <w:rsid w:val="007C70B5"/>
    <w:rsid w:val="007C722E"/>
    <w:rsid w:val="007C7296"/>
    <w:rsid w:val="007C7385"/>
    <w:rsid w:val="007C74AF"/>
    <w:rsid w:val="007C7731"/>
    <w:rsid w:val="007C77C4"/>
    <w:rsid w:val="007C7BA4"/>
    <w:rsid w:val="007C7C65"/>
    <w:rsid w:val="007C7CF5"/>
    <w:rsid w:val="007C7EBB"/>
    <w:rsid w:val="007C7F4F"/>
    <w:rsid w:val="007D0192"/>
    <w:rsid w:val="007D03AE"/>
    <w:rsid w:val="007D042B"/>
    <w:rsid w:val="007D047F"/>
    <w:rsid w:val="007D05A9"/>
    <w:rsid w:val="007D0C2E"/>
    <w:rsid w:val="007D12CB"/>
    <w:rsid w:val="007D13A4"/>
    <w:rsid w:val="007D143E"/>
    <w:rsid w:val="007D1752"/>
    <w:rsid w:val="007D1819"/>
    <w:rsid w:val="007D1C19"/>
    <w:rsid w:val="007D2115"/>
    <w:rsid w:val="007D24CF"/>
    <w:rsid w:val="007D26C4"/>
    <w:rsid w:val="007D288C"/>
    <w:rsid w:val="007D28A5"/>
    <w:rsid w:val="007D2B99"/>
    <w:rsid w:val="007D2BB1"/>
    <w:rsid w:val="007D2D0F"/>
    <w:rsid w:val="007D3236"/>
    <w:rsid w:val="007D34AB"/>
    <w:rsid w:val="007D36EF"/>
    <w:rsid w:val="007D3732"/>
    <w:rsid w:val="007D3839"/>
    <w:rsid w:val="007D3890"/>
    <w:rsid w:val="007D3AF2"/>
    <w:rsid w:val="007D3B6D"/>
    <w:rsid w:val="007D3C25"/>
    <w:rsid w:val="007D408F"/>
    <w:rsid w:val="007D44AD"/>
    <w:rsid w:val="007D470D"/>
    <w:rsid w:val="007D4890"/>
    <w:rsid w:val="007D4BA8"/>
    <w:rsid w:val="007D4F3B"/>
    <w:rsid w:val="007D4F83"/>
    <w:rsid w:val="007D50F4"/>
    <w:rsid w:val="007D55B3"/>
    <w:rsid w:val="007D5A14"/>
    <w:rsid w:val="007D5BCF"/>
    <w:rsid w:val="007D622F"/>
    <w:rsid w:val="007D643E"/>
    <w:rsid w:val="007D6875"/>
    <w:rsid w:val="007D69F2"/>
    <w:rsid w:val="007D6A82"/>
    <w:rsid w:val="007D7491"/>
    <w:rsid w:val="007D7750"/>
    <w:rsid w:val="007D777E"/>
    <w:rsid w:val="007D7836"/>
    <w:rsid w:val="007D7B54"/>
    <w:rsid w:val="007D7DC1"/>
    <w:rsid w:val="007D7F15"/>
    <w:rsid w:val="007E020D"/>
    <w:rsid w:val="007E0526"/>
    <w:rsid w:val="007E06FE"/>
    <w:rsid w:val="007E071F"/>
    <w:rsid w:val="007E0A5E"/>
    <w:rsid w:val="007E0C16"/>
    <w:rsid w:val="007E0D17"/>
    <w:rsid w:val="007E0E05"/>
    <w:rsid w:val="007E11C3"/>
    <w:rsid w:val="007E12C9"/>
    <w:rsid w:val="007E13A4"/>
    <w:rsid w:val="007E14C3"/>
    <w:rsid w:val="007E14F3"/>
    <w:rsid w:val="007E175B"/>
    <w:rsid w:val="007E17FF"/>
    <w:rsid w:val="007E19CD"/>
    <w:rsid w:val="007E1B5E"/>
    <w:rsid w:val="007E1FBE"/>
    <w:rsid w:val="007E237B"/>
    <w:rsid w:val="007E23C9"/>
    <w:rsid w:val="007E25D8"/>
    <w:rsid w:val="007E2E9F"/>
    <w:rsid w:val="007E2EF1"/>
    <w:rsid w:val="007E2F43"/>
    <w:rsid w:val="007E339C"/>
    <w:rsid w:val="007E3403"/>
    <w:rsid w:val="007E34D1"/>
    <w:rsid w:val="007E3563"/>
    <w:rsid w:val="007E36C8"/>
    <w:rsid w:val="007E3815"/>
    <w:rsid w:val="007E3AEE"/>
    <w:rsid w:val="007E3C1F"/>
    <w:rsid w:val="007E3CE6"/>
    <w:rsid w:val="007E3EEA"/>
    <w:rsid w:val="007E3F95"/>
    <w:rsid w:val="007E40DA"/>
    <w:rsid w:val="007E4108"/>
    <w:rsid w:val="007E4222"/>
    <w:rsid w:val="007E44C4"/>
    <w:rsid w:val="007E4650"/>
    <w:rsid w:val="007E466B"/>
    <w:rsid w:val="007E46B7"/>
    <w:rsid w:val="007E47AE"/>
    <w:rsid w:val="007E4DFE"/>
    <w:rsid w:val="007E4FBD"/>
    <w:rsid w:val="007E54F2"/>
    <w:rsid w:val="007E577B"/>
    <w:rsid w:val="007E5B65"/>
    <w:rsid w:val="007E5D3B"/>
    <w:rsid w:val="007E5F52"/>
    <w:rsid w:val="007E66BD"/>
    <w:rsid w:val="007E67B9"/>
    <w:rsid w:val="007E6A0C"/>
    <w:rsid w:val="007E7417"/>
    <w:rsid w:val="007E761A"/>
    <w:rsid w:val="007E7B09"/>
    <w:rsid w:val="007E7BD3"/>
    <w:rsid w:val="007E7D71"/>
    <w:rsid w:val="007F009F"/>
    <w:rsid w:val="007F01BE"/>
    <w:rsid w:val="007F03C5"/>
    <w:rsid w:val="007F03EE"/>
    <w:rsid w:val="007F0517"/>
    <w:rsid w:val="007F05AD"/>
    <w:rsid w:val="007F0878"/>
    <w:rsid w:val="007F0D95"/>
    <w:rsid w:val="007F0DFC"/>
    <w:rsid w:val="007F1108"/>
    <w:rsid w:val="007F17F4"/>
    <w:rsid w:val="007F1815"/>
    <w:rsid w:val="007F1AB2"/>
    <w:rsid w:val="007F1AE3"/>
    <w:rsid w:val="007F1B58"/>
    <w:rsid w:val="007F1C63"/>
    <w:rsid w:val="007F1D8C"/>
    <w:rsid w:val="007F214D"/>
    <w:rsid w:val="007F23F1"/>
    <w:rsid w:val="007F27F3"/>
    <w:rsid w:val="007F287C"/>
    <w:rsid w:val="007F290C"/>
    <w:rsid w:val="007F2944"/>
    <w:rsid w:val="007F2E54"/>
    <w:rsid w:val="007F2FF7"/>
    <w:rsid w:val="007F3201"/>
    <w:rsid w:val="007F3279"/>
    <w:rsid w:val="007F3289"/>
    <w:rsid w:val="007F32DF"/>
    <w:rsid w:val="007F3646"/>
    <w:rsid w:val="007F36E7"/>
    <w:rsid w:val="007F38D9"/>
    <w:rsid w:val="007F43C4"/>
    <w:rsid w:val="007F449E"/>
    <w:rsid w:val="007F45E7"/>
    <w:rsid w:val="007F4706"/>
    <w:rsid w:val="007F47CA"/>
    <w:rsid w:val="007F4A51"/>
    <w:rsid w:val="007F4A92"/>
    <w:rsid w:val="007F4B74"/>
    <w:rsid w:val="007F4DB3"/>
    <w:rsid w:val="007F523B"/>
    <w:rsid w:val="007F5738"/>
    <w:rsid w:val="007F574A"/>
    <w:rsid w:val="007F57F0"/>
    <w:rsid w:val="007F58D8"/>
    <w:rsid w:val="007F58E9"/>
    <w:rsid w:val="007F59F0"/>
    <w:rsid w:val="007F5A65"/>
    <w:rsid w:val="007F5B84"/>
    <w:rsid w:val="007F5C08"/>
    <w:rsid w:val="007F5EAB"/>
    <w:rsid w:val="007F5EC4"/>
    <w:rsid w:val="007F5FAC"/>
    <w:rsid w:val="007F60D5"/>
    <w:rsid w:val="007F64D8"/>
    <w:rsid w:val="007F6636"/>
    <w:rsid w:val="007F6790"/>
    <w:rsid w:val="007F6905"/>
    <w:rsid w:val="007F6F02"/>
    <w:rsid w:val="007F6F0D"/>
    <w:rsid w:val="007F78D0"/>
    <w:rsid w:val="007F7972"/>
    <w:rsid w:val="007F7BB2"/>
    <w:rsid w:val="007F7D46"/>
    <w:rsid w:val="0080017F"/>
    <w:rsid w:val="00800229"/>
    <w:rsid w:val="00800391"/>
    <w:rsid w:val="0080078C"/>
    <w:rsid w:val="0080096C"/>
    <w:rsid w:val="00800C03"/>
    <w:rsid w:val="00800C60"/>
    <w:rsid w:val="00800D31"/>
    <w:rsid w:val="00800FAD"/>
    <w:rsid w:val="00801213"/>
    <w:rsid w:val="008013CE"/>
    <w:rsid w:val="00801605"/>
    <w:rsid w:val="00801AE5"/>
    <w:rsid w:val="00801AFD"/>
    <w:rsid w:val="00801BAC"/>
    <w:rsid w:val="00801BB9"/>
    <w:rsid w:val="00801E8C"/>
    <w:rsid w:val="00801FB0"/>
    <w:rsid w:val="00802185"/>
    <w:rsid w:val="008022F5"/>
    <w:rsid w:val="008025A6"/>
    <w:rsid w:val="0080268E"/>
    <w:rsid w:val="0080271B"/>
    <w:rsid w:val="0080286F"/>
    <w:rsid w:val="00802961"/>
    <w:rsid w:val="00802C5F"/>
    <w:rsid w:val="00802CDF"/>
    <w:rsid w:val="00803062"/>
    <w:rsid w:val="008030BD"/>
    <w:rsid w:val="008032C2"/>
    <w:rsid w:val="00803761"/>
    <w:rsid w:val="008037FA"/>
    <w:rsid w:val="008037FF"/>
    <w:rsid w:val="0080397D"/>
    <w:rsid w:val="00803DD1"/>
    <w:rsid w:val="00803DE3"/>
    <w:rsid w:val="00804202"/>
    <w:rsid w:val="0080420D"/>
    <w:rsid w:val="008044EC"/>
    <w:rsid w:val="008047AB"/>
    <w:rsid w:val="00804ABB"/>
    <w:rsid w:val="00804AF1"/>
    <w:rsid w:val="00804CE7"/>
    <w:rsid w:val="00804DAA"/>
    <w:rsid w:val="0080521F"/>
    <w:rsid w:val="008052E1"/>
    <w:rsid w:val="00805912"/>
    <w:rsid w:val="00805976"/>
    <w:rsid w:val="00805AE4"/>
    <w:rsid w:val="00805B26"/>
    <w:rsid w:val="00805C60"/>
    <w:rsid w:val="00805CD2"/>
    <w:rsid w:val="00805DB6"/>
    <w:rsid w:val="00806039"/>
    <w:rsid w:val="0080607D"/>
    <w:rsid w:val="0080637A"/>
    <w:rsid w:val="0080648F"/>
    <w:rsid w:val="00806560"/>
    <w:rsid w:val="00806577"/>
    <w:rsid w:val="0080667F"/>
    <w:rsid w:val="008066ED"/>
    <w:rsid w:val="008068D6"/>
    <w:rsid w:val="00806976"/>
    <w:rsid w:val="00806A20"/>
    <w:rsid w:val="00806B73"/>
    <w:rsid w:val="00806DEC"/>
    <w:rsid w:val="00806DF3"/>
    <w:rsid w:val="00806E9A"/>
    <w:rsid w:val="00806EA7"/>
    <w:rsid w:val="00806F7E"/>
    <w:rsid w:val="00807820"/>
    <w:rsid w:val="008078F1"/>
    <w:rsid w:val="00807BBF"/>
    <w:rsid w:val="0081002B"/>
    <w:rsid w:val="00810060"/>
    <w:rsid w:val="008100B2"/>
    <w:rsid w:val="0081063E"/>
    <w:rsid w:val="00810C38"/>
    <w:rsid w:val="00810DCF"/>
    <w:rsid w:val="008112A9"/>
    <w:rsid w:val="008112E6"/>
    <w:rsid w:val="008115EC"/>
    <w:rsid w:val="008116D1"/>
    <w:rsid w:val="00811760"/>
    <w:rsid w:val="00811A4A"/>
    <w:rsid w:val="00811C2C"/>
    <w:rsid w:val="00811F95"/>
    <w:rsid w:val="0081201E"/>
    <w:rsid w:val="008120D0"/>
    <w:rsid w:val="0081240C"/>
    <w:rsid w:val="00812504"/>
    <w:rsid w:val="00812630"/>
    <w:rsid w:val="008126D1"/>
    <w:rsid w:val="0081279E"/>
    <w:rsid w:val="00812C11"/>
    <w:rsid w:val="00812D2F"/>
    <w:rsid w:val="00812F74"/>
    <w:rsid w:val="008134B6"/>
    <w:rsid w:val="00813523"/>
    <w:rsid w:val="00813538"/>
    <w:rsid w:val="00813633"/>
    <w:rsid w:val="00813B92"/>
    <w:rsid w:val="00813C75"/>
    <w:rsid w:val="00813CCF"/>
    <w:rsid w:val="008140F7"/>
    <w:rsid w:val="008141DC"/>
    <w:rsid w:val="008141ED"/>
    <w:rsid w:val="008145FD"/>
    <w:rsid w:val="00814784"/>
    <w:rsid w:val="00814D88"/>
    <w:rsid w:val="0081539E"/>
    <w:rsid w:val="008157F3"/>
    <w:rsid w:val="00815BB3"/>
    <w:rsid w:val="00815FFA"/>
    <w:rsid w:val="00816217"/>
    <w:rsid w:val="0081621C"/>
    <w:rsid w:val="00816274"/>
    <w:rsid w:val="00816AF3"/>
    <w:rsid w:val="00816B3F"/>
    <w:rsid w:val="00816C82"/>
    <w:rsid w:val="008176CD"/>
    <w:rsid w:val="0081793B"/>
    <w:rsid w:val="00817B04"/>
    <w:rsid w:val="00817B8C"/>
    <w:rsid w:val="00817DF0"/>
    <w:rsid w:val="00817EC5"/>
    <w:rsid w:val="00817EDE"/>
    <w:rsid w:val="00817F40"/>
    <w:rsid w:val="0082012E"/>
    <w:rsid w:val="00820157"/>
    <w:rsid w:val="0082044F"/>
    <w:rsid w:val="0082060F"/>
    <w:rsid w:val="0082071E"/>
    <w:rsid w:val="00820804"/>
    <w:rsid w:val="0082082A"/>
    <w:rsid w:val="0082094E"/>
    <w:rsid w:val="00820A76"/>
    <w:rsid w:val="00820C6A"/>
    <w:rsid w:val="00820DB2"/>
    <w:rsid w:val="008212DA"/>
    <w:rsid w:val="00821422"/>
    <w:rsid w:val="00821F67"/>
    <w:rsid w:val="00821F91"/>
    <w:rsid w:val="008221FB"/>
    <w:rsid w:val="00822781"/>
    <w:rsid w:val="0082287F"/>
    <w:rsid w:val="00822987"/>
    <w:rsid w:val="00822A83"/>
    <w:rsid w:val="00822BD3"/>
    <w:rsid w:val="008230C3"/>
    <w:rsid w:val="00823227"/>
    <w:rsid w:val="0082323C"/>
    <w:rsid w:val="0082324F"/>
    <w:rsid w:val="008232B9"/>
    <w:rsid w:val="008236FF"/>
    <w:rsid w:val="00823A09"/>
    <w:rsid w:val="00823C1B"/>
    <w:rsid w:val="00823F67"/>
    <w:rsid w:val="00824140"/>
    <w:rsid w:val="008249D1"/>
    <w:rsid w:val="00824A63"/>
    <w:rsid w:val="00824DF2"/>
    <w:rsid w:val="00824F31"/>
    <w:rsid w:val="0082512A"/>
    <w:rsid w:val="008254BF"/>
    <w:rsid w:val="00825589"/>
    <w:rsid w:val="00825667"/>
    <w:rsid w:val="008258CA"/>
    <w:rsid w:val="00825D0D"/>
    <w:rsid w:val="00825D6E"/>
    <w:rsid w:val="00826135"/>
    <w:rsid w:val="008261E5"/>
    <w:rsid w:val="00826427"/>
    <w:rsid w:val="00826445"/>
    <w:rsid w:val="008269AB"/>
    <w:rsid w:val="00826B45"/>
    <w:rsid w:val="00826BDB"/>
    <w:rsid w:val="00826E59"/>
    <w:rsid w:val="008272E5"/>
    <w:rsid w:val="00827338"/>
    <w:rsid w:val="00827649"/>
    <w:rsid w:val="00827729"/>
    <w:rsid w:val="00827A69"/>
    <w:rsid w:val="00827BBB"/>
    <w:rsid w:val="00827D5C"/>
    <w:rsid w:val="00827D60"/>
    <w:rsid w:val="0083021A"/>
    <w:rsid w:val="008307B7"/>
    <w:rsid w:val="00830852"/>
    <w:rsid w:val="0083085A"/>
    <w:rsid w:val="00830AC6"/>
    <w:rsid w:val="00830FA6"/>
    <w:rsid w:val="008311D1"/>
    <w:rsid w:val="008312B3"/>
    <w:rsid w:val="00831709"/>
    <w:rsid w:val="0083170D"/>
    <w:rsid w:val="00831780"/>
    <w:rsid w:val="00831C7F"/>
    <w:rsid w:val="00831D3C"/>
    <w:rsid w:val="00831EAF"/>
    <w:rsid w:val="00831F09"/>
    <w:rsid w:val="00831F74"/>
    <w:rsid w:val="008324E6"/>
    <w:rsid w:val="008325E9"/>
    <w:rsid w:val="008325EF"/>
    <w:rsid w:val="00832689"/>
    <w:rsid w:val="00832778"/>
    <w:rsid w:val="0083289A"/>
    <w:rsid w:val="008328CC"/>
    <w:rsid w:val="00832966"/>
    <w:rsid w:val="00832C62"/>
    <w:rsid w:val="00832C94"/>
    <w:rsid w:val="00832EE5"/>
    <w:rsid w:val="00833518"/>
    <w:rsid w:val="008335AB"/>
    <w:rsid w:val="00833778"/>
    <w:rsid w:val="008339BD"/>
    <w:rsid w:val="00833CDB"/>
    <w:rsid w:val="008340EA"/>
    <w:rsid w:val="00834223"/>
    <w:rsid w:val="008342F7"/>
    <w:rsid w:val="008342FA"/>
    <w:rsid w:val="008343E9"/>
    <w:rsid w:val="008348C1"/>
    <w:rsid w:val="00834953"/>
    <w:rsid w:val="008349F1"/>
    <w:rsid w:val="0083517D"/>
    <w:rsid w:val="0083531B"/>
    <w:rsid w:val="008353E7"/>
    <w:rsid w:val="0083570F"/>
    <w:rsid w:val="00835A2E"/>
    <w:rsid w:val="00835A56"/>
    <w:rsid w:val="00835F2E"/>
    <w:rsid w:val="00835F72"/>
    <w:rsid w:val="00836594"/>
    <w:rsid w:val="00836657"/>
    <w:rsid w:val="00836A72"/>
    <w:rsid w:val="00836C51"/>
    <w:rsid w:val="008370A1"/>
    <w:rsid w:val="0083720A"/>
    <w:rsid w:val="008404B1"/>
    <w:rsid w:val="0084063F"/>
    <w:rsid w:val="00840B49"/>
    <w:rsid w:val="00840EC9"/>
    <w:rsid w:val="008411B3"/>
    <w:rsid w:val="008414F3"/>
    <w:rsid w:val="0084150B"/>
    <w:rsid w:val="008416D9"/>
    <w:rsid w:val="0084177A"/>
    <w:rsid w:val="008417F0"/>
    <w:rsid w:val="008419DC"/>
    <w:rsid w:val="00841B52"/>
    <w:rsid w:val="00841D24"/>
    <w:rsid w:val="00841D43"/>
    <w:rsid w:val="00841EF0"/>
    <w:rsid w:val="00841EFC"/>
    <w:rsid w:val="0084200B"/>
    <w:rsid w:val="00842015"/>
    <w:rsid w:val="0084207B"/>
    <w:rsid w:val="008424AC"/>
    <w:rsid w:val="008424C3"/>
    <w:rsid w:val="00842638"/>
    <w:rsid w:val="0084288B"/>
    <w:rsid w:val="00842915"/>
    <w:rsid w:val="00842AB3"/>
    <w:rsid w:val="00842CDB"/>
    <w:rsid w:val="0084335D"/>
    <w:rsid w:val="00843373"/>
    <w:rsid w:val="0084350D"/>
    <w:rsid w:val="00843592"/>
    <w:rsid w:val="008435B7"/>
    <w:rsid w:val="008435F1"/>
    <w:rsid w:val="0084395B"/>
    <w:rsid w:val="008439FC"/>
    <w:rsid w:val="00843AED"/>
    <w:rsid w:val="00843BB4"/>
    <w:rsid w:val="00843FF3"/>
    <w:rsid w:val="008440A1"/>
    <w:rsid w:val="00844135"/>
    <w:rsid w:val="00844C01"/>
    <w:rsid w:val="00844D22"/>
    <w:rsid w:val="00844D67"/>
    <w:rsid w:val="00844F5A"/>
    <w:rsid w:val="00844FE6"/>
    <w:rsid w:val="00845065"/>
    <w:rsid w:val="008452EF"/>
    <w:rsid w:val="008452F3"/>
    <w:rsid w:val="0084557F"/>
    <w:rsid w:val="00845616"/>
    <w:rsid w:val="00845693"/>
    <w:rsid w:val="008457FE"/>
    <w:rsid w:val="0084580B"/>
    <w:rsid w:val="00845A74"/>
    <w:rsid w:val="008460FF"/>
    <w:rsid w:val="00846211"/>
    <w:rsid w:val="00846276"/>
    <w:rsid w:val="0084665A"/>
    <w:rsid w:val="008467EB"/>
    <w:rsid w:val="00846806"/>
    <w:rsid w:val="00846955"/>
    <w:rsid w:val="00846B11"/>
    <w:rsid w:val="00846EB9"/>
    <w:rsid w:val="00846F1E"/>
    <w:rsid w:val="00846FB8"/>
    <w:rsid w:val="0084708A"/>
    <w:rsid w:val="00847257"/>
    <w:rsid w:val="00847552"/>
    <w:rsid w:val="00847624"/>
    <w:rsid w:val="00847818"/>
    <w:rsid w:val="008479FA"/>
    <w:rsid w:val="00847BE7"/>
    <w:rsid w:val="00847DD4"/>
    <w:rsid w:val="0085002C"/>
    <w:rsid w:val="00850228"/>
    <w:rsid w:val="00850492"/>
    <w:rsid w:val="008505F0"/>
    <w:rsid w:val="008505F3"/>
    <w:rsid w:val="00850668"/>
    <w:rsid w:val="00850677"/>
    <w:rsid w:val="0085071E"/>
    <w:rsid w:val="00850826"/>
    <w:rsid w:val="00850981"/>
    <w:rsid w:val="00850A0F"/>
    <w:rsid w:val="0085144A"/>
    <w:rsid w:val="008515EA"/>
    <w:rsid w:val="0085195B"/>
    <w:rsid w:val="00851C09"/>
    <w:rsid w:val="008520B4"/>
    <w:rsid w:val="008521A9"/>
    <w:rsid w:val="008521DE"/>
    <w:rsid w:val="008522A0"/>
    <w:rsid w:val="008522F4"/>
    <w:rsid w:val="00852559"/>
    <w:rsid w:val="00852689"/>
    <w:rsid w:val="008528B3"/>
    <w:rsid w:val="00852BA7"/>
    <w:rsid w:val="00852E6A"/>
    <w:rsid w:val="00852F6F"/>
    <w:rsid w:val="0085314A"/>
    <w:rsid w:val="00853318"/>
    <w:rsid w:val="00853327"/>
    <w:rsid w:val="008533C5"/>
    <w:rsid w:val="00853444"/>
    <w:rsid w:val="0085354A"/>
    <w:rsid w:val="0085368E"/>
    <w:rsid w:val="008538E6"/>
    <w:rsid w:val="00853A28"/>
    <w:rsid w:val="00853ED4"/>
    <w:rsid w:val="00853F7B"/>
    <w:rsid w:val="008541B9"/>
    <w:rsid w:val="0085421D"/>
    <w:rsid w:val="00854362"/>
    <w:rsid w:val="00854688"/>
    <w:rsid w:val="008548E8"/>
    <w:rsid w:val="008549AD"/>
    <w:rsid w:val="008549B4"/>
    <w:rsid w:val="00854A26"/>
    <w:rsid w:val="00854BC4"/>
    <w:rsid w:val="00854CF2"/>
    <w:rsid w:val="00854DFB"/>
    <w:rsid w:val="00854F84"/>
    <w:rsid w:val="00855068"/>
    <w:rsid w:val="008551F2"/>
    <w:rsid w:val="008553FB"/>
    <w:rsid w:val="00855436"/>
    <w:rsid w:val="0085545E"/>
    <w:rsid w:val="008554D2"/>
    <w:rsid w:val="008554FB"/>
    <w:rsid w:val="008556FD"/>
    <w:rsid w:val="0085584F"/>
    <w:rsid w:val="00855AC6"/>
    <w:rsid w:val="00855B0E"/>
    <w:rsid w:val="00855CF5"/>
    <w:rsid w:val="00855EE5"/>
    <w:rsid w:val="00856355"/>
    <w:rsid w:val="0085675B"/>
    <w:rsid w:val="008567CD"/>
    <w:rsid w:val="008567DD"/>
    <w:rsid w:val="00856950"/>
    <w:rsid w:val="00856F32"/>
    <w:rsid w:val="008571A1"/>
    <w:rsid w:val="0085723D"/>
    <w:rsid w:val="00857289"/>
    <w:rsid w:val="008574B5"/>
    <w:rsid w:val="0085755D"/>
    <w:rsid w:val="008576C1"/>
    <w:rsid w:val="00857C52"/>
    <w:rsid w:val="00857D46"/>
    <w:rsid w:val="00857E86"/>
    <w:rsid w:val="0086036D"/>
    <w:rsid w:val="00860457"/>
    <w:rsid w:val="008606A9"/>
    <w:rsid w:val="0086088F"/>
    <w:rsid w:val="008609A4"/>
    <w:rsid w:val="00860B9B"/>
    <w:rsid w:val="00860DB4"/>
    <w:rsid w:val="00860E41"/>
    <w:rsid w:val="00860EDB"/>
    <w:rsid w:val="00860F41"/>
    <w:rsid w:val="00860FC0"/>
    <w:rsid w:val="008610D6"/>
    <w:rsid w:val="008611FC"/>
    <w:rsid w:val="0086120F"/>
    <w:rsid w:val="0086146C"/>
    <w:rsid w:val="0086156D"/>
    <w:rsid w:val="00861646"/>
    <w:rsid w:val="00861975"/>
    <w:rsid w:val="00861A3A"/>
    <w:rsid w:val="00861CB8"/>
    <w:rsid w:val="00861CDB"/>
    <w:rsid w:val="00861E46"/>
    <w:rsid w:val="008622E4"/>
    <w:rsid w:val="0086265F"/>
    <w:rsid w:val="00862A50"/>
    <w:rsid w:val="00862F5B"/>
    <w:rsid w:val="00862FE4"/>
    <w:rsid w:val="00863248"/>
    <w:rsid w:val="0086336F"/>
    <w:rsid w:val="0086349B"/>
    <w:rsid w:val="0086354C"/>
    <w:rsid w:val="008637E3"/>
    <w:rsid w:val="008638AC"/>
    <w:rsid w:val="00863AC6"/>
    <w:rsid w:val="00863EF3"/>
    <w:rsid w:val="0086413B"/>
    <w:rsid w:val="00864464"/>
    <w:rsid w:val="008647C2"/>
    <w:rsid w:val="00864F31"/>
    <w:rsid w:val="0086520D"/>
    <w:rsid w:val="00865541"/>
    <w:rsid w:val="008655D0"/>
    <w:rsid w:val="00865600"/>
    <w:rsid w:val="00865645"/>
    <w:rsid w:val="008656C4"/>
    <w:rsid w:val="0086599F"/>
    <w:rsid w:val="00865CC8"/>
    <w:rsid w:val="00866202"/>
    <w:rsid w:val="008662CE"/>
    <w:rsid w:val="00866382"/>
    <w:rsid w:val="00866734"/>
    <w:rsid w:val="008667B6"/>
    <w:rsid w:val="00867632"/>
    <w:rsid w:val="00867E63"/>
    <w:rsid w:val="008700D1"/>
    <w:rsid w:val="00870329"/>
    <w:rsid w:val="008705AD"/>
    <w:rsid w:val="00870B87"/>
    <w:rsid w:val="00870F64"/>
    <w:rsid w:val="008711F0"/>
    <w:rsid w:val="00871868"/>
    <w:rsid w:val="008718CB"/>
    <w:rsid w:val="00871905"/>
    <w:rsid w:val="00871AE0"/>
    <w:rsid w:val="00871B4A"/>
    <w:rsid w:val="00871BC1"/>
    <w:rsid w:val="00871CBB"/>
    <w:rsid w:val="00871E33"/>
    <w:rsid w:val="008722D1"/>
    <w:rsid w:val="00872356"/>
    <w:rsid w:val="00872496"/>
    <w:rsid w:val="00872637"/>
    <w:rsid w:val="00872973"/>
    <w:rsid w:val="00872AAC"/>
    <w:rsid w:val="00872CFE"/>
    <w:rsid w:val="00872D49"/>
    <w:rsid w:val="00872DF1"/>
    <w:rsid w:val="00872F8E"/>
    <w:rsid w:val="00872FEA"/>
    <w:rsid w:val="00873230"/>
    <w:rsid w:val="008735AC"/>
    <w:rsid w:val="008735B5"/>
    <w:rsid w:val="0087361F"/>
    <w:rsid w:val="00873772"/>
    <w:rsid w:val="008738AF"/>
    <w:rsid w:val="00873D2C"/>
    <w:rsid w:val="00873FA9"/>
    <w:rsid w:val="00874147"/>
    <w:rsid w:val="00874185"/>
    <w:rsid w:val="00874199"/>
    <w:rsid w:val="00874233"/>
    <w:rsid w:val="0087449F"/>
    <w:rsid w:val="00874568"/>
    <w:rsid w:val="00874599"/>
    <w:rsid w:val="00874606"/>
    <w:rsid w:val="00874889"/>
    <w:rsid w:val="008749F3"/>
    <w:rsid w:val="00875018"/>
    <w:rsid w:val="008752A9"/>
    <w:rsid w:val="008753B6"/>
    <w:rsid w:val="008757F0"/>
    <w:rsid w:val="008757FF"/>
    <w:rsid w:val="00875C89"/>
    <w:rsid w:val="00875D45"/>
    <w:rsid w:val="00875DB5"/>
    <w:rsid w:val="00875DD6"/>
    <w:rsid w:val="0087600D"/>
    <w:rsid w:val="0087608A"/>
    <w:rsid w:val="0087612F"/>
    <w:rsid w:val="00876313"/>
    <w:rsid w:val="008765CC"/>
    <w:rsid w:val="008765FE"/>
    <w:rsid w:val="00876611"/>
    <w:rsid w:val="00876713"/>
    <w:rsid w:val="00876734"/>
    <w:rsid w:val="008767F7"/>
    <w:rsid w:val="00876AB6"/>
    <w:rsid w:val="00876C9E"/>
    <w:rsid w:val="00876D21"/>
    <w:rsid w:val="00876D4B"/>
    <w:rsid w:val="00876D54"/>
    <w:rsid w:val="00876FFC"/>
    <w:rsid w:val="00877002"/>
    <w:rsid w:val="00877237"/>
    <w:rsid w:val="0087746B"/>
    <w:rsid w:val="00877664"/>
    <w:rsid w:val="00877A4D"/>
    <w:rsid w:val="00877D81"/>
    <w:rsid w:val="00877E65"/>
    <w:rsid w:val="00877EB2"/>
    <w:rsid w:val="0088021B"/>
    <w:rsid w:val="0088022E"/>
    <w:rsid w:val="00880633"/>
    <w:rsid w:val="00880C19"/>
    <w:rsid w:val="0088105F"/>
    <w:rsid w:val="008815A6"/>
    <w:rsid w:val="00881727"/>
    <w:rsid w:val="00881DBF"/>
    <w:rsid w:val="0088202E"/>
    <w:rsid w:val="008821B4"/>
    <w:rsid w:val="0088231D"/>
    <w:rsid w:val="00882569"/>
    <w:rsid w:val="0088267F"/>
    <w:rsid w:val="008827B4"/>
    <w:rsid w:val="008827FB"/>
    <w:rsid w:val="00882BCE"/>
    <w:rsid w:val="00882C00"/>
    <w:rsid w:val="00882C37"/>
    <w:rsid w:val="00882CAD"/>
    <w:rsid w:val="00882E20"/>
    <w:rsid w:val="00882EA9"/>
    <w:rsid w:val="00882FEA"/>
    <w:rsid w:val="00883144"/>
    <w:rsid w:val="008831A9"/>
    <w:rsid w:val="008831FD"/>
    <w:rsid w:val="0088325D"/>
    <w:rsid w:val="0088335D"/>
    <w:rsid w:val="0088345D"/>
    <w:rsid w:val="0088377B"/>
    <w:rsid w:val="0088381A"/>
    <w:rsid w:val="00883A91"/>
    <w:rsid w:val="00883AAE"/>
    <w:rsid w:val="008840A6"/>
    <w:rsid w:val="008840BA"/>
    <w:rsid w:val="0088442A"/>
    <w:rsid w:val="00884482"/>
    <w:rsid w:val="00884F28"/>
    <w:rsid w:val="00884FA3"/>
    <w:rsid w:val="0088524A"/>
    <w:rsid w:val="008852CC"/>
    <w:rsid w:val="00885666"/>
    <w:rsid w:val="008856E5"/>
    <w:rsid w:val="00885920"/>
    <w:rsid w:val="00885B6C"/>
    <w:rsid w:val="00885C8D"/>
    <w:rsid w:val="00885CF3"/>
    <w:rsid w:val="008867F0"/>
    <w:rsid w:val="00886851"/>
    <w:rsid w:val="00886A9D"/>
    <w:rsid w:val="00886B73"/>
    <w:rsid w:val="00886E9E"/>
    <w:rsid w:val="00886F6A"/>
    <w:rsid w:val="0088709C"/>
    <w:rsid w:val="00887265"/>
    <w:rsid w:val="00887542"/>
    <w:rsid w:val="0088770C"/>
    <w:rsid w:val="0088784F"/>
    <w:rsid w:val="00887CFA"/>
    <w:rsid w:val="00887DFB"/>
    <w:rsid w:val="008901CE"/>
    <w:rsid w:val="00890419"/>
    <w:rsid w:val="008908FE"/>
    <w:rsid w:val="00890DBC"/>
    <w:rsid w:val="00890EDB"/>
    <w:rsid w:val="008910C5"/>
    <w:rsid w:val="008916D3"/>
    <w:rsid w:val="008916F6"/>
    <w:rsid w:val="00891723"/>
    <w:rsid w:val="00891964"/>
    <w:rsid w:val="00891C7A"/>
    <w:rsid w:val="00891D3B"/>
    <w:rsid w:val="00891D69"/>
    <w:rsid w:val="00891F4B"/>
    <w:rsid w:val="00892233"/>
    <w:rsid w:val="008923C1"/>
    <w:rsid w:val="0089252B"/>
    <w:rsid w:val="00892691"/>
    <w:rsid w:val="0089271B"/>
    <w:rsid w:val="00892861"/>
    <w:rsid w:val="00892B96"/>
    <w:rsid w:val="00892B98"/>
    <w:rsid w:val="00892B9D"/>
    <w:rsid w:val="00892D58"/>
    <w:rsid w:val="00892EB2"/>
    <w:rsid w:val="00892F68"/>
    <w:rsid w:val="008931B5"/>
    <w:rsid w:val="00893355"/>
    <w:rsid w:val="00894A83"/>
    <w:rsid w:val="00894B97"/>
    <w:rsid w:val="008951AA"/>
    <w:rsid w:val="00895651"/>
    <w:rsid w:val="008958B0"/>
    <w:rsid w:val="008959D4"/>
    <w:rsid w:val="00895B5F"/>
    <w:rsid w:val="00895FEB"/>
    <w:rsid w:val="0089605C"/>
    <w:rsid w:val="008961D3"/>
    <w:rsid w:val="0089625B"/>
    <w:rsid w:val="00896383"/>
    <w:rsid w:val="008965B5"/>
    <w:rsid w:val="00896C78"/>
    <w:rsid w:val="00896EF8"/>
    <w:rsid w:val="00896F19"/>
    <w:rsid w:val="00897247"/>
    <w:rsid w:val="00897460"/>
    <w:rsid w:val="00897490"/>
    <w:rsid w:val="0089772A"/>
    <w:rsid w:val="0089777F"/>
    <w:rsid w:val="00897881"/>
    <w:rsid w:val="00897C73"/>
    <w:rsid w:val="008A003B"/>
    <w:rsid w:val="008A0071"/>
    <w:rsid w:val="008A0159"/>
    <w:rsid w:val="008A02B3"/>
    <w:rsid w:val="008A0373"/>
    <w:rsid w:val="008A0A34"/>
    <w:rsid w:val="008A0A9C"/>
    <w:rsid w:val="008A0C69"/>
    <w:rsid w:val="008A0D7A"/>
    <w:rsid w:val="008A0FF0"/>
    <w:rsid w:val="008A14A8"/>
    <w:rsid w:val="008A1A00"/>
    <w:rsid w:val="008A1ACA"/>
    <w:rsid w:val="008A1B66"/>
    <w:rsid w:val="008A1BFB"/>
    <w:rsid w:val="008A1C18"/>
    <w:rsid w:val="008A1D32"/>
    <w:rsid w:val="008A1DB6"/>
    <w:rsid w:val="008A1DB7"/>
    <w:rsid w:val="008A1DEA"/>
    <w:rsid w:val="008A1F61"/>
    <w:rsid w:val="008A232F"/>
    <w:rsid w:val="008A2393"/>
    <w:rsid w:val="008A249A"/>
    <w:rsid w:val="008A2534"/>
    <w:rsid w:val="008A266B"/>
    <w:rsid w:val="008A26A7"/>
    <w:rsid w:val="008A2AB0"/>
    <w:rsid w:val="008A2B02"/>
    <w:rsid w:val="008A2B62"/>
    <w:rsid w:val="008A2C29"/>
    <w:rsid w:val="008A2D45"/>
    <w:rsid w:val="008A2DBD"/>
    <w:rsid w:val="008A2DF6"/>
    <w:rsid w:val="008A2E5A"/>
    <w:rsid w:val="008A2F3C"/>
    <w:rsid w:val="008A2F53"/>
    <w:rsid w:val="008A300F"/>
    <w:rsid w:val="008A33CA"/>
    <w:rsid w:val="008A3601"/>
    <w:rsid w:val="008A3715"/>
    <w:rsid w:val="008A389F"/>
    <w:rsid w:val="008A4648"/>
    <w:rsid w:val="008A4811"/>
    <w:rsid w:val="008A4827"/>
    <w:rsid w:val="008A4A45"/>
    <w:rsid w:val="008A4F4A"/>
    <w:rsid w:val="008A5183"/>
    <w:rsid w:val="008A524B"/>
    <w:rsid w:val="008A5716"/>
    <w:rsid w:val="008A5728"/>
    <w:rsid w:val="008A5755"/>
    <w:rsid w:val="008A592E"/>
    <w:rsid w:val="008A599A"/>
    <w:rsid w:val="008A5C69"/>
    <w:rsid w:val="008A5D6C"/>
    <w:rsid w:val="008A5E0A"/>
    <w:rsid w:val="008A5F24"/>
    <w:rsid w:val="008A5F51"/>
    <w:rsid w:val="008A6552"/>
    <w:rsid w:val="008A68AE"/>
    <w:rsid w:val="008A698C"/>
    <w:rsid w:val="008A69D1"/>
    <w:rsid w:val="008A6CA7"/>
    <w:rsid w:val="008A6E57"/>
    <w:rsid w:val="008A6FB3"/>
    <w:rsid w:val="008A6FF4"/>
    <w:rsid w:val="008A70E9"/>
    <w:rsid w:val="008A7195"/>
    <w:rsid w:val="008A7210"/>
    <w:rsid w:val="008A72D3"/>
    <w:rsid w:val="008A7345"/>
    <w:rsid w:val="008A74A8"/>
    <w:rsid w:val="008A76BC"/>
    <w:rsid w:val="008A7790"/>
    <w:rsid w:val="008A7839"/>
    <w:rsid w:val="008A78F3"/>
    <w:rsid w:val="008A7C33"/>
    <w:rsid w:val="008A7C37"/>
    <w:rsid w:val="008A7EC7"/>
    <w:rsid w:val="008B03B7"/>
    <w:rsid w:val="008B054A"/>
    <w:rsid w:val="008B060B"/>
    <w:rsid w:val="008B063F"/>
    <w:rsid w:val="008B0822"/>
    <w:rsid w:val="008B092E"/>
    <w:rsid w:val="008B0A00"/>
    <w:rsid w:val="008B0F7C"/>
    <w:rsid w:val="008B0F98"/>
    <w:rsid w:val="008B0FB1"/>
    <w:rsid w:val="008B11B2"/>
    <w:rsid w:val="008B133A"/>
    <w:rsid w:val="008B14E0"/>
    <w:rsid w:val="008B1565"/>
    <w:rsid w:val="008B1676"/>
    <w:rsid w:val="008B193E"/>
    <w:rsid w:val="008B1AD3"/>
    <w:rsid w:val="008B1E26"/>
    <w:rsid w:val="008B20B6"/>
    <w:rsid w:val="008B2217"/>
    <w:rsid w:val="008B24AA"/>
    <w:rsid w:val="008B2501"/>
    <w:rsid w:val="008B268A"/>
    <w:rsid w:val="008B28C9"/>
    <w:rsid w:val="008B2926"/>
    <w:rsid w:val="008B29EC"/>
    <w:rsid w:val="008B2C26"/>
    <w:rsid w:val="008B376E"/>
    <w:rsid w:val="008B3E01"/>
    <w:rsid w:val="008B3E96"/>
    <w:rsid w:val="008B3F81"/>
    <w:rsid w:val="008B430A"/>
    <w:rsid w:val="008B45C9"/>
    <w:rsid w:val="008B4A2A"/>
    <w:rsid w:val="008B4EAD"/>
    <w:rsid w:val="008B518D"/>
    <w:rsid w:val="008B5190"/>
    <w:rsid w:val="008B52EF"/>
    <w:rsid w:val="008B558C"/>
    <w:rsid w:val="008B55F4"/>
    <w:rsid w:val="008B583E"/>
    <w:rsid w:val="008B585B"/>
    <w:rsid w:val="008B5BA4"/>
    <w:rsid w:val="008B5C8D"/>
    <w:rsid w:val="008B5CB0"/>
    <w:rsid w:val="008B5E04"/>
    <w:rsid w:val="008B6102"/>
    <w:rsid w:val="008B6256"/>
    <w:rsid w:val="008B6B28"/>
    <w:rsid w:val="008B6E0D"/>
    <w:rsid w:val="008B6E42"/>
    <w:rsid w:val="008B6F1A"/>
    <w:rsid w:val="008B7038"/>
    <w:rsid w:val="008B70CA"/>
    <w:rsid w:val="008B7304"/>
    <w:rsid w:val="008B7363"/>
    <w:rsid w:val="008B7422"/>
    <w:rsid w:val="008B7483"/>
    <w:rsid w:val="008B7AB1"/>
    <w:rsid w:val="008B7ACD"/>
    <w:rsid w:val="008B7FB3"/>
    <w:rsid w:val="008C0164"/>
    <w:rsid w:val="008C0174"/>
    <w:rsid w:val="008C01B5"/>
    <w:rsid w:val="008C03EA"/>
    <w:rsid w:val="008C067A"/>
    <w:rsid w:val="008C0B0A"/>
    <w:rsid w:val="008C115D"/>
    <w:rsid w:val="008C1773"/>
    <w:rsid w:val="008C19F5"/>
    <w:rsid w:val="008C1AFD"/>
    <w:rsid w:val="008C1D3C"/>
    <w:rsid w:val="008C1E5C"/>
    <w:rsid w:val="008C2260"/>
    <w:rsid w:val="008C2272"/>
    <w:rsid w:val="008C2525"/>
    <w:rsid w:val="008C27EE"/>
    <w:rsid w:val="008C2B3A"/>
    <w:rsid w:val="008C30CA"/>
    <w:rsid w:val="008C38AA"/>
    <w:rsid w:val="008C39EF"/>
    <w:rsid w:val="008C3A8E"/>
    <w:rsid w:val="008C3AAB"/>
    <w:rsid w:val="008C3D41"/>
    <w:rsid w:val="008C41AB"/>
    <w:rsid w:val="008C446F"/>
    <w:rsid w:val="008C44A9"/>
    <w:rsid w:val="008C45DD"/>
    <w:rsid w:val="008C46C5"/>
    <w:rsid w:val="008C46E2"/>
    <w:rsid w:val="008C4B5B"/>
    <w:rsid w:val="008C4B94"/>
    <w:rsid w:val="008C4E93"/>
    <w:rsid w:val="008C4EFF"/>
    <w:rsid w:val="008C50F4"/>
    <w:rsid w:val="008C53F3"/>
    <w:rsid w:val="008C56C9"/>
    <w:rsid w:val="008C589A"/>
    <w:rsid w:val="008C58D5"/>
    <w:rsid w:val="008C5A32"/>
    <w:rsid w:val="008C5A8E"/>
    <w:rsid w:val="008C5BDC"/>
    <w:rsid w:val="008C5C84"/>
    <w:rsid w:val="008C5CEA"/>
    <w:rsid w:val="008C5DD2"/>
    <w:rsid w:val="008C5DDC"/>
    <w:rsid w:val="008C5ECA"/>
    <w:rsid w:val="008C5EF4"/>
    <w:rsid w:val="008C5F64"/>
    <w:rsid w:val="008C5FCB"/>
    <w:rsid w:val="008C6210"/>
    <w:rsid w:val="008C6353"/>
    <w:rsid w:val="008C69F2"/>
    <w:rsid w:val="008C6A40"/>
    <w:rsid w:val="008C788A"/>
    <w:rsid w:val="008C78B1"/>
    <w:rsid w:val="008C7D81"/>
    <w:rsid w:val="008C7F56"/>
    <w:rsid w:val="008D0039"/>
    <w:rsid w:val="008D024C"/>
    <w:rsid w:val="008D0396"/>
    <w:rsid w:val="008D052E"/>
    <w:rsid w:val="008D0557"/>
    <w:rsid w:val="008D0581"/>
    <w:rsid w:val="008D0660"/>
    <w:rsid w:val="008D0675"/>
    <w:rsid w:val="008D06A4"/>
    <w:rsid w:val="008D072A"/>
    <w:rsid w:val="008D0770"/>
    <w:rsid w:val="008D08B1"/>
    <w:rsid w:val="008D0B06"/>
    <w:rsid w:val="008D0EC0"/>
    <w:rsid w:val="008D111E"/>
    <w:rsid w:val="008D1497"/>
    <w:rsid w:val="008D15B6"/>
    <w:rsid w:val="008D189F"/>
    <w:rsid w:val="008D1AF5"/>
    <w:rsid w:val="008D1B6E"/>
    <w:rsid w:val="008D2131"/>
    <w:rsid w:val="008D2484"/>
    <w:rsid w:val="008D25FF"/>
    <w:rsid w:val="008D28CE"/>
    <w:rsid w:val="008D299D"/>
    <w:rsid w:val="008D2A61"/>
    <w:rsid w:val="008D2A93"/>
    <w:rsid w:val="008D2B8C"/>
    <w:rsid w:val="008D3281"/>
    <w:rsid w:val="008D32DE"/>
    <w:rsid w:val="008D36A4"/>
    <w:rsid w:val="008D36EB"/>
    <w:rsid w:val="008D390B"/>
    <w:rsid w:val="008D3AEB"/>
    <w:rsid w:val="008D3AF7"/>
    <w:rsid w:val="008D3D59"/>
    <w:rsid w:val="008D3EE1"/>
    <w:rsid w:val="008D3FBB"/>
    <w:rsid w:val="008D4844"/>
    <w:rsid w:val="008D4EB0"/>
    <w:rsid w:val="008D4EBE"/>
    <w:rsid w:val="008D5014"/>
    <w:rsid w:val="008D5088"/>
    <w:rsid w:val="008D5436"/>
    <w:rsid w:val="008D59EB"/>
    <w:rsid w:val="008D5AC4"/>
    <w:rsid w:val="008D5C21"/>
    <w:rsid w:val="008D61DC"/>
    <w:rsid w:val="008D649B"/>
    <w:rsid w:val="008D654C"/>
    <w:rsid w:val="008D665D"/>
    <w:rsid w:val="008D66C0"/>
    <w:rsid w:val="008D69A0"/>
    <w:rsid w:val="008D69CE"/>
    <w:rsid w:val="008D6B67"/>
    <w:rsid w:val="008D6D0C"/>
    <w:rsid w:val="008D6DD3"/>
    <w:rsid w:val="008D71F7"/>
    <w:rsid w:val="008D72BB"/>
    <w:rsid w:val="008D72E4"/>
    <w:rsid w:val="008D739E"/>
    <w:rsid w:val="008D75F5"/>
    <w:rsid w:val="008D7678"/>
    <w:rsid w:val="008D77F1"/>
    <w:rsid w:val="008D7993"/>
    <w:rsid w:val="008D7AB6"/>
    <w:rsid w:val="008D7C06"/>
    <w:rsid w:val="008D7CC6"/>
    <w:rsid w:val="008D7DCC"/>
    <w:rsid w:val="008D7F1F"/>
    <w:rsid w:val="008D7F50"/>
    <w:rsid w:val="008E04DE"/>
    <w:rsid w:val="008E071B"/>
    <w:rsid w:val="008E087B"/>
    <w:rsid w:val="008E0BD9"/>
    <w:rsid w:val="008E0C68"/>
    <w:rsid w:val="008E0F23"/>
    <w:rsid w:val="008E14AB"/>
    <w:rsid w:val="008E166B"/>
    <w:rsid w:val="008E18A8"/>
    <w:rsid w:val="008E19AA"/>
    <w:rsid w:val="008E21FE"/>
    <w:rsid w:val="008E2559"/>
    <w:rsid w:val="008E261C"/>
    <w:rsid w:val="008E2635"/>
    <w:rsid w:val="008E2845"/>
    <w:rsid w:val="008E2AE8"/>
    <w:rsid w:val="008E2C6B"/>
    <w:rsid w:val="008E2CE4"/>
    <w:rsid w:val="008E2D5C"/>
    <w:rsid w:val="008E2E2D"/>
    <w:rsid w:val="008E2E4D"/>
    <w:rsid w:val="008E2E66"/>
    <w:rsid w:val="008E2EC0"/>
    <w:rsid w:val="008E2F7C"/>
    <w:rsid w:val="008E2FF0"/>
    <w:rsid w:val="008E35FE"/>
    <w:rsid w:val="008E392A"/>
    <w:rsid w:val="008E3CE1"/>
    <w:rsid w:val="008E3D7B"/>
    <w:rsid w:val="008E3ECD"/>
    <w:rsid w:val="008E40AF"/>
    <w:rsid w:val="008E42C0"/>
    <w:rsid w:val="008E4823"/>
    <w:rsid w:val="008E485F"/>
    <w:rsid w:val="008E4BD4"/>
    <w:rsid w:val="008E4EA1"/>
    <w:rsid w:val="008E4ED1"/>
    <w:rsid w:val="008E50B2"/>
    <w:rsid w:val="008E53EA"/>
    <w:rsid w:val="008E53EC"/>
    <w:rsid w:val="008E543A"/>
    <w:rsid w:val="008E5610"/>
    <w:rsid w:val="008E5681"/>
    <w:rsid w:val="008E56F4"/>
    <w:rsid w:val="008E5AB3"/>
    <w:rsid w:val="008E5B17"/>
    <w:rsid w:val="008E5DD3"/>
    <w:rsid w:val="008E6079"/>
    <w:rsid w:val="008E617B"/>
    <w:rsid w:val="008E628D"/>
    <w:rsid w:val="008E62A3"/>
    <w:rsid w:val="008E62DA"/>
    <w:rsid w:val="008E639D"/>
    <w:rsid w:val="008E6809"/>
    <w:rsid w:val="008E734E"/>
    <w:rsid w:val="008E75A1"/>
    <w:rsid w:val="008E75E8"/>
    <w:rsid w:val="008E7799"/>
    <w:rsid w:val="008E7941"/>
    <w:rsid w:val="008E7D41"/>
    <w:rsid w:val="008E7F6E"/>
    <w:rsid w:val="008F0478"/>
    <w:rsid w:val="008F0485"/>
    <w:rsid w:val="008F0536"/>
    <w:rsid w:val="008F0542"/>
    <w:rsid w:val="008F05F1"/>
    <w:rsid w:val="008F072F"/>
    <w:rsid w:val="008F10DD"/>
    <w:rsid w:val="008F11D2"/>
    <w:rsid w:val="008F1248"/>
    <w:rsid w:val="008F1291"/>
    <w:rsid w:val="008F1406"/>
    <w:rsid w:val="008F15BD"/>
    <w:rsid w:val="008F16B2"/>
    <w:rsid w:val="008F1772"/>
    <w:rsid w:val="008F1801"/>
    <w:rsid w:val="008F191B"/>
    <w:rsid w:val="008F1E68"/>
    <w:rsid w:val="008F1E71"/>
    <w:rsid w:val="008F1EDA"/>
    <w:rsid w:val="008F21EB"/>
    <w:rsid w:val="008F22E5"/>
    <w:rsid w:val="008F2415"/>
    <w:rsid w:val="008F2697"/>
    <w:rsid w:val="008F284C"/>
    <w:rsid w:val="008F29A3"/>
    <w:rsid w:val="008F2A4E"/>
    <w:rsid w:val="008F306A"/>
    <w:rsid w:val="008F325D"/>
    <w:rsid w:val="008F326A"/>
    <w:rsid w:val="008F379E"/>
    <w:rsid w:val="008F3F2E"/>
    <w:rsid w:val="008F3F99"/>
    <w:rsid w:val="008F448D"/>
    <w:rsid w:val="008F4531"/>
    <w:rsid w:val="008F45AE"/>
    <w:rsid w:val="008F4662"/>
    <w:rsid w:val="008F487B"/>
    <w:rsid w:val="008F491C"/>
    <w:rsid w:val="008F4AF3"/>
    <w:rsid w:val="008F4C86"/>
    <w:rsid w:val="008F4CBF"/>
    <w:rsid w:val="008F510D"/>
    <w:rsid w:val="008F5919"/>
    <w:rsid w:val="008F5D11"/>
    <w:rsid w:val="008F6048"/>
    <w:rsid w:val="008F60EF"/>
    <w:rsid w:val="008F6541"/>
    <w:rsid w:val="008F6609"/>
    <w:rsid w:val="008F6733"/>
    <w:rsid w:val="008F6763"/>
    <w:rsid w:val="008F6813"/>
    <w:rsid w:val="008F6B43"/>
    <w:rsid w:val="008F6BDD"/>
    <w:rsid w:val="008F6CE3"/>
    <w:rsid w:val="008F6D02"/>
    <w:rsid w:val="008F6F4C"/>
    <w:rsid w:val="008F70AC"/>
    <w:rsid w:val="008F741C"/>
    <w:rsid w:val="008F7728"/>
    <w:rsid w:val="008F775C"/>
    <w:rsid w:val="008F7CE4"/>
    <w:rsid w:val="008F7E84"/>
    <w:rsid w:val="008F7F9C"/>
    <w:rsid w:val="00900034"/>
    <w:rsid w:val="00900378"/>
    <w:rsid w:val="0090051F"/>
    <w:rsid w:val="0090062D"/>
    <w:rsid w:val="009006C8"/>
    <w:rsid w:val="00900944"/>
    <w:rsid w:val="0090134B"/>
    <w:rsid w:val="00901448"/>
    <w:rsid w:val="00901500"/>
    <w:rsid w:val="00901A2A"/>
    <w:rsid w:val="00901AC1"/>
    <w:rsid w:val="00901DBA"/>
    <w:rsid w:val="009021CD"/>
    <w:rsid w:val="009024BA"/>
    <w:rsid w:val="009024E3"/>
    <w:rsid w:val="00903053"/>
    <w:rsid w:val="0090312F"/>
    <w:rsid w:val="0090329B"/>
    <w:rsid w:val="009036EE"/>
    <w:rsid w:val="009038DE"/>
    <w:rsid w:val="009041E2"/>
    <w:rsid w:val="00904222"/>
    <w:rsid w:val="00904253"/>
    <w:rsid w:val="009043EF"/>
    <w:rsid w:val="00904445"/>
    <w:rsid w:val="009045C0"/>
    <w:rsid w:val="0090467B"/>
    <w:rsid w:val="00904A8B"/>
    <w:rsid w:val="00904BCB"/>
    <w:rsid w:val="00904E87"/>
    <w:rsid w:val="009053B7"/>
    <w:rsid w:val="0090542C"/>
    <w:rsid w:val="00905676"/>
    <w:rsid w:val="009057F1"/>
    <w:rsid w:val="00905856"/>
    <w:rsid w:val="00905905"/>
    <w:rsid w:val="009059E9"/>
    <w:rsid w:val="00905D31"/>
    <w:rsid w:val="009062F9"/>
    <w:rsid w:val="009067D3"/>
    <w:rsid w:val="0090705C"/>
    <w:rsid w:val="009070F4"/>
    <w:rsid w:val="00907213"/>
    <w:rsid w:val="0090728B"/>
    <w:rsid w:val="0090735F"/>
    <w:rsid w:val="0090743B"/>
    <w:rsid w:val="009074DB"/>
    <w:rsid w:val="00907560"/>
    <w:rsid w:val="009075BC"/>
    <w:rsid w:val="009075FC"/>
    <w:rsid w:val="009078BB"/>
    <w:rsid w:val="00907945"/>
    <w:rsid w:val="00907D57"/>
    <w:rsid w:val="00907DE4"/>
    <w:rsid w:val="00907F98"/>
    <w:rsid w:val="00910207"/>
    <w:rsid w:val="009103A0"/>
    <w:rsid w:val="009104B6"/>
    <w:rsid w:val="009105CF"/>
    <w:rsid w:val="00910690"/>
    <w:rsid w:val="009107E9"/>
    <w:rsid w:val="0091088D"/>
    <w:rsid w:val="00910A11"/>
    <w:rsid w:val="00910DDE"/>
    <w:rsid w:val="00910EBF"/>
    <w:rsid w:val="009111EB"/>
    <w:rsid w:val="00911228"/>
    <w:rsid w:val="00911B26"/>
    <w:rsid w:val="00911D7B"/>
    <w:rsid w:val="00911D7E"/>
    <w:rsid w:val="00911DAD"/>
    <w:rsid w:val="00911DD0"/>
    <w:rsid w:val="00911E01"/>
    <w:rsid w:val="00911F6B"/>
    <w:rsid w:val="009121EB"/>
    <w:rsid w:val="009123E9"/>
    <w:rsid w:val="0091272D"/>
    <w:rsid w:val="009127F6"/>
    <w:rsid w:val="0091299F"/>
    <w:rsid w:val="00912B79"/>
    <w:rsid w:val="00912C57"/>
    <w:rsid w:val="00912D28"/>
    <w:rsid w:val="00912F36"/>
    <w:rsid w:val="00913C26"/>
    <w:rsid w:val="00913F5F"/>
    <w:rsid w:val="009141DB"/>
    <w:rsid w:val="00914425"/>
    <w:rsid w:val="00914469"/>
    <w:rsid w:val="00914821"/>
    <w:rsid w:val="009148D0"/>
    <w:rsid w:val="00914C12"/>
    <w:rsid w:val="00914D5E"/>
    <w:rsid w:val="00914F6A"/>
    <w:rsid w:val="009152D9"/>
    <w:rsid w:val="009152FD"/>
    <w:rsid w:val="0091535C"/>
    <w:rsid w:val="0091544A"/>
    <w:rsid w:val="0091548C"/>
    <w:rsid w:val="0091558C"/>
    <w:rsid w:val="00915687"/>
    <w:rsid w:val="0091576A"/>
    <w:rsid w:val="00915A66"/>
    <w:rsid w:val="00915CAA"/>
    <w:rsid w:val="009160A4"/>
    <w:rsid w:val="009161D8"/>
    <w:rsid w:val="00916598"/>
    <w:rsid w:val="009167B2"/>
    <w:rsid w:val="00916A8C"/>
    <w:rsid w:val="00916B86"/>
    <w:rsid w:val="00916DCE"/>
    <w:rsid w:val="00916ED0"/>
    <w:rsid w:val="00916F94"/>
    <w:rsid w:val="00917479"/>
    <w:rsid w:val="00917880"/>
    <w:rsid w:val="00917898"/>
    <w:rsid w:val="009178A0"/>
    <w:rsid w:val="009178EE"/>
    <w:rsid w:val="00917904"/>
    <w:rsid w:val="009179B5"/>
    <w:rsid w:val="00917D3F"/>
    <w:rsid w:val="00917D43"/>
    <w:rsid w:val="00917DB9"/>
    <w:rsid w:val="00917EA0"/>
    <w:rsid w:val="00920588"/>
    <w:rsid w:val="0092067D"/>
    <w:rsid w:val="00920B04"/>
    <w:rsid w:val="00920BF4"/>
    <w:rsid w:val="00920EA3"/>
    <w:rsid w:val="00920EF3"/>
    <w:rsid w:val="009210BA"/>
    <w:rsid w:val="0092116C"/>
    <w:rsid w:val="009211C7"/>
    <w:rsid w:val="00921405"/>
    <w:rsid w:val="00921428"/>
    <w:rsid w:val="009214FE"/>
    <w:rsid w:val="00921840"/>
    <w:rsid w:val="0092188B"/>
    <w:rsid w:val="0092190C"/>
    <w:rsid w:val="00921BD4"/>
    <w:rsid w:val="00921C34"/>
    <w:rsid w:val="00921EA4"/>
    <w:rsid w:val="00921EEE"/>
    <w:rsid w:val="009223A2"/>
    <w:rsid w:val="00922644"/>
    <w:rsid w:val="00922799"/>
    <w:rsid w:val="00922800"/>
    <w:rsid w:val="009228B0"/>
    <w:rsid w:val="00922B3C"/>
    <w:rsid w:val="00922DA9"/>
    <w:rsid w:val="00922E41"/>
    <w:rsid w:val="0092318F"/>
    <w:rsid w:val="00923251"/>
    <w:rsid w:val="00923257"/>
    <w:rsid w:val="00923518"/>
    <w:rsid w:val="0092368A"/>
    <w:rsid w:val="009236C0"/>
    <w:rsid w:val="0092377C"/>
    <w:rsid w:val="00923BEC"/>
    <w:rsid w:val="00923DF6"/>
    <w:rsid w:val="00924238"/>
    <w:rsid w:val="00924464"/>
    <w:rsid w:val="0092473C"/>
    <w:rsid w:val="00924745"/>
    <w:rsid w:val="009249F0"/>
    <w:rsid w:val="00924BBC"/>
    <w:rsid w:val="00924C26"/>
    <w:rsid w:val="009252A1"/>
    <w:rsid w:val="0092544E"/>
    <w:rsid w:val="00925497"/>
    <w:rsid w:val="009255D0"/>
    <w:rsid w:val="009255E1"/>
    <w:rsid w:val="009259C1"/>
    <w:rsid w:val="00925A70"/>
    <w:rsid w:val="009265DF"/>
    <w:rsid w:val="00926739"/>
    <w:rsid w:val="00926969"/>
    <w:rsid w:val="00926A4C"/>
    <w:rsid w:val="00926D0D"/>
    <w:rsid w:val="00926D80"/>
    <w:rsid w:val="00926F87"/>
    <w:rsid w:val="00927063"/>
    <w:rsid w:val="0092706D"/>
    <w:rsid w:val="0092716F"/>
    <w:rsid w:val="009271A1"/>
    <w:rsid w:val="0092730D"/>
    <w:rsid w:val="00927422"/>
    <w:rsid w:val="00927656"/>
    <w:rsid w:val="00927908"/>
    <w:rsid w:val="00927AFA"/>
    <w:rsid w:val="00927C89"/>
    <w:rsid w:val="00927DF7"/>
    <w:rsid w:val="00927F0E"/>
    <w:rsid w:val="00930081"/>
    <w:rsid w:val="009302F0"/>
    <w:rsid w:val="009303DA"/>
    <w:rsid w:val="00930501"/>
    <w:rsid w:val="00930511"/>
    <w:rsid w:val="00930562"/>
    <w:rsid w:val="0093082C"/>
    <w:rsid w:val="009309A7"/>
    <w:rsid w:val="00930E62"/>
    <w:rsid w:val="00930F25"/>
    <w:rsid w:val="0093102A"/>
    <w:rsid w:val="0093126A"/>
    <w:rsid w:val="0093148D"/>
    <w:rsid w:val="0093173D"/>
    <w:rsid w:val="00931A77"/>
    <w:rsid w:val="00931E0E"/>
    <w:rsid w:val="00931EFE"/>
    <w:rsid w:val="00932424"/>
    <w:rsid w:val="0093251F"/>
    <w:rsid w:val="0093256D"/>
    <w:rsid w:val="00932B08"/>
    <w:rsid w:val="00932F71"/>
    <w:rsid w:val="009336FD"/>
    <w:rsid w:val="0093376E"/>
    <w:rsid w:val="0093381A"/>
    <w:rsid w:val="009338EB"/>
    <w:rsid w:val="00933C63"/>
    <w:rsid w:val="00933D3A"/>
    <w:rsid w:val="00933DF0"/>
    <w:rsid w:val="00933FA7"/>
    <w:rsid w:val="00933FF1"/>
    <w:rsid w:val="00934158"/>
    <w:rsid w:val="0093425A"/>
    <w:rsid w:val="009343BD"/>
    <w:rsid w:val="0093468C"/>
    <w:rsid w:val="009348A9"/>
    <w:rsid w:val="00934D1A"/>
    <w:rsid w:val="00934D27"/>
    <w:rsid w:val="00934D3D"/>
    <w:rsid w:val="009350E4"/>
    <w:rsid w:val="009353F2"/>
    <w:rsid w:val="0093546D"/>
    <w:rsid w:val="0093560F"/>
    <w:rsid w:val="0093577B"/>
    <w:rsid w:val="009357B4"/>
    <w:rsid w:val="009357DF"/>
    <w:rsid w:val="0093589E"/>
    <w:rsid w:val="00935B07"/>
    <w:rsid w:val="00935BA1"/>
    <w:rsid w:val="00935C8F"/>
    <w:rsid w:val="00935E20"/>
    <w:rsid w:val="00936248"/>
    <w:rsid w:val="0093645F"/>
    <w:rsid w:val="00936643"/>
    <w:rsid w:val="009368F4"/>
    <w:rsid w:val="00936A2C"/>
    <w:rsid w:val="00936A37"/>
    <w:rsid w:val="00936DBA"/>
    <w:rsid w:val="00936ECD"/>
    <w:rsid w:val="009374A8"/>
    <w:rsid w:val="00937698"/>
    <w:rsid w:val="009376AE"/>
    <w:rsid w:val="009377D1"/>
    <w:rsid w:val="009378CB"/>
    <w:rsid w:val="0094055F"/>
    <w:rsid w:val="009408BC"/>
    <w:rsid w:val="00940966"/>
    <w:rsid w:val="00940A3A"/>
    <w:rsid w:val="00940A93"/>
    <w:rsid w:val="00940B3A"/>
    <w:rsid w:val="00940C3D"/>
    <w:rsid w:val="00940CB5"/>
    <w:rsid w:val="00940EA7"/>
    <w:rsid w:val="00940FDA"/>
    <w:rsid w:val="00941115"/>
    <w:rsid w:val="00941323"/>
    <w:rsid w:val="00941450"/>
    <w:rsid w:val="0094187F"/>
    <w:rsid w:val="00941B3B"/>
    <w:rsid w:val="00941B4F"/>
    <w:rsid w:val="00941BE8"/>
    <w:rsid w:val="00941BF7"/>
    <w:rsid w:val="00941CA0"/>
    <w:rsid w:val="009420C3"/>
    <w:rsid w:val="009421A5"/>
    <w:rsid w:val="009422ED"/>
    <w:rsid w:val="00942B5D"/>
    <w:rsid w:val="00942E7B"/>
    <w:rsid w:val="00942F40"/>
    <w:rsid w:val="00943137"/>
    <w:rsid w:val="009433DC"/>
    <w:rsid w:val="00943523"/>
    <w:rsid w:val="00943678"/>
    <w:rsid w:val="00943832"/>
    <w:rsid w:val="00943A69"/>
    <w:rsid w:val="00943A9A"/>
    <w:rsid w:val="00943CB3"/>
    <w:rsid w:val="00943D7E"/>
    <w:rsid w:val="00943EFD"/>
    <w:rsid w:val="00943EFF"/>
    <w:rsid w:val="009442D0"/>
    <w:rsid w:val="00944506"/>
    <w:rsid w:val="009446EA"/>
    <w:rsid w:val="009448A4"/>
    <w:rsid w:val="009449DE"/>
    <w:rsid w:val="00944C7B"/>
    <w:rsid w:val="00944CE5"/>
    <w:rsid w:val="00944CF3"/>
    <w:rsid w:val="00944E7A"/>
    <w:rsid w:val="00945484"/>
    <w:rsid w:val="009455F8"/>
    <w:rsid w:val="00945B2A"/>
    <w:rsid w:val="00945B40"/>
    <w:rsid w:val="00945EE3"/>
    <w:rsid w:val="009460D7"/>
    <w:rsid w:val="009461AF"/>
    <w:rsid w:val="00946276"/>
    <w:rsid w:val="00946523"/>
    <w:rsid w:val="009465D8"/>
    <w:rsid w:val="00946732"/>
    <w:rsid w:val="00946B58"/>
    <w:rsid w:val="00946B81"/>
    <w:rsid w:val="00946C2E"/>
    <w:rsid w:val="00946C5B"/>
    <w:rsid w:val="00946DF8"/>
    <w:rsid w:val="00946E9A"/>
    <w:rsid w:val="00946F94"/>
    <w:rsid w:val="00946FE4"/>
    <w:rsid w:val="009475E3"/>
    <w:rsid w:val="00947A45"/>
    <w:rsid w:val="00947CCE"/>
    <w:rsid w:val="00947E6C"/>
    <w:rsid w:val="00950611"/>
    <w:rsid w:val="00950855"/>
    <w:rsid w:val="009509EC"/>
    <w:rsid w:val="00950DEA"/>
    <w:rsid w:val="00950E56"/>
    <w:rsid w:val="00951112"/>
    <w:rsid w:val="009514B0"/>
    <w:rsid w:val="009515DA"/>
    <w:rsid w:val="009516F8"/>
    <w:rsid w:val="00951E0C"/>
    <w:rsid w:val="00951E11"/>
    <w:rsid w:val="00951EFD"/>
    <w:rsid w:val="009526A7"/>
    <w:rsid w:val="009527FE"/>
    <w:rsid w:val="00952A25"/>
    <w:rsid w:val="00952C75"/>
    <w:rsid w:val="00952CA7"/>
    <w:rsid w:val="00952CF3"/>
    <w:rsid w:val="00952D41"/>
    <w:rsid w:val="00952D6A"/>
    <w:rsid w:val="00952E01"/>
    <w:rsid w:val="009534B0"/>
    <w:rsid w:val="00953726"/>
    <w:rsid w:val="00953880"/>
    <w:rsid w:val="00953B84"/>
    <w:rsid w:val="00953C6E"/>
    <w:rsid w:val="00953D46"/>
    <w:rsid w:val="00954387"/>
    <w:rsid w:val="009545E8"/>
    <w:rsid w:val="00954A28"/>
    <w:rsid w:val="00954C0F"/>
    <w:rsid w:val="00954E26"/>
    <w:rsid w:val="00954E51"/>
    <w:rsid w:val="0095535B"/>
    <w:rsid w:val="009556D5"/>
    <w:rsid w:val="0095572E"/>
    <w:rsid w:val="00955872"/>
    <w:rsid w:val="0095589B"/>
    <w:rsid w:val="00955A0F"/>
    <w:rsid w:val="009560AE"/>
    <w:rsid w:val="009560D4"/>
    <w:rsid w:val="00956255"/>
    <w:rsid w:val="00956385"/>
    <w:rsid w:val="00956527"/>
    <w:rsid w:val="009566E1"/>
    <w:rsid w:val="0095673A"/>
    <w:rsid w:val="0095673F"/>
    <w:rsid w:val="009567BF"/>
    <w:rsid w:val="009568EC"/>
    <w:rsid w:val="00956BCE"/>
    <w:rsid w:val="00956D7B"/>
    <w:rsid w:val="00956DB5"/>
    <w:rsid w:val="009572CC"/>
    <w:rsid w:val="009574BE"/>
    <w:rsid w:val="009579BF"/>
    <w:rsid w:val="00957A1E"/>
    <w:rsid w:val="00957F09"/>
    <w:rsid w:val="00957F39"/>
    <w:rsid w:val="0096029B"/>
    <w:rsid w:val="00960325"/>
    <w:rsid w:val="00960389"/>
    <w:rsid w:val="009604AD"/>
    <w:rsid w:val="00960527"/>
    <w:rsid w:val="0096054D"/>
    <w:rsid w:val="00960571"/>
    <w:rsid w:val="00960779"/>
    <w:rsid w:val="009607A2"/>
    <w:rsid w:val="009609C9"/>
    <w:rsid w:val="00960A9B"/>
    <w:rsid w:val="00960DB1"/>
    <w:rsid w:val="00960F84"/>
    <w:rsid w:val="00961032"/>
    <w:rsid w:val="009610B0"/>
    <w:rsid w:val="009610D4"/>
    <w:rsid w:val="009613EC"/>
    <w:rsid w:val="009614B5"/>
    <w:rsid w:val="00961979"/>
    <w:rsid w:val="00961A2E"/>
    <w:rsid w:val="00961AA0"/>
    <w:rsid w:val="00961AFE"/>
    <w:rsid w:val="00961BC1"/>
    <w:rsid w:val="00961CCA"/>
    <w:rsid w:val="00961D7C"/>
    <w:rsid w:val="00961DB4"/>
    <w:rsid w:val="00961E72"/>
    <w:rsid w:val="00961E9E"/>
    <w:rsid w:val="009621E5"/>
    <w:rsid w:val="0096242F"/>
    <w:rsid w:val="009625E5"/>
    <w:rsid w:val="00962A40"/>
    <w:rsid w:val="00962CA3"/>
    <w:rsid w:val="00962D5C"/>
    <w:rsid w:val="00962E23"/>
    <w:rsid w:val="00962F76"/>
    <w:rsid w:val="009632A9"/>
    <w:rsid w:val="00963326"/>
    <w:rsid w:val="009635BA"/>
    <w:rsid w:val="009636AF"/>
    <w:rsid w:val="009638CA"/>
    <w:rsid w:val="00963968"/>
    <w:rsid w:val="009639B9"/>
    <w:rsid w:val="00963A1F"/>
    <w:rsid w:val="00963CA1"/>
    <w:rsid w:val="00963E4C"/>
    <w:rsid w:val="00963EC9"/>
    <w:rsid w:val="0096463E"/>
    <w:rsid w:val="00964749"/>
    <w:rsid w:val="00964CC7"/>
    <w:rsid w:val="00964F6E"/>
    <w:rsid w:val="009651B6"/>
    <w:rsid w:val="0096551C"/>
    <w:rsid w:val="0096554F"/>
    <w:rsid w:val="0096574A"/>
    <w:rsid w:val="00965DD2"/>
    <w:rsid w:val="00965DF2"/>
    <w:rsid w:val="009661E4"/>
    <w:rsid w:val="009665CC"/>
    <w:rsid w:val="00966622"/>
    <w:rsid w:val="009666AB"/>
    <w:rsid w:val="009668F3"/>
    <w:rsid w:val="0096690C"/>
    <w:rsid w:val="00966B85"/>
    <w:rsid w:val="00966CB6"/>
    <w:rsid w:val="00966FB8"/>
    <w:rsid w:val="009674A0"/>
    <w:rsid w:val="00967669"/>
    <w:rsid w:val="009676E3"/>
    <w:rsid w:val="0096773D"/>
    <w:rsid w:val="0096781B"/>
    <w:rsid w:val="009678F6"/>
    <w:rsid w:val="00967A92"/>
    <w:rsid w:val="00967CDF"/>
    <w:rsid w:val="00967F90"/>
    <w:rsid w:val="0097036B"/>
    <w:rsid w:val="00970745"/>
    <w:rsid w:val="00970815"/>
    <w:rsid w:val="00970A0A"/>
    <w:rsid w:val="00970A90"/>
    <w:rsid w:val="00970C20"/>
    <w:rsid w:val="00970CBC"/>
    <w:rsid w:val="0097109D"/>
    <w:rsid w:val="009717B6"/>
    <w:rsid w:val="0097180D"/>
    <w:rsid w:val="0097192A"/>
    <w:rsid w:val="00971997"/>
    <w:rsid w:val="00971DC8"/>
    <w:rsid w:val="00972100"/>
    <w:rsid w:val="00972369"/>
    <w:rsid w:val="00972387"/>
    <w:rsid w:val="0097244C"/>
    <w:rsid w:val="0097245C"/>
    <w:rsid w:val="0097271B"/>
    <w:rsid w:val="0097284A"/>
    <w:rsid w:val="00972ACB"/>
    <w:rsid w:val="00972AED"/>
    <w:rsid w:val="00972C94"/>
    <w:rsid w:val="00972D7D"/>
    <w:rsid w:val="00972E92"/>
    <w:rsid w:val="0097310A"/>
    <w:rsid w:val="0097320B"/>
    <w:rsid w:val="009736AE"/>
    <w:rsid w:val="0097390C"/>
    <w:rsid w:val="00973A23"/>
    <w:rsid w:val="00973B17"/>
    <w:rsid w:val="00973BAB"/>
    <w:rsid w:val="00973E5B"/>
    <w:rsid w:val="0097417C"/>
    <w:rsid w:val="00974936"/>
    <w:rsid w:val="00974988"/>
    <w:rsid w:val="00974D16"/>
    <w:rsid w:val="00974DAF"/>
    <w:rsid w:val="00974E97"/>
    <w:rsid w:val="00974EF9"/>
    <w:rsid w:val="009750A0"/>
    <w:rsid w:val="00975B8C"/>
    <w:rsid w:val="00975CCB"/>
    <w:rsid w:val="00976319"/>
    <w:rsid w:val="009763B9"/>
    <w:rsid w:val="00976553"/>
    <w:rsid w:val="00976710"/>
    <w:rsid w:val="009768BB"/>
    <w:rsid w:val="00976AC7"/>
    <w:rsid w:val="00976AEF"/>
    <w:rsid w:val="00976D57"/>
    <w:rsid w:val="009770DF"/>
    <w:rsid w:val="00977149"/>
    <w:rsid w:val="0097718E"/>
    <w:rsid w:val="009773E8"/>
    <w:rsid w:val="00977912"/>
    <w:rsid w:val="0097796B"/>
    <w:rsid w:val="00977B07"/>
    <w:rsid w:val="00977B26"/>
    <w:rsid w:val="00977BDE"/>
    <w:rsid w:val="00977C8E"/>
    <w:rsid w:val="00977D97"/>
    <w:rsid w:val="009802F2"/>
    <w:rsid w:val="00980700"/>
    <w:rsid w:val="009807B0"/>
    <w:rsid w:val="00980816"/>
    <w:rsid w:val="00980831"/>
    <w:rsid w:val="009809C3"/>
    <w:rsid w:val="00980A1B"/>
    <w:rsid w:val="00980EC1"/>
    <w:rsid w:val="009811A2"/>
    <w:rsid w:val="0098122C"/>
    <w:rsid w:val="009812CE"/>
    <w:rsid w:val="00981304"/>
    <w:rsid w:val="00981514"/>
    <w:rsid w:val="00981A02"/>
    <w:rsid w:val="00981CA7"/>
    <w:rsid w:val="00981F2E"/>
    <w:rsid w:val="00982015"/>
    <w:rsid w:val="009824D7"/>
    <w:rsid w:val="009825BF"/>
    <w:rsid w:val="009826B5"/>
    <w:rsid w:val="0098270A"/>
    <w:rsid w:val="009828BE"/>
    <w:rsid w:val="00982AA4"/>
    <w:rsid w:val="00982DCD"/>
    <w:rsid w:val="00982DED"/>
    <w:rsid w:val="00982F41"/>
    <w:rsid w:val="00983130"/>
    <w:rsid w:val="009832DB"/>
    <w:rsid w:val="00983417"/>
    <w:rsid w:val="009834FA"/>
    <w:rsid w:val="00983551"/>
    <w:rsid w:val="00983C30"/>
    <w:rsid w:val="00983F0D"/>
    <w:rsid w:val="00984223"/>
    <w:rsid w:val="00984466"/>
    <w:rsid w:val="00984562"/>
    <w:rsid w:val="00984902"/>
    <w:rsid w:val="00984B29"/>
    <w:rsid w:val="00984B2D"/>
    <w:rsid w:val="00984BD7"/>
    <w:rsid w:val="00984F4B"/>
    <w:rsid w:val="00984F95"/>
    <w:rsid w:val="00985311"/>
    <w:rsid w:val="009853C5"/>
    <w:rsid w:val="0098549F"/>
    <w:rsid w:val="009854B5"/>
    <w:rsid w:val="0098556B"/>
    <w:rsid w:val="0098557B"/>
    <w:rsid w:val="009855D9"/>
    <w:rsid w:val="00985621"/>
    <w:rsid w:val="00985790"/>
    <w:rsid w:val="00985B86"/>
    <w:rsid w:val="00985CC8"/>
    <w:rsid w:val="00985CCE"/>
    <w:rsid w:val="00985CE5"/>
    <w:rsid w:val="0098607B"/>
    <w:rsid w:val="00986094"/>
    <w:rsid w:val="009863D8"/>
    <w:rsid w:val="00986863"/>
    <w:rsid w:val="00986998"/>
    <w:rsid w:val="00986A03"/>
    <w:rsid w:val="00986BC8"/>
    <w:rsid w:val="00986CBE"/>
    <w:rsid w:val="00986DE0"/>
    <w:rsid w:val="00987286"/>
    <w:rsid w:val="009872F4"/>
    <w:rsid w:val="009874A7"/>
    <w:rsid w:val="00987505"/>
    <w:rsid w:val="0098761C"/>
    <w:rsid w:val="00987704"/>
    <w:rsid w:val="0098771D"/>
    <w:rsid w:val="0098798F"/>
    <w:rsid w:val="00987A7D"/>
    <w:rsid w:val="00987C85"/>
    <w:rsid w:val="00987FEA"/>
    <w:rsid w:val="009903AB"/>
    <w:rsid w:val="00990CBD"/>
    <w:rsid w:val="00990DC2"/>
    <w:rsid w:val="00990DE4"/>
    <w:rsid w:val="009911A4"/>
    <w:rsid w:val="00991C7F"/>
    <w:rsid w:val="00991DE9"/>
    <w:rsid w:val="009921BB"/>
    <w:rsid w:val="009925A5"/>
    <w:rsid w:val="009925D6"/>
    <w:rsid w:val="0099273D"/>
    <w:rsid w:val="00992809"/>
    <w:rsid w:val="0099289E"/>
    <w:rsid w:val="00992D0B"/>
    <w:rsid w:val="00992E47"/>
    <w:rsid w:val="009930A1"/>
    <w:rsid w:val="00993327"/>
    <w:rsid w:val="0099339A"/>
    <w:rsid w:val="009936CE"/>
    <w:rsid w:val="00993729"/>
    <w:rsid w:val="00993965"/>
    <w:rsid w:val="00993A88"/>
    <w:rsid w:val="00993D1A"/>
    <w:rsid w:val="00993D5A"/>
    <w:rsid w:val="00993ECD"/>
    <w:rsid w:val="00993ED5"/>
    <w:rsid w:val="00993FC1"/>
    <w:rsid w:val="00994016"/>
    <w:rsid w:val="009941F4"/>
    <w:rsid w:val="009942ED"/>
    <w:rsid w:val="0099441E"/>
    <w:rsid w:val="009944EB"/>
    <w:rsid w:val="00994C38"/>
    <w:rsid w:val="009950BB"/>
    <w:rsid w:val="009952E0"/>
    <w:rsid w:val="00995698"/>
    <w:rsid w:val="009956CE"/>
    <w:rsid w:val="00995B5C"/>
    <w:rsid w:val="00995BAE"/>
    <w:rsid w:val="009962E9"/>
    <w:rsid w:val="0099633E"/>
    <w:rsid w:val="009963ED"/>
    <w:rsid w:val="0099647A"/>
    <w:rsid w:val="0099679A"/>
    <w:rsid w:val="00996AB7"/>
    <w:rsid w:val="00996AB8"/>
    <w:rsid w:val="00996FC8"/>
    <w:rsid w:val="0099715A"/>
    <w:rsid w:val="009971A3"/>
    <w:rsid w:val="0099732E"/>
    <w:rsid w:val="009973B1"/>
    <w:rsid w:val="009977B8"/>
    <w:rsid w:val="009977C9"/>
    <w:rsid w:val="00997886"/>
    <w:rsid w:val="00997894"/>
    <w:rsid w:val="00997A86"/>
    <w:rsid w:val="00997AE6"/>
    <w:rsid w:val="00997C47"/>
    <w:rsid w:val="00997EE5"/>
    <w:rsid w:val="009A01BE"/>
    <w:rsid w:val="009A0488"/>
    <w:rsid w:val="009A04E4"/>
    <w:rsid w:val="009A0CA0"/>
    <w:rsid w:val="009A0D70"/>
    <w:rsid w:val="009A0E4B"/>
    <w:rsid w:val="009A1003"/>
    <w:rsid w:val="009A11B2"/>
    <w:rsid w:val="009A11FA"/>
    <w:rsid w:val="009A1464"/>
    <w:rsid w:val="009A1556"/>
    <w:rsid w:val="009A1B31"/>
    <w:rsid w:val="009A1CC3"/>
    <w:rsid w:val="009A1E05"/>
    <w:rsid w:val="009A223F"/>
    <w:rsid w:val="009A224B"/>
    <w:rsid w:val="009A253D"/>
    <w:rsid w:val="009A2577"/>
    <w:rsid w:val="009A2716"/>
    <w:rsid w:val="009A27EA"/>
    <w:rsid w:val="009A29DF"/>
    <w:rsid w:val="009A2A6D"/>
    <w:rsid w:val="009A323D"/>
    <w:rsid w:val="009A3363"/>
    <w:rsid w:val="009A339C"/>
    <w:rsid w:val="009A38D7"/>
    <w:rsid w:val="009A390D"/>
    <w:rsid w:val="009A3A0D"/>
    <w:rsid w:val="009A3AB2"/>
    <w:rsid w:val="009A3B44"/>
    <w:rsid w:val="009A3DA7"/>
    <w:rsid w:val="009A3FAD"/>
    <w:rsid w:val="009A3FBB"/>
    <w:rsid w:val="009A4071"/>
    <w:rsid w:val="009A4615"/>
    <w:rsid w:val="009A468B"/>
    <w:rsid w:val="009A49FE"/>
    <w:rsid w:val="009A4A88"/>
    <w:rsid w:val="009A4F29"/>
    <w:rsid w:val="009A4FEF"/>
    <w:rsid w:val="009A555E"/>
    <w:rsid w:val="009A5611"/>
    <w:rsid w:val="009A5819"/>
    <w:rsid w:val="009A5D6C"/>
    <w:rsid w:val="009A5FE1"/>
    <w:rsid w:val="009A60BA"/>
    <w:rsid w:val="009A6132"/>
    <w:rsid w:val="009A6291"/>
    <w:rsid w:val="009A6C42"/>
    <w:rsid w:val="009A6FF7"/>
    <w:rsid w:val="009A7169"/>
    <w:rsid w:val="009A7170"/>
    <w:rsid w:val="009A717B"/>
    <w:rsid w:val="009A719C"/>
    <w:rsid w:val="009A7455"/>
    <w:rsid w:val="009A7545"/>
    <w:rsid w:val="009A7A0E"/>
    <w:rsid w:val="009A7C2A"/>
    <w:rsid w:val="009A7E25"/>
    <w:rsid w:val="009A7E27"/>
    <w:rsid w:val="009B006B"/>
    <w:rsid w:val="009B0110"/>
    <w:rsid w:val="009B0216"/>
    <w:rsid w:val="009B06C6"/>
    <w:rsid w:val="009B0755"/>
    <w:rsid w:val="009B0B93"/>
    <w:rsid w:val="009B0D74"/>
    <w:rsid w:val="009B0E29"/>
    <w:rsid w:val="009B0ED4"/>
    <w:rsid w:val="009B0FF3"/>
    <w:rsid w:val="009B10A3"/>
    <w:rsid w:val="009B1255"/>
    <w:rsid w:val="009B127A"/>
    <w:rsid w:val="009B12C0"/>
    <w:rsid w:val="009B1392"/>
    <w:rsid w:val="009B1C11"/>
    <w:rsid w:val="009B1D1A"/>
    <w:rsid w:val="009B1D8D"/>
    <w:rsid w:val="009B20B3"/>
    <w:rsid w:val="009B224E"/>
    <w:rsid w:val="009B2304"/>
    <w:rsid w:val="009B2471"/>
    <w:rsid w:val="009B25E4"/>
    <w:rsid w:val="009B267E"/>
    <w:rsid w:val="009B2AA4"/>
    <w:rsid w:val="009B2B8C"/>
    <w:rsid w:val="009B2BBC"/>
    <w:rsid w:val="009B2C78"/>
    <w:rsid w:val="009B2DEE"/>
    <w:rsid w:val="009B2F50"/>
    <w:rsid w:val="009B3099"/>
    <w:rsid w:val="009B30DE"/>
    <w:rsid w:val="009B387A"/>
    <w:rsid w:val="009B39F2"/>
    <w:rsid w:val="009B3E3A"/>
    <w:rsid w:val="009B428C"/>
    <w:rsid w:val="009B4397"/>
    <w:rsid w:val="009B43DD"/>
    <w:rsid w:val="009B45AB"/>
    <w:rsid w:val="009B46AB"/>
    <w:rsid w:val="009B470A"/>
    <w:rsid w:val="009B476A"/>
    <w:rsid w:val="009B4AFA"/>
    <w:rsid w:val="009B4E1D"/>
    <w:rsid w:val="009B4FA5"/>
    <w:rsid w:val="009B533F"/>
    <w:rsid w:val="009B550D"/>
    <w:rsid w:val="009B56C2"/>
    <w:rsid w:val="009B5831"/>
    <w:rsid w:val="009B59AB"/>
    <w:rsid w:val="009B5B0E"/>
    <w:rsid w:val="009B5B1F"/>
    <w:rsid w:val="009B5BBE"/>
    <w:rsid w:val="009B6096"/>
    <w:rsid w:val="009B6252"/>
    <w:rsid w:val="009B62F4"/>
    <w:rsid w:val="009B62FD"/>
    <w:rsid w:val="009B676A"/>
    <w:rsid w:val="009B688D"/>
    <w:rsid w:val="009B68CA"/>
    <w:rsid w:val="009B692C"/>
    <w:rsid w:val="009B6B34"/>
    <w:rsid w:val="009B6B9B"/>
    <w:rsid w:val="009B6C34"/>
    <w:rsid w:val="009B6D8E"/>
    <w:rsid w:val="009B724A"/>
    <w:rsid w:val="009B73B5"/>
    <w:rsid w:val="009B7409"/>
    <w:rsid w:val="009B7695"/>
    <w:rsid w:val="009B76E8"/>
    <w:rsid w:val="009B78CB"/>
    <w:rsid w:val="009B7909"/>
    <w:rsid w:val="009B7D14"/>
    <w:rsid w:val="009B7D16"/>
    <w:rsid w:val="009B7D47"/>
    <w:rsid w:val="009B7D48"/>
    <w:rsid w:val="009B7E0E"/>
    <w:rsid w:val="009B7F5F"/>
    <w:rsid w:val="009C0105"/>
    <w:rsid w:val="009C02FB"/>
    <w:rsid w:val="009C0554"/>
    <w:rsid w:val="009C069C"/>
    <w:rsid w:val="009C0891"/>
    <w:rsid w:val="009C091C"/>
    <w:rsid w:val="009C0AEF"/>
    <w:rsid w:val="009C0B66"/>
    <w:rsid w:val="009C0DC9"/>
    <w:rsid w:val="009C106D"/>
    <w:rsid w:val="009C132B"/>
    <w:rsid w:val="009C134E"/>
    <w:rsid w:val="009C1493"/>
    <w:rsid w:val="009C186E"/>
    <w:rsid w:val="009C1C4A"/>
    <w:rsid w:val="009C1D0C"/>
    <w:rsid w:val="009C1E11"/>
    <w:rsid w:val="009C1EB4"/>
    <w:rsid w:val="009C221A"/>
    <w:rsid w:val="009C23A2"/>
    <w:rsid w:val="009C2405"/>
    <w:rsid w:val="009C25AA"/>
    <w:rsid w:val="009C25DB"/>
    <w:rsid w:val="009C25FA"/>
    <w:rsid w:val="009C2AF7"/>
    <w:rsid w:val="009C2BD6"/>
    <w:rsid w:val="009C2C68"/>
    <w:rsid w:val="009C2CEC"/>
    <w:rsid w:val="009C3098"/>
    <w:rsid w:val="009C3256"/>
    <w:rsid w:val="009C37A6"/>
    <w:rsid w:val="009C37F3"/>
    <w:rsid w:val="009C39D7"/>
    <w:rsid w:val="009C4022"/>
    <w:rsid w:val="009C4170"/>
    <w:rsid w:val="009C4285"/>
    <w:rsid w:val="009C42B6"/>
    <w:rsid w:val="009C4486"/>
    <w:rsid w:val="009C452D"/>
    <w:rsid w:val="009C45A0"/>
    <w:rsid w:val="009C45F2"/>
    <w:rsid w:val="009C4730"/>
    <w:rsid w:val="009C49EC"/>
    <w:rsid w:val="009C4D02"/>
    <w:rsid w:val="009C4D90"/>
    <w:rsid w:val="009C52B2"/>
    <w:rsid w:val="009C5303"/>
    <w:rsid w:val="009C5B55"/>
    <w:rsid w:val="009C5DF2"/>
    <w:rsid w:val="009C6178"/>
    <w:rsid w:val="009C6419"/>
    <w:rsid w:val="009C6A03"/>
    <w:rsid w:val="009C6D1D"/>
    <w:rsid w:val="009C6E22"/>
    <w:rsid w:val="009C71D9"/>
    <w:rsid w:val="009C72CC"/>
    <w:rsid w:val="009C7399"/>
    <w:rsid w:val="009C77E7"/>
    <w:rsid w:val="009C7A94"/>
    <w:rsid w:val="009C7C6F"/>
    <w:rsid w:val="009C7DC8"/>
    <w:rsid w:val="009D00A0"/>
    <w:rsid w:val="009D020A"/>
    <w:rsid w:val="009D027F"/>
    <w:rsid w:val="009D03E3"/>
    <w:rsid w:val="009D052A"/>
    <w:rsid w:val="009D0740"/>
    <w:rsid w:val="009D0D41"/>
    <w:rsid w:val="009D0E53"/>
    <w:rsid w:val="009D0F23"/>
    <w:rsid w:val="009D10CE"/>
    <w:rsid w:val="009D1142"/>
    <w:rsid w:val="009D1716"/>
    <w:rsid w:val="009D1817"/>
    <w:rsid w:val="009D1990"/>
    <w:rsid w:val="009D1C5F"/>
    <w:rsid w:val="009D24FE"/>
    <w:rsid w:val="009D2AFF"/>
    <w:rsid w:val="009D2FD8"/>
    <w:rsid w:val="009D31CA"/>
    <w:rsid w:val="009D39B9"/>
    <w:rsid w:val="009D4210"/>
    <w:rsid w:val="009D4227"/>
    <w:rsid w:val="009D4467"/>
    <w:rsid w:val="009D4657"/>
    <w:rsid w:val="009D478F"/>
    <w:rsid w:val="009D4807"/>
    <w:rsid w:val="009D4812"/>
    <w:rsid w:val="009D4966"/>
    <w:rsid w:val="009D4A63"/>
    <w:rsid w:val="009D4A64"/>
    <w:rsid w:val="009D4C9E"/>
    <w:rsid w:val="009D4CBB"/>
    <w:rsid w:val="009D4CDA"/>
    <w:rsid w:val="009D564A"/>
    <w:rsid w:val="009D570A"/>
    <w:rsid w:val="009D5723"/>
    <w:rsid w:val="009D5889"/>
    <w:rsid w:val="009D58A7"/>
    <w:rsid w:val="009D59FB"/>
    <w:rsid w:val="009D5A70"/>
    <w:rsid w:val="009D5ADB"/>
    <w:rsid w:val="009D5F72"/>
    <w:rsid w:val="009D6153"/>
    <w:rsid w:val="009D6204"/>
    <w:rsid w:val="009D642A"/>
    <w:rsid w:val="009D667E"/>
    <w:rsid w:val="009D67B1"/>
    <w:rsid w:val="009D702F"/>
    <w:rsid w:val="009D7295"/>
    <w:rsid w:val="009D73A5"/>
    <w:rsid w:val="009D73B5"/>
    <w:rsid w:val="009D7477"/>
    <w:rsid w:val="009D76F9"/>
    <w:rsid w:val="009D7788"/>
    <w:rsid w:val="009D7B37"/>
    <w:rsid w:val="009D7EA3"/>
    <w:rsid w:val="009E0222"/>
    <w:rsid w:val="009E023A"/>
    <w:rsid w:val="009E0452"/>
    <w:rsid w:val="009E075C"/>
    <w:rsid w:val="009E082C"/>
    <w:rsid w:val="009E085E"/>
    <w:rsid w:val="009E08BF"/>
    <w:rsid w:val="009E099C"/>
    <w:rsid w:val="009E0C74"/>
    <w:rsid w:val="009E0D37"/>
    <w:rsid w:val="009E0ECE"/>
    <w:rsid w:val="009E117E"/>
    <w:rsid w:val="009E1238"/>
    <w:rsid w:val="009E158F"/>
    <w:rsid w:val="009E1640"/>
    <w:rsid w:val="009E1B06"/>
    <w:rsid w:val="009E1B88"/>
    <w:rsid w:val="009E1C44"/>
    <w:rsid w:val="009E2062"/>
    <w:rsid w:val="009E24CC"/>
    <w:rsid w:val="009E26CC"/>
    <w:rsid w:val="009E283C"/>
    <w:rsid w:val="009E28B4"/>
    <w:rsid w:val="009E290B"/>
    <w:rsid w:val="009E2A91"/>
    <w:rsid w:val="009E2B33"/>
    <w:rsid w:val="009E2D42"/>
    <w:rsid w:val="009E2DF1"/>
    <w:rsid w:val="009E2F75"/>
    <w:rsid w:val="009E33B7"/>
    <w:rsid w:val="009E34D7"/>
    <w:rsid w:val="009E35AA"/>
    <w:rsid w:val="009E3ADC"/>
    <w:rsid w:val="009E3B84"/>
    <w:rsid w:val="009E3EE0"/>
    <w:rsid w:val="009E3F71"/>
    <w:rsid w:val="009E4212"/>
    <w:rsid w:val="009E42B3"/>
    <w:rsid w:val="009E47E9"/>
    <w:rsid w:val="009E48E5"/>
    <w:rsid w:val="009E4909"/>
    <w:rsid w:val="009E490F"/>
    <w:rsid w:val="009E4C77"/>
    <w:rsid w:val="009E51C6"/>
    <w:rsid w:val="009E55AD"/>
    <w:rsid w:val="009E5763"/>
    <w:rsid w:val="009E57FD"/>
    <w:rsid w:val="009E582A"/>
    <w:rsid w:val="009E5B89"/>
    <w:rsid w:val="009E5CD5"/>
    <w:rsid w:val="009E5D24"/>
    <w:rsid w:val="009E6270"/>
    <w:rsid w:val="009E6388"/>
    <w:rsid w:val="009E658C"/>
    <w:rsid w:val="009E6680"/>
    <w:rsid w:val="009E6E05"/>
    <w:rsid w:val="009E72EB"/>
    <w:rsid w:val="009E739A"/>
    <w:rsid w:val="009E756B"/>
    <w:rsid w:val="009E796E"/>
    <w:rsid w:val="009E79F5"/>
    <w:rsid w:val="009E7B3B"/>
    <w:rsid w:val="009E7C22"/>
    <w:rsid w:val="009F001F"/>
    <w:rsid w:val="009F0313"/>
    <w:rsid w:val="009F06FD"/>
    <w:rsid w:val="009F0794"/>
    <w:rsid w:val="009F095B"/>
    <w:rsid w:val="009F0A23"/>
    <w:rsid w:val="009F0A75"/>
    <w:rsid w:val="009F0D51"/>
    <w:rsid w:val="009F121D"/>
    <w:rsid w:val="009F130A"/>
    <w:rsid w:val="009F14CB"/>
    <w:rsid w:val="009F1645"/>
    <w:rsid w:val="009F1950"/>
    <w:rsid w:val="009F19E4"/>
    <w:rsid w:val="009F1EFC"/>
    <w:rsid w:val="009F2420"/>
    <w:rsid w:val="009F259F"/>
    <w:rsid w:val="009F2638"/>
    <w:rsid w:val="009F273C"/>
    <w:rsid w:val="009F2836"/>
    <w:rsid w:val="009F2847"/>
    <w:rsid w:val="009F298E"/>
    <w:rsid w:val="009F2A49"/>
    <w:rsid w:val="009F2B07"/>
    <w:rsid w:val="009F2B6F"/>
    <w:rsid w:val="009F308E"/>
    <w:rsid w:val="009F31EB"/>
    <w:rsid w:val="009F359F"/>
    <w:rsid w:val="009F3723"/>
    <w:rsid w:val="009F3805"/>
    <w:rsid w:val="009F38A4"/>
    <w:rsid w:val="009F3C59"/>
    <w:rsid w:val="009F3D96"/>
    <w:rsid w:val="009F3DF3"/>
    <w:rsid w:val="009F3EAD"/>
    <w:rsid w:val="009F4197"/>
    <w:rsid w:val="009F421B"/>
    <w:rsid w:val="009F4360"/>
    <w:rsid w:val="009F473B"/>
    <w:rsid w:val="009F48EE"/>
    <w:rsid w:val="009F4AB6"/>
    <w:rsid w:val="009F4AFE"/>
    <w:rsid w:val="009F4CDC"/>
    <w:rsid w:val="009F4D90"/>
    <w:rsid w:val="009F4F44"/>
    <w:rsid w:val="009F4FE4"/>
    <w:rsid w:val="009F52A7"/>
    <w:rsid w:val="009F53C7"/>
    <w:rsid w:val="009F556B"/>
    <w:rsid w:val="009F572C"/>
    <w:rsid w:val="009F6654"/>
    <w:rsid w:val="009F6863"/>
    <w:rsid w:val="009F6912"/>
    <w:rsid w:val="009F6AB1"/>
    <w:rsid w:val="009F6C35"/>
    <w:rsid w:val="009F712A"/>
    <w:rsid w:val="009F72F4"/>
    <w:rsid w:val="009F7346"/>
    <w:rsid w:val="009F73C6"/>
    <w:rsid w:val="009F75B0"/>
    <w:rsid w:val="009F7639"/>
    <w:rsid w:val="009F76FD"/>
    <w:rsid w:val="009F77A2"/>
    <w:rsid w:val="009F77D5"/>
    <w:rsid w:val="009F7FC3"/>
    <w:rsid w:val="00A003FC"/>
    <w:rsid w:val="00A005C1"/>
    <w:rsid w:val="00A00613"/>
    <w:rsid w:val="00A00620"/>
    <w:rsid w:val="00A00672"/>
    <w:rsid w:val="00A006AE"/>
    <w:rsid w:val="00A00781"/>
    <w:rsid w:val="00A00E83"/>
    <w:rsid w:val="00A00E8F"/>
    <w:rsid w:val="00A013AF"/>
    <w:rsid w:val="00A01584"/>
    <w:rsid w:val="00A01A42"/>
    <w:rsid w:val="00A01F36"/>
    <w:rsid w:val="00A0202B"/>
    <w:rsid w:val="00A02140"/>
    <w:rsid w:val="00A02433"/>
    <w:rsid w:val="00A02681"/>
    <w:rsid w:val="00A02B92"/>
    <w:rsid w:val="00A02CE8"/>
    <w:rsid w:val="00A02F6D"/>
    <w:rsid w:val="00A030C7"/>
    <w:rsid w:val="00A03AE8"/>
    <w:rsid w:val="00A03BF7"/>
    <w:rsid w:val="00A03E5D"/>
    <w:rsid w:val="00A03EF9"/>
    <w:rsid w:val="00A040A9"/>
    <w:rsid w:val="00A0436F"/>
    <w:rsid w:val="00A044F9"/>
    <w:rsid w:val="00A049A1"/>
    <w:rsid w:val="00A04CB1"/>
    <w:rsid w:val="00A04D87"/>
    <w:rsid w:val="00A04EFA"/>
    <w:rsid w:val="00A05008"/>
    <w:rsid w:val="00A0529C"/>
    <w:rsid w:val="00A05483"/>
    <w:rsid w:val="00A054BC"/>
    <w:rsid w:val="00A057F1"/>
    <w:rsid w:val="00A05860"/>
    <w:rsid w:val="00A058B9"/>
    <w:rsid w:val="00A05A13"/>
    <w:rsid w:val="00A05A5F"/>
    <w:rsid w:val="00A05AB5"/>
    <w:rsid w:val="00A05B52"/>
    <w:rsid w:val="00A05D4E"/>
    <w:rsid w:val="00A05E01"/>
    <w:rsid w:val="00A05FFA"/>
    <w:rsid w:val="00A06100"/>
    <w:rsid w:val="00A06129"/>
    <w:rsid w:val="00A061EC"/>
    <w:rsid w:val="00A06322"/>
    <w:rsid w:val="00A06695"/>
    <w:rsid w:val="00A06A9A"/>
    <w:rsid w:val="00A06B03"/>
    <w:rsid w:val="00A06BDF"/>
    <w:rsid w:val="00A06D6F"/>
    <w:rsid w:val="00A07219"/>
    <w:rsid w:val="00A076C3"/>
    <w:rsid w:val="00A079BC"/>
    <w:rsid w:val="00A07E89"/>
    <w:rsid w:val="00A10007"/>
    <w:rsid w:val="00A101E2"/>
    <w:rsid w:val="00A10253"/>
    <w:rsid w:val="00A102F8"/>
    <w:rsid w:val="00A105DA"/>
    <w:rsid w:val="00A10799"/>
    <w:rsid w:val="00A10DB6"/>
    <w:rsid w:val="00A10DE5"/>
    <w:rsid w:val="00A11387"/>
    <w:rsid w:val="00A113E9"/>
    <w:rsid w:val="00A114D6"/>
    <w:rsid w:val="00A11735"/>
    <w:rsid w:val="00A11AAF"/>
    <w:rsid w:val="00A11C97"/>
    <w:rsid w:val="00A11CB4"/>
    <w:rsid w:val="00A11D7D"/>
    <w:rsid w:val="00A11DC4"/>
    <w:rsid w:val="00A11FD4"/>
    <w:rsid w:val="00A124C8"/>
    <w:rsid w:val="00A12506"/>
    <w:rsid w:val="00A125F9"/>
    <w:rsid w:val="00A12E89"/>
    <w:rsid w:val="00A12FAE"/>
    <w:rsid w:val="00A1310D"/>
    <w:rsid w:val="00A1339A"/>
    <w:rsid w:val="00A13421"/>
    <w:rsid w:val="00A13583"/>
    <w:rsid w:val="00A135E4"/>
    <w:rsid w:val="00A138B9"/>
    <w:rsid w:val="00A139B7"/>
    <w:rsid w:val="00A13D98"/>
    <w:rsid w:val="00A13F99"/>
    <w:rsid w:val="00A140E5"/>
    <w:rsid w:val="00A1426A"/>
    <w:rsid w:val="00A142C3"/>
    <w:rsid w:val="00A142D5"/>
    <w:rsid w:val="00A142EB"/>
    <w:rsid w:val="00A1434A"/>
    <w:rsid w:val="00A1444E"/>
    <w:rsid w:val="00A146C5"/>
    <w:rsid w:val="00A146EE"/>
    <w:rsid w:val="00A148B3"/>
    <w:rsid w:val="00A148DD"/>
    <w:rsid w:val="00A149BE"/>
    <w:rsid w:val="00A14AB2"/>
    <w:rsid w:val="00A14D05"/>
    <w:rsid w:val="00A14D71"/>
    <w:rsid w:val="00A14E64"/>
    <w:rsid w:val="00A150AE"/>
    <w:rsid w:val="00A153B9"/>
    <w:rsid w:val="00A15752"/>
    <w:rsid w:val="00A1592F"/>
    <w:rsid w:val="00A159B3"/>
    <w:rsid w:val="00A15E35"/>
    <w:rsid w:val="00A15E59"/>
    <w:rsid w:val="00A15EED"/>
    <w:rsid w:val="00A15EFE"/>
    <w:rsid w:val="00A1618F"/>
    <w:rsid w:val="00A16481"/>
    <w:rsid w:val="00A168B0"/>
    <w:rsid w:val="00A16BF8"/>
    <w:rsid w:val="00A16D1A"/>
    <w:rsid w:val="00A17051"/>
    <w:rsid w:val="00A1714D"/>
    <w:rsid w:val="00A172AD"/>
    <w:rsid w:val="00A17414"/>
    <w:rsid w:val="00A174F2"/>
    <w:rsid w:val="00A17579"/>
    <w:rsid w:val="00A177F4"/>
    <w:rsid w:val="00A1789F"/>
    <w:rsid w:val="00A179D8"/>
    <w:rsid w:val="00A17B95"/>
    <w:rsid w:val="00A17CFE"/>
    <w:rsid w:val="00A17D00"/>
    <w:rsid w:val="00A2010C"/>
    <w:rsid w:val="00A20157"/>
    <w:rsid w:val="00A2017B"/>
    <w:rsid w:val="00A201A8"/>
    <w:rsid w:val="00A202EE"/>
    <w:rsid w:val="00A20535"/>
    <w:rsid w:val="00A20615"/>
    <w:rsid w:val="00A208A6"/>
    <w:rsid w:val="00A20FB2"/>
    <w:rsid w:val="00A210F4"/>
    <w:rsid w:val="00A21165"/>
    <w:rsid w:val="00A212CE"/>
    <w:rsid w:val="00A218ED"/>
    <w:rsid w:val="00A2196C"/>
    <w:rsid w:val="00A21BF5"/>
    <w:rsid w:val="00A21C25"/>
    <w:rsid w:val="00A21C4A"/>
    <w:rsid w:val="00A21D83"/>
    <w:rsid w:val="00A220CB"/>
    <w:rsid w:val="00A22149"/>
    <w:rsid w:val="00A223A6"/>
    <w:rsid w:val="00A22509"/>
    <w:rsid w:val="00A226DA"/>
    <w:rsid w:val="00A228B8"/>
    <w:rsid w:val="00A2290B"/>
    <w:rsid w:val="00A22998"/>
    <w:rsid w:val="00A229E8"/>
    <w:rsid w:val="00A22C1E"/>
    <w:rsid w:val="00A22FDA"/>
    <w:rsid w:val="00A23046"/>
    <w:rsid w:val="00A230B8"/>
    <w:rsid w:val="00A231EC"/>
    <w:rsid w:val="00A2333F"/>
    <w:rsid w:val="00A23473"/>
    <w:rsid w:val="00A23573"/>
    <w:rsid w:val="00A2358B"/>
    <w:rsid w:val="00A238F9"/>
    <w:rsid w:val="00A2398D"/>
    <w:rsid w:val="00A23B86"/>
    <w:rsid w:val="00A24119"/>
    <w:rsid w:val="00A24261"/>
    <w:rsid w:val="00A24A13"/>
    <w:rsid w:val="00A24A7C"/>
    <w:rsid w:val="00A24FAA"/>
    <w:rsid w:val="00A251A8"/>
    <w:rsid w:val="00A25800"/>
    <w:rsid w:val="00A2589C"/>
    <w:rsid w:val="00A258E0"/>
    <w:rsid w:val="00A25B6A"/>
    <w:rsid w:val="00A25C22"/>
    <w:rsid w:val="00A25DAD"/>
    <w:rsid w:val="00A2613F"/>
    <w:rsid w:val="00A26328"/>
    <w:rsid w:val="00A2635B"/>
    <w:rsid w:val="00A2638C"/>
    <w:rsid w:val="00A2649E"/>
    <w:rsid w:val="00A264E0"/>
    <w:rsid w:val="00A2677B"/>
    <w:rsid w:val="00A2682D"/>
    <w:rsid w:val="00A268EA"/>
    <w:rsid w:val="00A26C42"/>
    <w:rsid w:val="00A26C4A"/>
    <w:rsid w:val="00A27054"/>
    <w:rsid w:val="00A27065"/>
    <w:rsid w:val="00A271B7"/>
    <w:rsid w:val="00A273CF"/>
    <w:rsid w:val="00A276DA"/>
    <w:rsid w:val="00A27736"/>
    <w:rsid w:val="00A278DE"/>
    <w:rsid w:val="00A27937"/>
    <w:rsid w:val="00A279F1"/>
    <w:rsid w:val="00A3021D"/>
    <w:rsid w:val="00A30359"/>
    <w:rsid w:val="00A3043E"/>
    <w:rsid w:val="00A3044C"/>
    <w:rsid w:val="00A306E1"/>
    <w:rsid w:val="00A306EA"/>
    <w:rsid w:val="00A30C8E"/>
    <w:rsid w:val="00A314FA"/>
    <w:rsid w:val="00A316C7"/>
    <w:rsid w:val="00A316F1"/>
    <w:rsid w:val="00A31755"/>
    <w:rsid w:val="00A31BE6"/>
    <w:rsid w:val="00A31F78"/>
    <w:rsid w:val="00A3243A"/>
    <w:rsid w:val="00A32745"/>
    <w:rsid w:val="00A32786"/>
    <w:rsid w:val="00A32C65"/>
    <w:rsid w:val="00A32DE8"/>
    <w:rsid w:val="00A32F1B"/>
    <w:rsid w:val="00A33717"/>
    <w:rsid w:val="00A33720"/>
    <w:rsid w:val="00A34168"/>
    <w:rsid w:val="00A342A7"/>
    <w:rsid w:val="00A34354"/>
    <w:rsid w:val="00A347D6"/>
    <w:rsid w:val="00A34889"/>
    <w:rsid w:val="00A3495A"/>
    <w:rsid w:val="00A34B4E"/>
    <w:rsid w:val="00A3522F"/>
    <w:rsid w:val="00A35259"/>
    <w:rsid w:val="00A35433"/>
    <w:rsid w:val="00A35663"/>
    <w:rsid w:val="00A359AC"/>
    <w:rsid w:val="00A35C4D"/>
    <w:rsid w:val="00A35CFC"/>
    <w:rsid w:val="00A35DAD"/>
    <w:rsid w:val="00A35F70"/>
    <w:rsid w:val="00A3605D"/>
    <w:rsid w:val="00A361BC"/>
    <w:rsid w:val="00A36236"/>
    <w:rsid w:val="00A364DD"/>
    <w:rsid w:val="00A36826"/>
    <w:rsid w:val="00A36CEE"/>
    <w:rsid w:val="00A36DD3"/>
    <w:rsid w:val="00A36DEE"/>
    <w:rsid w:val="00A36DFB"/>
    <w:rsid w:val="00A374C5"/>
    <w:rsid w:val="00A376DD"/>
    <w:rsid w:val="00A377D9"/>
    <w:rsid w:val="00A37AF4"/>
    <w:rsid w:val="00A37D12"/>
    <w:rsid w:val="00A37E88"/>
    <w:rsid w:val="00A40402"/>
    <w:rsid w:val="00A40515"/>
    <w:rsid w:val="00A407D8"/>
    <w:rsid w:val="00A40B81"/>
    <w:rsid w:val="00A40FAB"/>
    <w:rsid w:val="00A41006"/>
    <w:rsid w:val="00A410B8"/>
    <w:rsid w:val="00A413C7"/>
    <w:rsid w:val="00A4150E"/>
    <w:rsid w:val="00A4178D"/>
    <w:rsid w:val="00A41905"/>
    <w:rsid w:val="00A41BEB"/>
    <w:rsid w:val="00A41D8C"/>
    <w:rsid w:val="00A41F41"/>
    <w:rsid w:val="00A41FCE"/>
    <w:rsid w:val="00A42503"/>
    <w:rsid w:val="00A42548"/>
    <w:rsid w:val="00A42A95"/>
    <w:rsid w:val="00A42B08"/>
    <w:rsid w:val="00A42D59"/>
    <w:rsid w:val="00A42E53"/>
    <w:rsid w:val="00A430A2"/>
    <w:rsid w:val="00A431F2"/>
    <w:rsid w:val="00A434D3"/>
    <w:rsid w:val="00A4359C"/>
    <w:rsid w:val="00A4386D"/>
    <w:rsid w:val="00A43929"/>
    <w:rsid w:val="00A43969"/>
    <w:rsid w:val="00A44065"/>
    <w:rsid w:val="00A44232"/>
    <w:rsid w:val="00A44259"/>
    <w:rsid w:val="00A442AC"/>
    <w:rsid w:val="00A44646"/>
    <w:rsid w:val="00A449B1"/>
    <w:rsid w:val="00A44A06"/>
    <w:rsid w:val="00A44A8D"/>
    <w:rsid w:val="00A44CC9"/>
    <w:rsid w:val="00A44D0C"/>
    <w:rsid w:val="00A44D92"/>
    <w:rsid w:val="00A4510B"/>
    <w:rsid w:val="00A45190"/>
    <w:rsid w:val="00A45262"/>
    <w:rsid w:val="00A4538F"/>
    <w:rsid w:val="00A456E2"/>
    <w:rsid w:val="00A45780"/>
    <w:rsid w:val="00A45D1E"/>
    <w:rsid w:val="00A45F6E"/>
    <w:rsid w:val="00A464EB"/>
    <w:rsid w:val="00A464FF"/>
    <w:rsid w:val="00A465C5"/>
    <w:rsid w:val="00A4661F"/>
    <w:rsid w:val="00A46636"/>
    <w:rsid w:val="00A4676F"/>
    <w:rsid w:val="00A46939"/>
    <w:rsid w:val="00A469FE"/>
    <w:rsid w:val="00A46D0F"/>
    <w:rsid w:val="00A46F96"/>
    <w:rsid w:val="00A471EF"/>
    <w:rsid w:val="00A473E4"/>
    <w:rsid w:val="00A47434"/>
    <w:rsid w:val="00A47537"/>
    <w:rsid w:val="00A47789"/>
    <w:rsid w:val="00A47B62"/>
    <w:rsid w:val="00A47D2E"/>
    <w:rsid w:val="00A47D74"/>
    <w:rsid w:val="00A47E5E"/>
    <w:rsid w:val="00A501D2"/>
    <w:rsid w:val="00A50229"/>
    <w:rsid w:val="00A50396"/>
    <w:rsid w:val="00A5040A"/>
    <w:rsid w:val="00A507D4"/>
    <w:rsid w:val="00A50A9C"/>
    <w:rsid w:val="00A50F5C"/>
    <w:rsid w:val="00A5107E"/>
    <w:rsid w:val="00A51158"/>
    <w:rsid w:val="00A5137C"/>
    <w:rsid w:val="00A51417"/>
    <w:rsid w:val="00A514CE"/>
    <w:rsid w:val="00A51528"/>
    <w:rsid w:val="00A516F2"/>
    <w:rsid w:val="00A51B39"/>
    <w:rsid w:val="00A51BB4"/>
    <w:rsid w:val="00A51C12"/>
    <w:rsid w:val="00A51DF9"/>
    <w:rsid w:val="00A52298"/>
    <w:rsid w:val="00A52476"/>
    <w:rsid w:val="00A52741"/>
    <w:rsid w:val="00A52766"/>
    <w:rsid w:val="00A5276A"/>
    <w:rsid w:val="00A52977"/>
    <w:rsid w:val="00A52F3C"/>
    <w:rsid w:val="00A53435"/>
    <w:rsid w:val="00A5378C"/>
    <w:rsid w:val="00A53AB4"/>
    <w:rsid w:val="00A53DA2"/>
    <w:rsid w:val="00A54035"/>
    <w:rsid w:val="00A5418E"/>
    <w:rsid w:val="00A54209"/>
    <w:rsid w:val="00A54669"/>
    <w:rsid w:val="00A5486A"/>
    <w:rsid w:val="00A54A1C"/>
    <w:rsid w:val="00A54AB7"/>
    <w:rsid w:val="00A54C18"/>
    <w:rsid w:val="00A54CB0"/>
    <w:rsid w:val="00A55243"/>
    <w:rsid w:val="00A55279"/>
    <w:rsid w:val="00A55808"/>
    <w:rsid w:val="00A55A72"/>
    <w:rsid w:val="00A55AAC"/>
    <w:rsid w:val="00A55B6F"/>
    <w:rsid w:val="00A55E28"/>
    <w:rsid w:val="00A55E95"/>
    <w:rsid w:val="00A55ED1"/>
    <w:rsid w:val="00A561BF"/>
    <w:rsid w:val="00A56319"/>
    <w:rsid w:val="00A56412"/>
    <w:rsid w:val="00A5649E"/>
    <w:rsid w:val="00A56658"/>
    <w:rsid w:val="00A56A85"/>
    <w:rsid w:val="00A56B3A"/>
    <w:rsid w:val="00A56BF2"/>
    <w:rsid w:val="00A56E0B"/>
    <w:rsid w:val="00A56EE8"/>
    <w:rsid w:val="00A57065"/>
    <w:rsid w:val="00A57174"/>
    <w:rsid w:val="00A5729B"/>
    <w:rsid w:val="00A57782"/>
    <w:rsid w:val="00A577AC"/>
    <w:rsid w:val="00A57816"/>
    <w:rsid w:val="00A57C03"/>
    <w:rsid w:val="00A57D57"/>
    <w:rsid w:val="00A57D91"/>
    <w:rsid w:val="00A60293"/>
    <w:rsid w:val="00A606BE"/>
    <w:rsid w:val="00A60A10"/>
    <w:rsid w:val="00A60AB1"/>
    <w:rsid w:val="00A60B26"/>
    <w:rsid w:val="00A60BBB"/>
    <w:rsid w:val="00A60D4E"/>
    <w:rsid w:val="00A6123E"/>
    <w:rsid w:val="00A6171B"/>
    <w:rsid w:val="00A619F1"/>
    <w:rsid w:val="00A61B0F"/>
    <w:rsid w:val="00A61BEB"/>
    <w:rsid w:val="00A6218C"/>
    <w:rsid w:val="00A621A7"/>
    <w:rsid w:val="00A62284"/>
    <w:rsid w:val="00A624C8"/>
    <w:rsid w:val="00A62A86"/>
    <w:rsid w:val="00A62C78"/>
    <w:rsid w:val="00A62D08"/>
    <w:rsid w:val="00A62E9B"/>
    <w:rsid w:val="00A6308F"/>
    <w:rsid w:val="00A632B1"/>
    <w:rsid w:val="00A63738"/>
    <w:rsid w:val="00A637EA"/>
    <w:rsid w:val="00A63C0A"/>
    <w:rsid w:val="00A63C1B"/>
    <w:rsid w:val="00A63F19"/>
    <w:rsid w:val="00A64120"/>
    <w:rsid w:val="00A64346"/>
    <w:rsid w:val="00A64373"/>
    <w:rsid w:val="00A643F0"/>
    <w:rsid w:val="00A644EB"/>
    <w:rsid w:val="00A64827"/>
    <w:rsid w:val="00A64839"/>
    <w:rsid w:val="00A649AA"/>
    <w:rsid w:val="00A64BF3"/>
    <w:rsid w:val="00A64CE7"/>
    <w:rsid w:val="00A64EDA"/>
    <w:rsid w:val="00A64EDF"/>
    <w:rsid w:val="00A64F38"/>
    <w:rsid w:val="00A64FBD"/>
    <w:rsid w:val="00A65163"/>
    <w:rsid w:val="00A6522E"/>
    <w:rsid w:val="00A65945"/>
    <w:rsid w:val="00A65BDC"/>
    <w:rsid w:val="00A65BEE"/>
    <w:rsid w:val="00A65C4C"/>
    <w:rsid w:val="00A65D97"/>
    <w:rsid w:val="00A65DCC"/>
    <w:rsid w:val="00A66072"/>
    <w:rsid w:val="00A662E0"/>
    <w:rsid w:val="00A66339"/>
    <w:rsid w:val="00A66350"/>
    <w:rsid w:val="00A664A6"/>
    <w:rsid w:val="00A6678B"/>
    <w:rsid w:val="00A668F0"/>
    <w:rsid w:val="00A66E9D"/>
    <w:rsid w:val="00A6706E"/>
    <w:rsid w:val="00A67513"/>
    <w:rsid w:val="00A67549"/>
    <w:rsid w:val="00A67599"/>
    <w:rsid w:val="00A67C29"/>
    <w:rsid w:val="00A67DB1"/>
    <w:rsid w:val="00A67E28"/>
    <w:rsid w:val="00A67F27"/>
    <w:rsid w:val="00A67F76"/>
    <w:rsid w:val="00A67F93"/>
    <w:rsid w:val="00A7078F"/>
    <w:rsid w:val="00A70D19"/>
    <w:rsid w:val="00A71105"/>
    <w:rsid w:val="00A712FE"/>
    <w:rsid w:val="00A71465"/>
    <w:rsid w:val="00A71521"/>
    <w:rsid w:val="00A715D1"/>
    <w:rsid w:val="00A716CE"/>
    <w:rsid w:val="00A719DD"/>
    <w:rsid w:val="00A71A86"/>
    <w:rsid w:val="00A71DB0"/>
    <w:rsid w:val="00A71E59"/>
    <w:rsid w:val="00A71F11"/>
    <w:rsid w:val="00A71FA2"/>
    <w:rsid w:val="00A72225"/>
    <w:rsid w:val="00A72414"/>
    <w:rsid w:val="00A72594"/>
    <w:rsid w:val="00A72710"/>
    <w:rsid w:val="00A728F8"/>
    <w:rsid w:val="00A72ACC"/>
    <w:rsid w:val="00A72B8D"/>
    <w:rsid w:val="00A72BD2"/>
    <w:rsid w:val="00A73001"/>
    <w:rsid w:val="00A73063"/>
    <w:rsid w:val="00A73155"/>
    <w:rsid w:val="00A731CE"/>
    <w:rsid w:val="00A73485"/>
    <w:rsid w:val="00A737C5"/>
    <w:rsid w:val="00A738ED"/>
    <w:rsid w:val="00A739A5"/>
    <w:rsid w:val="00A73F89"/>
    <w:rsid w:val="00A7425B"/>
    <w:rsid w:val="00A745FE"/>
    <w:rsid w:val="00A749D5"/>
    <w:rsid w:val="00A74B57"/>
    <w:rsid w:val="00A74C86"/>
    <w:rsid w:val="00A74CA7"/>
    <w:rsid w:val="00A750C3"/>
    <w:rsid w:val="00A7517D"/>
    <w:rsid w:val="00A75519"/>
    <w:rsid w:val="00A75A6E"/>
    <w:rsid w:val="00A7643E"/>
    <w:rsid w:val="00A76D62"/>
    <w:rsid w:val="00A76EF8"/>
    <w:rsid w:val="00A7727E"/>
    <w:rsid w:val="00A774B8"/>
    <w:rsid w:val="00A774CC"/>
    <w:rsid w:val="00A776BC"/>
    <w:rsid w:val="00A776D5"/>
    <w:rsid w:val="00A77A54"/>
    <w:rsid w:val="00A77D47"/>
    <w:rsid w:val="00A77F2E"/>
    <w:rsid w:val="00A801DB"/>
    <w:rsid w:val="00A80352"/>
    <w:rsid w:val="00A803FD"/>
    <w:rsid w:val="00A807C9"/>
    <w:rsid w:val="00A80905"/>
    <w:rsid w:val="00A80B78"/>
    <w:rsid w:val="00A8125E"/>
    <w:rsid w:val="00A81343"/>
    <w:rsid w:val="00A8169A"/>
    <w:rsid w:val="00A818A0"/>
    <w:rsid w:val="00A81C32"/>
    <w:rsid w:val="00A81C3D"/>
    <w:rsid w:val="00A81DF2"/>
    <w:rsid w:val="00A8212A"/>
    <w:rsid w:val="00A821D2"/>
    <w:rsid w:val="00A82474"/>
    <w:rsid w:val="00A82BAD"/>
    <w:rsid w:val="00A82D7C"/>
    <w:rsid w:val="00A83049"/>
    <w:rsid w:val="00A83070"/>
    <w:rsid w:val="00A83181"/>
    <w:rsid w:val="00A831DC"/>
    <w:rsid w:val="00A8346E"/>
    <w:rsid w:val="00A83A00"/>
    <w:rsid w:val="00A83B15"/>
    <w:rsid w:val="00A83B9C"/>
    <w:rsid w:val="00A83C14"/>
    <w:rsid w:val="00A83C5B"/>
    <w:rsid w:val="00A83DC5"/>
    <w:rsid w:val="00A83DF3"/>
    <w:rsid w:val="00A84269"/>
    <w:rsid w:val="00A846C0"/>
    <w:rsid w:val="00A84A3E"/>
    <w:rsid w:val="00A84B10"/>
    <w:rsid w:val="00A84FE7"/>
    <w:rsid w:val="00A8506A"/>
    <w:rsid w:val="00A8524C"/>
    <w:rsid w:val="00A8525B"/>
    <w:rsid w:val="00A85539"/>
    <w:rsid w:val="00A855CD"/>
    <w:rsid w:val="00A85D66"/>
    <w:rsid w:val="00A85F5E"/>
    <w:rsid w:val="00A86027"/>
    <w:rsid w:val="00A8614E"/>
    <w:rsid w:val="00A8626F"/>
    <w:rsid w:val="00A86535"/>
    <w:rsid w:val="00A8661D"/>
    <w:rsid w:val="00A8666F"/>
    <w:rsid w:val="00A866F8"/>
    <w:rsid w:val="00A8691F"/>
    <w:rsid w:val="00A86A21"/>
    <w:rsid w:val="00A86A24"/>
    <w:rsid w:val="00A86A52"/>
    <w:rsid w:val="00A86AD0"/>
    <w:rsid w:val="00A8705B"/>
    <w:rsid w:val="00A872EE"/>
    <w:rsid w:val="00A874DE"/>
    <w:rsid w:val="00A87721"/>
    <w:rsid w:val="00A87917"/>
    <w:rsid w:val="00A87AF2"/>
    <w:rsid w:val="00A87E05"/>
    <w:rsid w:val="00A87EC5"/>
    <w:rsid w:val="00A87EF0"/>
    <w:rsid w:val="00A9007D"/>
    <w:rsid w:val="00A9016B"/>
    <w:rsid w:val="00A904A2"/>
    <w:rsid w:val="00A9091D"/>
    <w:rsid w:val="00A90AA5"/>
    <w:rsid w:val="00A90D5A"/>
    <w:rsid w:val="00A9137F"/>
    <w:rsid w:val="00A913A4"/>
    <w:rsid w:val="00A91453"/>
    <w:rsid w:val="00A9149B"/>
    <w:rsid w:val="00A91505"/>
    <w:rsid w:val="00A9155C"/>
    <w:rsid w:val="00A9159C"/>
    <w:rsid w:val="00A91709"/>
    <w:rsid w:val="00A9183F"/>
    <w:rsid w:val="00A91A64"/>
    <w:rsid w:val="00A91D55"/>
    <w:rsid w:val="00A91F55"/>
    <w:rsid w:val="00A9201E"/>
    <w:rsid w:val="00A920C7"/>
    <w:rsid w:val="00A920C8"/>
    <w:rsid w:val="00A9211A"/>
    <w:rsid w:val="00A92A6F"/>
    <w:rsid w:val="00A92A80"/>
    <w:rsid w:val="00A92AAA"/>
    <w:rsid w:val="00A92CA3"/>
    <w:rsid w:val="00A92CF7"/>
    <w:rsid w:val="00A92F6C"/>
    <w:rsid w:val="00A92FF0"/>
    <w:rsid w:val="00A9331D"/>
    <w:rsid w:val="00A9339C"/>
    <w:rsid w:val="00A9341D"/>
    <w:rsid w:val="00A934DF"/>
    <w:rsid w:val="00A934EB"/>
    <w:rsid w:val="00A935EB"/>
    <w:rsid w:val="00A9398F"/>
    <w:rsid w:val="00A93BFA"/>
    <w:rsid w:val="00A93E9B"/>
    <w:rsid w:val="00A93ED2"/>
    <w:rsid w:val="00A93F76"/>
    <w:rsid w:val="00A94074"/>
    <w:rsid w:val="00A94154"/>
    <w:rsid w:val="00A944D8"/>
    <w:rsid w:val="00A94574"/>
    <w:rsid w:val="00A94633"/>
    <w:rsid w:val="00A946A4"/>
    <w:rsid w:val="00A947A2"/>
    <w:rsid w:val="00A947B7"/>
    <w:rsid w:val="00A94AEB"/>
    <w:rsid w:val="00A94B3E"/>
    <w:rsid w:val="00A94E0D"/>
    <w:rsid w:val="00A952D6"/>
    <w:rsid w:val="00A9540A"/>
    <w:rsid w:val="00A95586"/>
    <w:rsid w:val="00A956A6"/>
    <w:rsid w:val="00A95856"/>
    <w:rsid w:val="00A95C8F"/>
    <w:rsid w:val="00A95D15"/>
    <w:rsid w:val="00A960C7"/>
    <w:rsid w:val="00A960E9"/>
    <w:rsid w:val="00A96294"/>
    <w:rsid w:val="00A962B0"/>
    <w:rsid w:val="00A96545"/>
    <w:rsid w:val="00A965E5"/>
    <w:rsid w:val="00A96643"/>
    <w:rsid w:val="00A96671"/>
    <w:rsid w:val="00A9690E"/>
    <w:rsid w:val="00A96A8D"/>
    <w:rsid w:val="00A96B8B"/>
    <w:rsid w:val="00A96E49"/>
    <w:rsid w:val="00A9701E"/>
    <w:rsid w:val="00A97452"/>
    <w:rsid w:val="00A974BC"/>
    <w:rsid w:val="00A975C0"/>
    <w:rsid w:val="00A977F4"/>
    <w:rsid w:val="00A979CF"/>
    <w:rsid w:val="00A97C6E"/>
    <w:rsid w:val="00A97E71"/>
    <w:rsid w:val="00AA0277"/>
    <w:rsid w:val="00AA0586"/>
    <w:rsid w:val="00AA07F0"/>
    <w:rsid w:val="00AA0D3C"/>
    <w:rsid w:val="00AA0D42"/>
    <w:rsid w:val="00AA1773"/>
    <w:rsid w:val="00AA182B"/>
    <w:rsid w:val="00AA1912"/>
    <w:rsid w:val="00AA1A95"/>
    <w:rsid w:val="00AA1B20"/>
    <w:rsid w:val="00AA1DAF"/>
    <w:rsid w:val="00AA21A7"/>
    <w:rsid w:val="00AA227C"/>
    <w:rsid w:val="00AA228E"/>
    <w:rsid w:val="00AA24E4"/>
    <w:rsid w:val="00AA2803"/>
    <w:rsid w:val="00AA2B2A"/>
    <w:rsid w:val="00AA2B3B"/>
    <w:rsid w:val="00AA2D94"/>
    <w:rsid w:val="00AA2F11"/>
    <w:rsid w:val="00AA2FE8"/>
    <w:rsid w:val="00AA3129"/>
    <w:rsid w:val="00AA3188"/>
    <w:rsid w:val="00AA31A7"/>
    <w:rsid w:val="00AA3281"/>
    <w:rsid w:val="00AA35B2"/>
    <w:rsid w:val="00AA392F"/>
    <w:rsid w:val="00AA3A35"/>
    <w:rsid w:val="00AA4176"/>
    <w:rsid w:val="00AA471F"/>
    <w:rsid w:val="00AA48D2"/>
    <w:rsid w:val="00AA49BD"/>
    <w:rsid w:val="00AA4AA9"/>
    <w:rsid w:val="00AA4B5E"/>
    <w:rsid w:val="00AA519D"/>
    <w:rsid w:val="00AA5465"/>
    <w:rsid w:val="00AA578B"/>
    <w:rsid w:val="00AA59AA"/>
    <w:rsid w:val="00AA655C"/>
    <w:rsid w:val="00AA6843"/>
    <w:rsid w:val="00AA6A45"/>
    <w:rsid w:val="00AA6A6D"/>
    <w:rsid w:val="00AA6B0D"/>
    <w:rsid w:val="00AA6B4A"/>
    <w:rsid w:val="00AA70F0"/>
    <w:rsid w:val="00AA729A"/>
    <w:rsid w:val="00AA72BE"/>
    <w:rsid w:val="00AA7320"/>
    <w:rsid w:val="00AA7651"/>
    <w:rsid w:val="00AB018A"/>
    <w:rsid w:val="00AB0407"/>
    <w:rsid w:val="00AB0535"/>
    <w:rsid w:val="00AB0B95"/>
    <w:rsid w:val="00AB0BAD"/>
    <w:rsid w:val="00AB1143"/>
    <w:rsid w:val="00AB13CE"/>
    <w:rsid w:val="00AB1845"/>
    <w:rsid w:val="00AB18EC"/>
    <w:rsid w:val="00AB1911"/>
    <w:rsid w:val="00AB1F6A"/>
    <w:rsid w:val="00AB2037"/>
    <w:rsid w:val="00AB204D"/>
    <w:rsid w:val="00AB2079"/>
    <w:rsid w:val="00AB2906"/>
    <w:rsid w:val="00AB2CEF"/>
    <w:rsid w:val="00AB2D76"/>
    <w:rsid w:val="00AB2DF1"/>
    <w:rsid w:val="00AB3022"/>
    <w:rsid w:val="00AB345D"/>
    <w:rsid w:val="00AB35C3"/>
    <w:rsid w:val="00AB3799"/>
    <w:rsid w:val="00AB383C"/>
    <w:rsid w:val="00AB3B59"/>
    <w:rsid w:val="00AB4276"/>
    <w:rsid w:val="00AB4443"/>
    <w:rsid w:val="00AB444C"/>
    <w:rsid w:val="00AB44B3"/>
    <w:rsid w:val="00AB4652"/>
    <w:rsid w:val="00AB46AE"/>
    <w:rsid w:val="00AB4B27"/>
    <w:rsid w:val="00AB4C7A"/>
    <w:rsid w:val="00AB5200"/>
    <w:rsid w:val="00AB5404"/>
    <w:rsid w:val="00AB555E"/>
    <w:rsid w:val="00AB5562"/>
    <w:rsid w:val="00AB569B"/>
    <w:rsid w:val="00AB5B88"/>
    <w:rsid w:val="00AB5BCF"/>
    <w:rsid w:val="00AB5D26"/>
    <w:rsid w:val="00AB5FF3"/>
    <w:rsid w:val="00AB67C3"/>
    <w:rsid w:val="00AB6858"/>
    <w:rsid w:val="00AB69FE"/>
    <w:rsid w:val="00AB6CF5"/>
    <w:rsid w:val="00AB6E00"/>
    <w:rsid w:val="00AB6EF3"/>
    <w:rsid w:val="00AB7366"/>
    <w:rsid w:val="00AB73FE"/>
    <w:rsid w:val="00AB7674"/>
    <w:rsid w:val="00AB78DF"/>
    <w:rsid w:val="00AB7B1C"/>
    <w:rsid w:val="00AB7B67"/>
    <w:rsid w:val="00AB7D05"/>
    <w:rsid w:val="00AB7D7E"/>
    <w:rsid w:val="00AC0406"/>
    <w:rsid w:val="00AC0BFC"/>
    <w:rsid w:val="00AC0C12"/>
    <w:rsid w:val="00AC0C14"/>
    <w:rsid w:val="00AC0C9A"/>
    <w:rsid w:val="00AC0CD2"/>
    <w:rsid w:val="00AC14B5"/>
    <w:rsid w:val="00AC1707"/>
    <w:rsid w:val="00AC18C5"/>
    <w:rsid w:val="00AC19FC"/>
    <w:rsid w:val="00AC1A91"/>
    <w:rsid w:val="00AC1AFD"/>
    <w:rsid w:val="00AC1CE2"/>
    <w:rsid w:val="00AC1D9B"/>
    <w:rsid w:val="00AC1DBE"/>
    <w:rsid w:val="00AC1F0C"/>
    <w:rsid w:val="00AC236B"/>
    <w:rsid w:val="00AC23B9"/>
    <w:rsid w:val="00AC243B"/>
    <w:rsid w:val="00AC2B69"/>
    <w:rsid w:val="00AC2C68"/>
    <w:rsid w:val="00AC2CED"/>
    <w:rsid w:val="00AC3074"/>
    <w:rsid w:val="00AC313A"/>
    <w:rsid w:val="00AC3554"/>
    <w:rsid w:val="00AC36CF"/>
    <w:rsid w:val="00AC3988"/>
    <w:rsid w:val="00AC4355"/>
    <w:rsid w:val="00AC4896"/>
    <w:rsid w:val="00AC48E0"/>
    <w:rsid w:val="00AC498B"/>
    <w:rsid w:val="00AC4A8C"/>
    <w:rsid w:val="00AC4B30"/>
    <w:rsid w:val="00AC50E2"/>
    <w:rsid w:val="00AC515D"/>
    <w:rsid w:val="00AC51DE"/>
    <w:rsid w:val="00AC5520"/>
    <w:rsid w:val="00AC580E"/>
    <w:rsid w:val="00AC5897"/>
    <w:rsid w:val="00AC5A9F"/>
    <w:rsid w:val="00AC5BAF"/>
    <w:rsid w:val="00AC5C17"/>
    <w:rsid w:val="00AC5FEF"/>
    <w:rsid w:val="00AC601C"/>
    <w:rsid w:val="00AC615C"/>
    <w:rsid w:val="00AC628B"/>
    <w:rsid w:val="00AC674B"/>
    <w:rsid w:val="00AC676F"/>
    <w:rsid w:val="00AC6932"/>
    <w:rsid w:val="00AC6A2C"/>
    <w:rsid w:val="00AC6C58"/>
    <w:rsid w:val="00AC6C75"/>
    <w:rsid w:val="00AC6D9A"/>
    <w:rsid w:val="00AC700C"/>
    <w:rsid w:val="00AC7110"/>
    <w:rsid w:val="00AC71F1"/>
    <w:rsid w:val="00AC728B"/>
    <w:rsid w:val="00AC734F"/>
    <w:rsid w:val="00AC74F6"/>
    <w:rsid w:val="00AC7516"/>
    <w:rsid w:val="00AC7563"/>
    <w:rsid w:val="00AC79A7"/>
    <w:rsid w:val="00AC7C7B"/>
    <w:rsid w:val="00AD012F"/>
    <w:rsid w:val="00AD0571"/>
    <w:rsid w:val="00AD05FF"/>
    <w:rsid w:val="00AD0693"/>
    <w:rsid w:val="00AD0C3B"/>
    <w:rsid w:val="00AD0D57"/>
    <w:rsid w:val="00AD0E36"/>
    <w:rsid w:val="00AD0ECE"/>
    <w:rsid w:val="00AD143B"/>
    <w:rsid w:val="00AD17AC"/>
    <w:rsid w:val="00AD1898"/>
    <w:rsid w:val="00AD1CCC"/>
    <w:rsid w:val="00AD1D5D"/>
    <w:rsid w:val="00AD20EB"/>
    <w:rsid w:val="00AD2A1C"/>
    <w:rsid w:val="00AD2CB8"/>
    <w:rsid w:val="00AD2CD5"/>
    <w:rsid w:val="00AD2D6D"/>
    <w:rsid w:val="00AD2E50"/>
    <w:rsid w:val="00AD2FF6"/>
    <w:rsid w:val="00AD30AA"/>
    <w:rsid w:val="00AD31F4"/>
    <w:rsid w:val="00AD32C9"/>
    <w:rsid w:val="00AD35B8"/>
    <w:rsid w:val="00AD3D67"/>
    <w:rsid w:val="00AD3DAD"/>
    <w:rsid w:val="00AD3EBC"/>
    <w:rsid w:val="00AD3F36"/>
    <w:rsid w:val="00AD40CA"/>
    <w:rsid w:val="00AD4150"/>
    <w:rsid w:val="00AD41A9"/>
    <w:rsid w:val="00AD42B1"/>
    <w:rsid w:val="00AD46F3"/>
    <w:rsid w:val="00AD46FA"/>
    <w:rsid w:val="00AD4736"/>
    <w:rsid w:val="00AD473F"/>
    <w:rsid w:val="00AD493A"/>
    <w:rsid w:val="00AD494B"/>
    <w:rsid w:val="00AD4975"/>
    <w:rsid w:val="00AD4C2B"/>
    <w:rsid w:val="00AD4C59"/>
    <w:rsid w:val="00AD4D9D"/>
    <w:rsid w:val="00AD4F16"/>
    <w:rsid w:val="00AD51CE"/>
    <w:rsid w:val="00AD539C"/>
    <w:rsid w:val="00AD542E"/>
    <w:rsid w:val="00AD568D"/>
    <w:rsid w:val="00AD5ABB"/>
    <w:rsid w:val="00AD5CDB"/>
    <w:rsid w:val="00AD5E82"/>
    <w:rsid w:val="00AD5F93"/>
    <w:rsid w:val="00AD6065"/>
    <w:rsid w:val="00AD637A"/>
    <w:rsid w:val="00AD671D"/>
    <w:rsid w:val="00AD6832"/>
    <w:rsid w:val="00AD6A0E"/>
    <w:rsid w:val="00AD6D29"/>
    <w:rsid w:val="00AD736C"/>
    <w:rsid w:val="00AD77BF"/>
    <w:rsid w:val="00AD7C5E"/>
    <w:rsid w:val="00AE00C9"/>
    <w:rsid w:val="00AE0311"/>
    <w:rsid w:val="00AE03C2"/>
    <w:rsid w:val="00AE03D2"/>
    <w:rsid w:val="00AE05AF"/>
    <w:rsid w:val="00AE07A5"/>
    <w:rsid w:val="00AE0859"/>
    <w:rsid w:val="00AE08FC"/>
    <w:rsid w:val="00AE0C39"/>
    <w:rsid w:val="00AE0CCA"/>
    <w:rsid w:val="00AE0D9B"/>
    <w:rsid w:val="00AE112B"/>
    <w:rsid w:val="00AE11FD"/>
    <w:rsid w:val="00AE1654"/>
    <w:rsid w:val="00AE1A85"/>
    <w:rsid w:val="00AE1E74"/>
    <w:rsid w:val="00AE2048"/>
    <w:rsid w:val="00AE20E9"/>
    <w:rsid w:val="00AE22A6"/>
    <w:rsid w:val="00AE22BF"/>
    <w:rsid w:val="00AE22D6"/>
    <w:rsid w:val="00AE24E8"/>
    <w:rsid w:val="00AE2508"/>
    <w:rsid w:val="00AE28B8"/>
    <w:rsid w:val="00AE2983"/>
    <w:rsid w:val="00AE2D26"/>
    <w:rsid w:val="00AE2D65"/>
    <w:rsid w:val="00AE3133"/>
    <w:rsid w:val="00AE31D5"/>
    <w:rsid w:val="00AE3341"/>
    <w:rsid w:val="00AE3504"/>
    <w:rsid w:val="00AE35DA"/>
    <w:rsid w:val="00AE362A"/>
    <w:rsid w:val="00AE3B41"/>
    <w:rsid w:val="00AE3BE8"/>
    <w:rsid w:val="00AE3CE7"/>
    <w:rsid w:val="00AE3F15"/>
    <w:rsid w:val="00AE40A4"/>
    <w:rsid w:val="00AE42B1"/>
    <w:rsid w:val="00AE449D"/>
    <w:rsid w:val="00AE4552"/>
    <w:rsid w:val="00AE455C"/>
    <w:rsid w:val="00AE4561"/>
    <w:rsid w:val="00AE4816"/>
    <w:rsid w:val="00AE487B"/>
    <w:rsid w:val="00AE48E2"/>
    <w:rsid w:val="00AE4B0E"/>
    <w:rsid w:val="00AE4E5D"/>
    <w:rsid w:val="00AE509E"/>
    <w:rsid w:val="00AE5187"/>
    <w:rsid w:val="00AE524D"/>
    <w:rsid w:val="00AE5556"/>
    <w:rsid w:val="00AE5751"/>
    <w:rsid w:val="00AE5771"/>
    <w:rsid w:val="00AE5792"/>
    <w:rsid w:val="00AE598B"/>
    <w:rsid w:val="00AE5F27"/>
    <w:rsid w:val="00AE5FCE"/>
    <w:rsid w:val="00AE613D"/>
    <w:rsid w:val="00AE63C1"/>
    <w:rsid w:val="00AE6452"/>
    <w:rsid w:val="00AE64CF"/>
    <w:rsid w:val="00AE667E"/>
    <w:rsid w:val="00AE687F"/>
    <w:rsid w:val="00AE6D00"/>
    <w:rsid w:val="00AE6F4F"/>
    <w:rsid w:val="00AE6F6A"/>
    <w:rsid w:val="00AE6F97"/>
    <w:rsid w:val="00AE7490"/>
    <w:rsid w:val="00AE75DE"/>
    <w:rsid w:val="00AE7639"/>
    <w:rsid w:val="00AE79D3"/>
    <w:rsid w:val="00AF0112"/>
    <w:rsid w:val="00AF0311"/>
    <w:rsid w:val="00AF113E"/>
    <w:rsid w:val="00AF11A1"/>
    <w:rsid w:val="00AF14BC"/>
    <w:rsid w:val="00AF15C4"/>
    <w:rsid w:val="00AF16E2"/>
    <w:rsid w:val="00AF1E5C"/>
    <w:rsid w:val="00AF2094"/>
    <w:rsid w:val="00AF2343"/>
    <w:rsid w:val="00AF23A8"/>
    <w:rsid w:val="00AF27A3"/>
    <w:rsid w:val="00AF2887"/>
    <w:rsid w:val="00AF2A55"/>
    <w:rsid w:val="00AF2C4D"/>
    <w:rsid w:val="00AF2EFE"/>
    <w:rsid w:val="00AF31E1"/>
    <w:rsid w:val="00AF35B3"/>
    <w:rsid w:val="00AF365A"/>
    <w:rsid w:val="00AF366E"/>
    <w:rsid w:val="00AF3DA7"/>
    <w:rsid w:val="00AF4032"/>
    <w:rsid w:val="00AF41F8"/>
    <w:rsid w:val="00AF4466"/>
    <w:rsid w:val="00AF4477"/>
    <w:rsid w:val="00AF44EF"/>
    <w:rsid w:val="00AF4AA5"/>
    <w:rsid w:val="00AF4B86"/>
    <w:rsid w:val="00AF4C4C"/>
    <w:rsid w:val="00AF4C66"/>
    <w:rsid w:val="00AF4F6A"/>
    <w:rsid w:val="00AF50FD"/>
    <w:rsid w:val="00AF549E"/>
    <w:rsid w:val="00AF55C5"/>
    <w:rsid w:val="00AF5955"/>
    <w:rsid w:val="00AF5CE6"/>
    <w:rsid w:val="00AF5D5E"/>
    <w:rsid w:val="00AF6091"/>
    <w:rsid w:val="00AF60E9"/>
    <w:rsid w:val="00AF62E0"/>
    <w:rsid w:val="00AF6567"/>
    <w:rsid w:val="00AF6945"/>
    <w:rsid w:val="00AF6973"/>
    <w:rsid w:val="00AF6C23"/>
    <w:rsid w:val="00AF7297"/>
    <w:rsid w:val="00AF7754"/>
    <w:rsid w:val="00AF796E"/>
    <w:rsid w:val="00AF7A07"/>
    <w:rsid w:val="00AF7BE3"/>
    <w:rsid w:val="00AF7C74"/>
    <w:rsid w:val="00AF7CF3"/>
    <w:rsid w:val="00AF7EF1"/>
    <w:rsid w:val="00AF7F0B"/>
    <w:rsid w:val="00B0005A"/>
    <w:rsid w:val="00B004D4"/>
    <w:rsid w:val="00B00ACE"/>
    <w:rsid w:val="00B00CDA"/>
    <w:rsid w:val="00B00DA8"/>
    <w:rsid w:val="00B00E68"/>
    <w:rsid w:val="00B00F50"/>
    <w:rsid w:val="00B0109F"/>
    <w:rsid w:val="00B0146A"/>
    <w:rsid w:val="00B0164F"/>
    <w:rsid w:val="00B01676"/>
    <w:rsid w:val="00B01A2E"/>
    <w:rsid w:val="00B020AC"/>
    <w:rsid w:val="00B02162"/>
    <w:rsid w:val="00B02238"/>
    <w:rsid w:val="00B025B3"/>
    <w:rsid w:val="00B0279E"/>
    <w:rsid w:val="00B027CF"/>
    <w:rsid w:val="00B03070"/>
    <w:rsid w:val="00B0326B"/>
    <w:rsid w:val="00B0333A"/>
    <w:rsid w:val="00B033B8"/>
    <w:rsid w:val="00B03AC7"/>
    <w:rsid w:val="00B03C49"/>
    <w:rsid w:val="00B03CD2"/>
    <w:rsid w:val="00B040AE"/>
    <w:rsid w:val="00B041F2"/>
    <w:rsid w:val="00B04271"/>
    <w:rsid w:val="00B046B3"/>
    <w:rsid w:val="00B0482F"/>
    <w:rsid w:val="00B04940"/>
    <w:rsid w:val="00B0494E"/>
    <w:rsid w:val="00B04CA8"/>
    <w:rsid w:val="00B04D60"/>
    <w:rsid w:val="00B05102"/>
    <w:rsid w:val="00B05557"/>
    <w:rsid w:val="00B056C3"/>
    <w:rsid w:val="00B0599C"/>
    <w:rsid w:val="00B05B6B"/>
    <w:rsid w:val="00B06004"/>
    <w:rsid w:val="00B066B3"/>
    <w:rsid w:val="00B067D6"/>
    <w:rsid w:val="00B0685A"/>
    <w:rsid w:val="00B068CE"/>
    <w:rsid w:val="00B0690F"/>
    <w:rsid w:val="00B06A69"/>
    <w:rsid w:val="00B06BA2"/>
    <w:rsid w:val="00B06C41"/>
    <w:rsid w:val="00B06CA1"/>
    <w:rsid w:val="00B06CF2"/>
    <w:rsid w:val="00B06CFE"/>
    <w:rsid w:val="00B06D14"/>
    <w:rsid w:val="00B06DA3"/>
    <w:rsid w:val="00B070DE"/>
    <w:rsid w:val="00B0735B"/>
    <w:rsid w:val="00B075F5"/>
    <w:rsid w:val="00B07631"/>
    <w:rsid w:val="00B076D9"/>
    <w:rsid w:val="00B076F8"/>
    <w:rsid w:val="00B07C33"/>
    <w:rsid w:val="00B07C59"/>
    <w:rsid w:val="00B102F2"/>
    <w:rsid w:val="00B1048F"/>
    <w:rsid w:val="00B1057A"/>
    <w:rsid w:val="00B1063C"/>
    <w:rsid w:val="00B107B0"/>
    <w:rsid w:val="00B10AEF"/>
    <w:rsid w:val="00B10E24"/>
    <w:rsid w:val="00B11261"/>
    <w:rsid w:val="00B11294"/>
    <w:rsid w:val="00B114D4"/>
    <w:rsid w:val="00B11721"/>
    <w:rsid w:val="00B1183A"/>
    <w:rsid w:val="00B11A15"/>
    <w:rsid w:val="00B11B34"/>
    <w:rsid w:val="00B11C17"/>
    <w:rsid w:val="00B11C8E"/>
    <w:rsid w:val="00B11D6A"/>
    <w:rsid w:val="00B11DD6"/>
    <w:rsid w:val="00B12137"/>
    <w:rsid w:val="00B124DD"/>
    <w:rsid w:val="00B1251B"/>
    <w:rsid w:val="00B129CB"/>
    <w:rsid w:val="00B12A41"/>
    <w:rsid w:val="00B13187"/>
    <w:rsid w:val="00B13363"/>
    <w:rsid w:val="00B13682"/>
    <w:rsid w:val="00B138ED"/>
    <w:rsid w:val="00B1391A"/>
    <w:rsid w:val="00B13A6C"/>
    <w:rsid w:val="00B13B67"/>
    <w:rsid w:val="00B13BA9"/>
    <w:rsid w:val="00B13C03"/>
    <w:rsid w:val="00B13C4D"/>
    <w:rsid w:val="00B13E3A"/>
    <w:rsid w:val="00B13EA2"/>
    <w:rsid w:val="00B13F5F"/>
    <w:rsid w:val="00B13FE9"/>
    <w:rsid w:val="00B14164"/>
    <w:rsid w:val="00B1419C"/>
    <w:rsid w:val="00B147A2"/>
    <w:rsid w:val="00B147FC"/>
    <w:rsid w:val="00B148CD"/>
    <w:rsid w:val="00B149D4"/>
    <w:rsid w:val="00B14BCB"/>
    <w:rsid w:val="00B14DF5"/>
    <w:rsid w:val="00B14F0D"/>
    <w:rsid w:val="00B15435"/>
    <w:rsid w:val="00B15509"/>
    <w:rsid w:val="00B1551D"/>
    <w:rsid w:val="00B1570D"/>
    <w:rsid w:val="00B15B41"/>
    <w:rsid w:val="00B15B6E"/>
    <w:rsid w:val="00B15C41"/>
    <w:rsid w:val="00B15E1B"/>
    <w:rsid w:val="00B15E55"/>
    <w:rsid w:val="00B15F6C"/>
    <w:rsid w:val="00B160FF"/>
    <w:rsid w:val="00B164E9"/>
    <w:rsid w:val="00B1693E"/>
    <w:rsid w:val="00B16AC4"/>
    <w:rsid w:val="00B16C5E"/>
    <w:rsid w:val="00B16E50"/>
    <w:rsid w:val="00B16EB8"/>
    <w:rsid w:val="00B1736B"/>
    <w:rsid w:val="00B17535"/>
    <w:rsid w:val="00B17622"/>
    <w:rsid w:val="00B17D82"/>
    <w:rsid w:val="00B17E1B"/>
    <w:rsid w:val="00B17ED0"/>
    <w:rsid w:val="00B200F0"/>
    <w:rsid w:val="00B201E6"/>
    <w:rsid w:val="00B204B8"/>
    <w:rsid w:val="00B20A93"/>
    <w:rsid w:val="00B20DE5"/>
    <w:rsid w:val="00B21059"/>
    <w:rsid w:val="00B211FA"/>
    <w:rsid w:val="00B2123D"/>
    <w:rsid w:val="00B2139F"/>
    <w:rsid w:val="00B21839"/>
    <w:rsid w:val="00B21D53"/>
    <w:rsid w:val="00B21DA9"/>
    <w:rsid w:val="00B225B5"/>
    <w:rsid w:val="00B22898"/>
    <w:rsid w:val="00B2305C"/>
    <w:rsid w:val="00B23142"/>
    <w:rsid w:val="00B238A2"/>
    <w:rsid w:val="00B23B69"/>
    <w:rsid w:val="00B23CDB"/>
    <w:rsid w:val="00B23F80"/>
    <w:rsid w:val="00B24075"/>
    <w:rsid w:val="00B240FD"/>
    <w:rsid w:val="00B2440B"/>
    <w:rsid w:val="00B244FF"/>
    <w:rsid w:val="00B246FE"/>
    <w:rsid w:val="00B247CA"/>
    <w:rsid w:val="00B247FD"/>
    <w:rsid w:val="00B24AF6"/>
    <w:rsid w:val="00B25002"/>
    <w:rsid w:val="00B2533D"/>
    <w:rsid w:val="00B25471"/>
    <w:rsid w:val="00B25B6C"/>
    <w:rsid w:val="00B25E9C"/>
    <w:rsid w:val="00B25F64"/>
    <w:rsid w:val="00B263EF"/>
    <w:rsid w:val="00B2659A"/>
    <w:rsid w:val="00B26B65"/>
    <w:rsid w:val="00B26C92"/>
    <w:rsid w:val="00B26F94"/>
    <w:rsid w:val="00B26FFB"/>
    <w:rsid w:val="00B27117"/>
    <w:rsid w:val="00B272E7"/>
    <w:rsid w:val="00B27443"/>
    <w:rsid w:val="00B276A2"/>
    <w:rsid w:val="00B277EB"/>
    <w:rsid w:val="00B27A53"/>
    <w:rsid w:val="00B27ABB"/>
    <w:rsid w:val="00B302BC"/>
    <w:rsid w:val="00B30339"/>
    <w:rsid w:val="00B30366"/>
    <w:rsid w:val="00B30527"/>
    <w:rsid w:val="00B30610"/>
    <w:rsid w:val="00B3068B"/>
    <w:rsid w:val="00B30C35"/>
    <w:rsid w:val="00B30EB4"/>
    <w:rsid w:val="00B30F69"/>
    <w:rsid w:val="00B3100B"/>
    <w:rsid w:val="00B317B0"/>
    <w:rsid w:val="00B318B8"/>
    <w:rsid w:val="00B31C0A"/>
    <w:rsid w:val="00B31D78"/>
    <w:rsid w:val="00B31E3F"/>
    <w:rsid w:val="00B3232F"/>
    <w:rsid w:val="00B3269B"/>
    <w:rsid w:val="00B32859"/>
    <w:rsid w:val="00B32D51"/>
    <w:rsid w:val="00B32DC6"/>
    <w:rsid w:val="00B32DD6"/>
    <w:rsid w:val="00B32F99"/>
    <w:rsid w:val="00B3311A"/>
    <w:rsid w:val="00B33254"/>
    <w:rsid w:val="00B335BA"/>
    <w:rsid w:val="00B3397D"/>
    <w:rsid w:val="00B33B74"/>
    <w:rsid w:val="00B33C43"/>
    <w:rsid w:val="00B33F6C"/>
    <w:rsid w:val="00B34169"/>
    <w:rsid w:val="00B341BB"/>
    <w:rsid w:val="00B34222"/>
    <w:rsid w:val="00B34492"/>
    <w:rsid w:val="00B345B0"/>
    <w:rsid w:val="00B347B3"/>
    <w:rsid w:val="00B34A08"/>
    <w:rsid w:val="00B34A34"/>
    <w:rsid w:val="00B34B65"/>
    <w:rsid w:val="00B34F33"/>
    <w:rsid w:val="00B35B7F"/>
    <w:rsid w:val="00B35C9E"/>
    <w:rsid w:val="00B35F00"/>
    <w:rsid w:val="00B35F03"/>
    <w:rsid w:val="00B366C2"/>
    <w:rsid w:val="00B36701"/>
    <w:rsid w:val="00B368A9"/>
    <w:rsid w:val="00B36A0F"/>
    <w:rsid w:val="00B36AC1"/>
    <w:rsid w:val="00B36BCD"/>
    <w:rsid w:val="00B36D66"/>
    <w:rsid w:val="00B37106"/>
    <w:rsid w:val="00B3722A"/>
    <w:rsid w:val="00B3757E"/>
    <w:rsid w:val="00B376DE"/>
    <w:rsid w:val="00B3773F"/>
    <w:rsid w:val="00B3775A"/>
    <w:rsid w:val="00B37772"/>
    <w:rsid w:val="00B37892"/>
    <w:rsid w:val="00B3796D"/>
    <w:rsid w:val="00B37BA5"/>
    <w:rsid w:val="00B37C36"/>
    <w:rsid w:val="00B37C83"/>
    <w:rsid w:val="00B37F4B"/>
    <w:rsid w:val="00B400CA"/>
    <w:rsid w:val="00B403A6"/>
    <w:rsid w:val="00B40706"/>
    <w:rsid w:val="00B40785"/>
    <w:rsid w:val="00B40870"/>
    <w:rsid w:val="00B40C57"/>
    <w:rsid w:val="00B40C97"/>
    <w:rsid w:val="00B40DCD"/>
    <w:rsid w:val="00B4102B"/>
    <w:rsid w:val="00B4126E"/>
    <w:rsid w:val="00B41672"/>
    <w:rsid w:val="00B41931"/>
    <w:rsid w:val="00B41DB2"/>
    <w:rsid w:val="00B42027"/>
    <w:rsid w:val="00B4218F"/>
    <w:rsid w:val="00B426AE"/>
    <w:rsid w:val="00B4277E"/>
    <w:rsid w:val="00B429B8"/>
    <w:rsid w:val="00B42B48"/>
    <w:rsid w:val="00B42BE1"/>
    <w:rsid w:val="00B42BE9"/>
    <w:rsid w:val="00B42D17"/>
    <w:rsid w:val="00B42DD4"/>
    <w:rsid w:val="00B42E4D"/>
    <w:rsid w:val="00B43172"/>
    <w:rsid w:val="00B431C2"/>
    <w:rsid w:val="00B43389"/>
    <w:rsid w:val="00B433AB"/>
    <w:rsid w:val="00B433BE"/>
    <w:rsid w:val="00B434AB"/>
    <w:rsid w:val="00B436CB"/>
    <w:rsid w:val="00B438AB"/>
    <w:rsid w:val="00B439DE"/>
    <w:rsid w:val="00B43C4B"/>
    <w:rsid w:val="00B43C4F"/>
    <w:rsid w:val="00B43EA3"/>
    <w:rsid w:val="00B43F81"/>
    <w:rsid w:val="00B443AB"/>
    <w:rsid w:val="00B443EB"/>
    <w:rsid w:val="00B44702"/>
    <w:rsid w:val="00B447CA"/>
    <w:rsid w:val="00B44A94"/>
    <w:rsid w:val="00B44D6A"/>
    <w:rsid w:val="00B44E52"/>
    <w:rsid w:val="00B44F79"/>
    <w:rsid w:val="00B45244"/>
    <w:rsid w:val="00B45369"/>
    <w:rsid w:val="00B454C2"/>
    <w:rsid w:val="00B45739"/>
    <w:rsid w:val="00B45929"/>
    <w:rsid w:val="00B45A96"/>
    <w:rsid w:val="00B45B21"/>
    <w:rsid w:val="00B45B2A"/>
    <w:rsid w:val="00B46033"/>
    <w:rsid w:val="00B4642E"/>
    <w:rsid w:val="00B4644C"/>
    <w:rsid w:val="00B46668"/>
    <w:rsid w:val="00B467BA"/>
    <w:rsid w:val="00B46817"/>
    <w:rsid w:val="00B46DFE"/>
    <w:rsid w:val="00B47115"/>
    <w:rsid w:val="00B471B1"/>
    <w:rsid w:val="00B4734F"/>
    <w:rsid w:val="00B47A52"/>
    <w:rsid w:val="00B47C27"/>
    <w:rsid w:val="00B50462"/>
    <w:rsid w:val="00B50507"/>
    <w:rsid w:val="00B50642"/>
    <w:rsid w:val="00B50703"/>
    <w:rsid w:val="00B50C6F"/>
    <w:rsid w:val="00B51036"/>
    <w:rsid w:val="00B5106E"/>
    <w:rsid w:val="00B5149B"/>
    <w:rsid w:val="00B5157B"/>
    <w:rsid w:val="00B5164A"/>
    <w:rsid w:val="00B5182E"/>
    <w:rsid w:val="00B51879"/>
    <w:rsid w:val="00B518D0"/>
    <w:rsid w:val="00B51C73"/>
    <w:rsid w:val="00B51EF4"/>
    <w:rsid w:val="00B5203E"/>
    <w:rsid w:val="00B5224D"/>
    <w:rsid w:val="00B52270"/>
    <w:rsid w:val="00B52638"/>
    <w:rsid w:val="00B52723"/>
    <w:rsid w:val="00B52888"/>
    <w:rsid w:val="00B52E7A"/>
    <w:rsid w:val="00B530A5"/>
    <w:rsid w:val="00B53224"/>
    <w:rsid w:val="00B53496"/>
    <w:rsid w:val="00B5350B"/>
    <w:rsid w:val="00B5377A"/>
    <w:rsid w:val="00B53C16"/>
    <w:rsid w:val="00B53D55"/>
    <w:rsid w:val="00B53FFC"/>
    <w:rsid w:val="00B540BF"/>
    <w:rsid w:val="00B54572"/>
    <w:rsid w:val="00B54B10"/>
    <w:rsid w:val="00B54CB5"/>
    <w:rsid w:val="00B55832"/>
    <w:rsid w:val="00B5586E"/>
    <w:rsid w:val="00B55D5C"/>
    <w:rsid w:val="00B5608E"/>
    <w:rsid w:val="00B561C8"/>
    <w:rsid w:val="00B5624F"/>
    <w:rsid w:val="00B56393"/>
    <w:rsid w:val="00B56587"/>
    <w:rsid w:val="00B56791"/>
    <w:rsid w:val="00B569AA"/>
    <w:rsid w:val="00B56DF6"/>
    <w:rsid w:val="00B572D1"/>
    <w:rsid w:val="00B5751A"/>
    <w:rsid w:val="00B576C6"/>
    <w:rsid w:val="00B57BD9"/>
    <w:rsid w:val="00B57C96"/>
    <w:rsid w:val="00B57D04"/>
    <w:rsid w:val="00B57FA4"/>
    <w:rsid w:val="00B57FE4"/>
    <w:rsid w:val="00B6038F"/>
    <w:rsid w:val="00B60544"/>
    <w:rsid w:val="00B60BB7"/>
    <w:rsid w:val="00B60BC9"/>
    <w:rsid w:val="00B60BE0"/>
    <w:rsid w:val="00B60BE9"/>
    <w:rsid w:val="00B60BF8"/>
    <w:rsid w:val="00B60CF7"/>
    <w:rsid w:val="00B61225"/>
    <w:rsid w:val="00B61393"/>
    <w:rsid w:val="00B616A6"/>
    <w:rsid w:val="00B61D3F"/>
    <w:rsid w:val="00B61E03"/>
    <w:rsid w:val="00B61E83"/>
    <w:rsid w:val="00B62168"/>
    <w:rsid w:val="00B6225D"/>
    <w:rsid w:val="00B629DC"/>
    <w:rsid w:val="00B62F22"/>
    <w:rsid w:val="00B634BB"/>
    <w:rsid w:val="00B63593"/>
    <w:rsid w:val="00B6379C"/>
    <w:rsid w:val="00B63A90"/>
    <w:rsid w:val="00B63ECC"/>
    <w:rsid w:val="00B63EDE"/>
    <w:rsid w:val="00B64412"/>
    <w:rsid w:val="00B64A1A"/>
    <w:rsid w:val="00B64C61"/>
    <w:rsid w:val="00B64D55"/>
    <w:rsid w:val="00B64D72"/>
    <w:rsid w:val="00B6509F"/>
    <w:rsid w:val="00B65158"/>
    <w:rsid w:val="00B652F5"/>
    <w:rsid w:val="00B65425"/>
    <w:rsid w:val="00B65553"/>
    <w:rsid w:val="00B6585C"/>
    <w:rsid w:val="00B65B82"/>
    <w:rsid w:val="00B65BF4"/>
    <w:rsid w:val="00B65E36"/>
    <w:rsid w:val="00B65ECF"/>
    <w:rsid w:val="00B65FB9"/>
    <w:rsid w:val="00B65FD9"/>
    <w:rsid w:val="00B663A6"/>
    <w:rsid w:val="00B665B5"/>
    <w:rsid w:val="00B66A38"/>
    <w:rsid w:val="00B66C54"/>
    <w:rsid w:val="00B66C9C"/>
    <w:rsid w:val="00B66DBC"/>
    <w:rsid w:val="00B670C1"/>
    <w:rsid w:val="00B674C6"/>
    <w:rsid w:val="00B67B0C"/>
    <w:rsid w:val="00B67B6B"/>
    <w:rsid w:val="00B67BFD"/>
    <w:rsid w:val="00B67CAB"/>
    <w:rsid w:val="00B67E7C"/>
    <w:rsid w:val="00B67EB2"/>
    <w:rsid w:val="00B67ED1"/>
    <w:rsid w:val="00B700FD"/>
    <w:rsid w:val="00B702BD"/>
    <w:rsid w:val="00B705ED"/>
    <w:rsid w:val="00B7066F"/>
    <w:rsid w:val="00B7074D"/>
    <w:rsid w:val="00B709A2"/>
    <w:rsid w:val="00B709DB"/>
    <w:rsid w:val="00B70A64"/>
    <w:rsid w:val="00B70FE8"/>
    <w:rsid w:val="00B710A7"/>
    <w:rsid w:val="00B716F0"/>
    <w:rsid w:val="00B71862"/>
    <w:rsid w:val="00B71866"/>
    <w:rsid w:val="00B71C1D"/>
    <w:rsid w:val="00B71E7E"/>
    <w:rsid w:val="00B71E8C"/>
    <w:rsid w:val="00B71F39"/>
    <w:rsid w:val="00B7231B"/>
    <w:rsid w:val="00B72435"/>
    <w:rsid w:val="00B726A8"/>
    <w:rsid w:val="00B7279F"/>
    <w:rsid w:val="00B72840"/>
    <w:rsid w:val="00B72873"/>
    <w:rsid w:val="00B728FD"/>
    <w:rsid w:val="00B72C9D"/>
    <w:rsid w:val="00B7303F"/>
    <w:rsid w:val="00B73409"/>
    <w:rsid w:val="00B73564"/>
    <w:rsid w:val="00B735E2"/>
    <w:rsid w:val="00B73623"/>
    <w:rsid w:val="00B7366B"/>
    <w:rsid w:val="00B73806"/>
    <w:rsid w:val="00B738A4"/>
    <w:rsid w:val="00B739D1"/>
    <w:rsid w:val="00B73B59"/>
    <w:rsid w:val="00B73BD1"/>
    <w:rsid w:val="00B73C11"/>
    <w:rsid w:val="00B73CDD"/>
    <w:rsid w:val="00B73CE3"/>
    <w:rsid w:val="00B73DD8"/>
    <w:rsid w:val="00B743CE"/>
    <w:rsid w:val="00B74468"/>
    <w:rsid w:val="00B745EA"/>
    <w:rsid w:val="00B74664"/>
    <w:rsid w:val="00B746AD"/>
    <w:rsid w:val="00B74AB9"/>
    <w:rsid w:val="00B74ADB"/>
    <w:rsid w:val="00B74ADD"/>
    <w:rsid w:val="00B74B05"/>
    <w:rsid w:val="00B74F00"/>
    <w:rsid w:val="00B7528A"/>
    <w:rsid w:val="00B752EE"/>
    <w:rsid w:val="00B7562A"/>
    <w:rsid w:val="00B75796"/>
    <w:rsid w:val="00B757EB"/>
    <w:rsid w:val="00B7594E"/>
    <w:rsid w:val="00B75AF8"/>
    <w:rsid w:val="00B75C77"/>
    <w:rsid w:val="00B75CAE"/>
    <w:rsid w:val="00B76114"/>
    <w:rsid w:val="00B76258"/>
    <w:rsid w:val="00B76422"/>
    <w:rsid w:val="00B765CD"/>
    <w:rsid w:val="00B76860"/>
    <w:rsid w:val="00B76A00"/>
    <w:rsid w:val="00B76B4E"/>
    <w:rsid w:val="00B773F8"/>
    <w:rsid w:val="00B7746A"/>
    <w:rsid w:val="00B776CB"/>
    <w:rsid w:val="00B778C3"/>
    <w:rsid w:val="00B77AC7"/>
    <w:rsid w:val="00B80012"/>
    <w:rsid w:val="00B802A4"/>
    <w:rsid w:val="00B808DB"/>
    <w:rsid w:val="00B80A73"/>
    <w:rsid w:val="00B80E4D"/>
    <w:rsid w:val="00B81052"/>
    <w:rsid w:val="00B810BD"/>
    <w:rsid w:val="00B8163D"/>
    <w:rsid w:val="00B81710"/>
    <w:rsid w:val="00B81A06"/>
    <w:rsid w:val="00B81B85"/>
    <w:rsid w:val="00B81CB2"/>
    <w:rsid w:val="00B81D4C"/>
    <w:rsid w:val="00B8202D"/>
    <w:rsid w:val="00B825DE"/>
    <w:rsid w:val="00B827B2"/>
    <w:rsid w:val="00B82913"/>
    <w:rsid w:val="00B829AD"/>
    <w:rsid w:val="00B82BF9"/>
    <w:rsid w:val="00B82C07"/>
    <w:rsid w:val="00B82E7E"/>
    <w:rsid w:val="00B83044"/>
    <w:rsid w:val="00B8326C"/>
    <w:rsid w:val="00B83355"/>
    <w:rsid w:val="00B833DF"/>
    <w:rsid w:val="00B83717"/>
    <w:rsid w:val="00B83911"/>
    <w:rsid w:val="00B83A12"/>
    <w:rsid w:val="00B83B3C"/>
    <w:rsid w:val="00B83D9A"/>
    <w:rsid w:val="00B83DEC"/>
    <w:rsid w:val="00B84544"/>
    <w:rsid w:val="00B84768"/>
    <w:rsid w:val="00B848AC"/>
    <w:rsid w:val="00B848E0"/>
    <w:rsid w:val="00B84A7C"/>
    <w:rsid w:val="00B84AA4"/>
    <w:rsid w:val="00B84C0E"/>
    <w:rsid w:val="00B84C76"/>
    <w:rsid w:val="00B84CC4"/>
    <w:rsid w:val="00B84F76"/>
    <w:rsid w:val="00B853C2"/>
    <w:rsid w:val="00B857B2"/>
    <w:rsid w:val="00B8592C"/>
    <w:rsid w:val="00B85BB8"/>
    <w:rsid w:val="00B85C82"/>
    <w:rsid w:val="00B85C87"/>
    <w:rsid w:val="00B85D14"/>
    <w:rsid w:val="00B85DD7"/>
    <w:rsid w:val="00B85E13"/>
    <w:rsid w:val="00B85FF4"/>
    <w:rsid w:val="00B862D1"/>
    <w:rsid w:val="00B862EF"/>
    <w:rsid w:val="00B864FB"/>
    <w:rsid w:val="00B8667B"/>
    <w:rsid w:val="00B8674D"/>
    <w:rsid w:val="00B8675E"/>
    <w:rsid w:val="00B867D1"/>
    <w:rsid w:val="00B86921"/>
    <w:rsid w:val="00B86C68"/>
    <w:rsid w:val="00B87700"/>
    <w:rsid w:val="00B87B05"/>
    <w:rsid w:val="00B87B0E"/>
    <w:rsid w:val="00B87CC0"/>
    <w:rsid w:val="00B87F2E"/>
    <w:rsid w:val="00B87F53"/>
    <w:rsid w:val="00B90266"/>
    <w:rsid w:val="00B903F0"/>
    <w:rsid w:val="00B904CE"/>
    <w:rsid w:val="00B90517"/>
    <w:rsid w:val="00B906C8"/>
    <w:rsid w:val="00B90705"/>
    <w:rsid w:val="00B908AE"/>
    <w:rsid w:val="00B90BEC"/>
    <w:rsid w:val="00B90E67"/>
    <w:rsid w:val="00B910EE"/>
    <w:rsid w:val="00B91353"/>
    <w:rsid w:val="00B91856"/>
    <w:rsid w:val="00B91F2B"/>
    <w:rsid w:val="00B923DB"/>
    <w:rsid w:val="00B92431"/>
    <w:rsid w:val="00B92442"/>
    <w:rsid w:val="00B924D5"/>
    <w:rsid w:val="00B92514"/>
    <w:rsid w:val="00B925B9"/>
    <w:rsid w:val="00B92697"/>
    <w:rsid w:val="00B926FB"/>
    <w:rsid w:val="00B927EC"/>
    <w:rsid w:val="00B92870"/>
    <w:rsid w:val="00B92ABB"/>
    <w:rsid w:val="00B92E97"/>
    <w:rsid w:val="00B92EA8"/>
    <w:rsid w:val="00B92EBA"/>
    <w:rsid w:val="00B93017"/>
    <w:rsid w:val="00B932A9"/>
    <w:rsid w:val="00B934CC"/>
    <w:rsid w:val="00B934D4"/>
    <w:rsid w:val="00B93834"/>
    <w:rsid w:val="00B9392E"/>
    <w:rsid w:val="00B93A7D"/>
    <w:rsid w:val="00B93DCF"/>
    <w:rsid w:val="00B93DF7"/>
    <w:rsid w:val="00B94011"/>
    <w:rsid w:val="00B94076"/>
    <w:rsid w:val="00B9410A"/>
    <w:rsid w:val="00B94147"/>
    <w:rsid w:val="00B9439D"/>
    <w:rsid w:val="00B943B6"/>
    <w:rsid w:val="00B94406"/>
    <w:rsid w:val="00B94513"/>
    <w:rsid w:val="00B945AC"/>
    <w:rsid w:val="00B946A7"/>
    <w:rsid w:val="00B9484F"/>
    <w:rsid w:val="00B95026"/>
    <w:rsid w:val="00B95486"/>
    <w:rsid w:val="00B95664"/>
    <w:rsid w:val="00B95C6C"/>
    <w:rsid w:val="00B95C84"/>
    <w:rsid w:val="00B95DA3"/>
    <w:rsid w:val="00B95FAF"/>
    <w:rsid w:val="00B96212"/>
    <w:rsid w:val="00B96319"/>
    <w:rsid w:val="00B9632F"/>
    <w:rsid w:val="00B96371"/>
    <w:rsid w:val="00B96AAA"/>
    <w:rsid w:val="00B96DC0"/>
    <w:rsid w:val="00B97091"/>
    <w:rsid w:val="00B970F0"/>
    <w:rsid w:val="00B975F5"/>
    <w:rsid w:val="00B9769C"/>
    <w:rsid w:val="00B97A5D"/>
    <w:rsid w:val="00B97B61"/>
    <w:rsid w:val="00B97E56"/>
    <w:rsid w:val="00BA0596"/>
    <w:rsid w:val="00BA0818"/>
    <w:rsid w:val="00BA08FD"/>
    <w:rsid w:val="00BA0B96"/>
    <w:rsid w:val="00BA0BB5"/>
    <w:rsid w:val="00BA0D69"/>
    <w:rsid w:val="00BA0E6A"/>
    <w:rsid w:val="00BA1450"/>
    <w:rsid w:val="00BA149A"/>
    <w:rsid w:val="00BA1A83"/>
    <w:rsid w:val="00BA1AE1"/>
    <w:rsid w:val="00BA1AF4"/>
    <w:rsid w:val="00BA1BD1"/>
    <w:rsid w:val="00BA1D1B"/>
    <w:rsid w:val="00BA1E0D"/>
    <w:rsid w:val="00BA1EE4"/>
    <w:rsid w:val="00BA2A4F"/>
    <w:rsid w:val="00BA2C7F"/>
    <w:rsid w:val="00BA3159"/>
    <w:rsid w:val="00BA346F"/>
    <w:rsid w:val="00BA35F5"/>
    <w:rsid w:val="00BA389E"/>
    <w:rsid w:val="00BA3A7D"/>
    <w:rsid w:val="00BA3D96"/>
    <w:rsid w:val="00BA4097"/>
    <w:rsid w:val="00BA4588"/>
    <w:rsid w:val="00BA47EA"/>
    <w:rsid w:val="00BA4965"/>
    <w:rsid w:val="00BA4BA0"/>
    <w:rsid w:val="00BA4C41"/>
    <w:rsid w:val="00BA5269"/>
    <w:rsid w:val="00BA547A"/>
    <w:rsid w:val="00BA5511"/>
    <w:rsid w:val="00BA5543"/>
    <w:rsid w:val="00BA56BC"/>
    <w:rsid w:val="00BA57E3"/>
    <w:rsid w:val="00BA60F1"/>
    <w:rsid w:val="00BA6241"/>
    <w:rsid w:val="00BA6387"/>
    <w:rsid w:val="00BA6433"/>
    <w:rsid w:val="00BA692A"/>
    <w:rsid w:val="00BA69ED"/>
    <w:rsid w:val="00BA6B82"/>
    <w:rsid w:val="00BA6CDB"/>
    <w:rsid w:val="00BA6D08"/>
    <w:rsid w:val="00BA6D58"/>
    <w:rsid w:val="00BA6EBE"/>
    <w:rsid w:val="00BA7132"/>
    <w:rsid w:val="00BA73E2"/>
    <w:rsid w:val="00BA76C4"/>
    <w:rsid w:val="00BA77F2"/>
    <w:rsid w:val="00BA79FB"/>
    <w:rsid w:val="00BA7A65"/>
    <w:rsid w:val="00BA7F86"/>
    <w:rsid w:val="00BB04D7"/>
    <w:rsid w:val="00BB0947"/>
    <w:rsid w:val="00BB0997"/>
    <w:rsid w:val="00BB09AB"/>
    <w:rsid w:val="00BB0A7C"/>
    <w:rsid w:val="00BB0C1A"/>
    <w:rsid w:val="00BB0E6C"/>
    <w:rsid w:val="00BB0E86"/>
    <w:rsid w:val="00BB0F64"/>
    <w:rsid w:val="00BB0FE5"/>
    <w:rsid w:val="00BB1190"/>
    <w:rsid w:val="00BB13C6"/>
    <w:rsid w:val="00BB1A92"/>
    <w:rsid w:val="00BB1FE6"/>
    <w:rsid w:val="00BB2268"/>
    <w:rsid w:val="00BB22C7"/>
    <w:rsid w:val="00BB233A"/>
    <w:rsid w:val="00BB25F0"/>
    <w:rsid w:val="00BB2650"/>
    <w:rsid w:val="00BB27B2"/>
    <w:rsid w:val="00BB2EFB"/>
    <w:rsid w:val="00BB2F65"/>
    <w:rsid w:val="00BB310F"/>
    <w:rsid w:val="00BB3401"/>
    <w:rsid w:val="00BB37AA"/>
    <w:rsid w:val="00BB38BD"/>
    <w:rsid w:val="00BB3EE0"/>
    <w:rsid w:val="00BB416E"/>
    <w:rsid w:val="00BB4185"/>
    <w:rsid w:val="00BB42A9"/>
    <w:rsid w:val="00BB450F"/>
    <w:rsid w:val="00BB493E"/>
    <w:rsid w:val="00BB4C45"/>
    <w:rsid w:val="00BB4DC0"/>
    <w:rsid w:val="00BB4EB7"/>
    <w:rsid w:val="00BB4F61"/>
    <w:rsid w:val="00BB5026"/>
    <w:rsid w:val="00BB5051"/>
    <w:rsid w:val="00BB50CE"/>
    <w:rsid w:val="00BB5252"/>
    <w:rsid w:val="00BB525B"/>
    <w:rsid w:val="00BB5333"/>
    <w:rsid w:val="00BB5465"/>
    <w:rsid w:val="00BB5472"/>
    <w:rsid w:val="00BB55DF"/>
    <w:rsid w:val="00BB5B26"/>
    <w:rsid w:val="00BB5C2C"/>
    <w:rsid w:val="00BB5C8D"/>
    <w:rsid w:val="00BB5DAB"/>
    <w:rsid w:val="00BB5DE1"/>
    <w:rsid w:val="00BB5E2D"/>
    <w:rsid w:val="00BB5EC2"/>
    <w:rsid w:val="00BB64EF"/>
    <w:rsid w:val="00BB6540"/>
    <w:rsid w:val="00BB6F49"/>
    <w:rsid w:val="00BB722B"/>
    <w:rsid w:val="00BB73E4"/>
    <w:rsid w:val="00BB74F0"/>
    <w:rsid w:val="00BB7770"/>
    <w:rsid w:val="00BB7B5B"/>
    <w:rsid w:val="00BB7D56"/>
    <w:rsid w:val="00BB7DB9"/>
    <w:rsid w:val="00BB7FC7"/>
    <w:rsid w:val="00BC0073"/>
    <w:rsid w:val="00BC0301"/>
    <w:rsid w:val="00BC04F5"/>
    <w:rsid w:val="00BC0604"/>
    <w:rsid w:val="00BC06F4"/>
    <w:rsid w:val="00BC06FC"/>
    <w:rsid w:val="00BC083B"/>
    <w:rsid w:val="00BC0BCC"/>
    <w:rsid w:val="00BC0CC1"/>
    <w:rsid w:val="00BC0D76"/>
    <w:rsid w:val="00BC0E2F"/>
    <w:rsid w:val="00BC138E"/>
    <w:rsid w:val="00BC15AC"/>
    <w:rsid w:val="00BC18B3"/>
    <w:rsid w:val="00BC218F"/>
    <w:rsid w:val="00BC233D"/>
    <w:rsid w:val="00BC292A"/>
    <w:rsid w:val="00BC2A79"/>
    <w:rsid w:val="00BC2A96"/>
    <w:rsid w:val="00BC2D57"/>
    <w:rsid w:val="00BC2DE0"/>
    <w:rsid w:val="00BC3003"/>
    <w:rsid w:val="00BC3046"/>
    <w:rsid w:val="00BC3328"/>
    <w:rsid w:val="00BC3508"/>
    <w:rsid w:val="00BC35B6"/>
    <w:rsid w:val="00BC37FE"/>
    <w:rsid w:val="00BC39DE"/>
    <w:rsid w:val="00BC3BD4"/>
    <w:rsid w:val="00BC41FE"/>
    <w:rsid w:val="00BC4334"/>
    <w:rsid w:val="00BC4512"/>
    <w:rsid w:val="00BC497C"/>
    <w:rsid w:val="00BC4A26"/>
    <w:rsid w:val="00BC4ABC"/>
    <w:rsid w:val="00BC4C01"/>
    <w:rsid w:val="00BC4C7F"/>
    <w:rsid w:val="00BC5095"/>
    <w:rsid w:val="00BC5193"/>
    <w:rsid w:val="00BC51DA"/>
    <w:rsid w:val="00BC51F7"/>
    <w:rsid w:val="00BC5261"/>
    <w:rsid w:val="00BC52F1"/>
    <w:rsid w:val="00BC5334"/>
    <w:rsid w:val="00BC55F5"/>
    <w:rsid w:val="00BC5997"/>
    <w:rsid w:val="00BC5EB9"/>
    <w:rsid w:val="00BC60AB"/>
    <w:rsid w:val="00BC6188"/>
    <w:rsid w:val="00BC6238"/>
    <w:rsid w:val="00BC66D8"/>
    <w:rsid w:val="00BC6CD3"/>
    <w:rsid w:val="00BC6D10"/>
    <w:rsid w:val="00BC6D24"/>
    <w:rsid w:val="00BC6FB4"/>
    <w:rsid w:val="00BC78A6"/>
    <w:rsid w:val="00BC78C4"/>
    <w:rsid w:val="00BC7DB7"/>
    <w:rsid w:val="00BC7E44"/>
    <w:rsid w:val="00BD0104"/>
    <w:rsid w:val="00BD0226"/>
    <w:rsid w:val="00BD0419"/>
    <w:rsid w:val="00BD04B2"/>
    <w:rsid w:val="00BD055C"/>
    <w:rsid w:val="00BD0684"/>
    <w:rsid w:val="00BD0737"/>
    <w:rsid w:val="00BD0CAF"/>
    <w:rsid w:val="00BD1123"/>
    <w:rsid w:val="00BD1437"/>
    <w:rsid w:val="00BD146D"/>
    <w:rsid w:val="00BD1563"/>
    <w:rsid w:val="00BD1575"/>
    <w:rsid w:val="00BD1594"/>
    <w:rsid w:val="00BD16B8"/>
    <w:rsid w:val="00BD178D"/>
    <w:rsid w:val="00BD17E4"/>
    <w:rsid w:val="00BD1A3A"/>
    <w:rsid w:val="00BD1AE7"/>
    <w:rsid w:val="00BD1B49"/>
    <w:rsid w:val="00BD1F8C"/>
    <w:rsid w:val="00BD223B"/>
    <w:rsid w:val="00BD2345"/>
    <w:rsid w:val="00BD27E8"/>
    <w:rsid w:val="00BD2FB3"/>
    <w:rsid w:val="00BD3258"/>
    <w:rsid w:val="00BD36B6"/>
    <w:rsid w:val="00BD3DD4"/>
    <w:rsid w:val="00BD3DED"/>
    <w:rsid w:val="00BD41BE"/>
    <w:rsid w:val="00BD440C"/>
    <w:rsid w:val="00BD47A4"/>
    <w:rsid w:val="00BD480C"/>
    <w:rsid w:val="00BD48CB"/>
    <w:rsid w:val="00BD4A1D"/>
    <w:rsid w:val="00BD52B2"/>
    <w:rsid w:val="00BD5379"/>
    <w:rsid w:val="00BD541C"/>
    <w:rsid w:val="00BD55F3"/>
    <w:rsid w:val="00BD5A71"/>
    <w:rsid w:val="00BD5B12"/>
    <w:rsid w:val="00BD5C5B"/>
    <w:rsid w:val="00BD5D36"/>
    <w:rsid w:val="00BD60AF"/>
    <w:rsid w:val="00BD61C3"/>
    <w:rsid w:val="00BD6298"/>
    <w:rsid w:val="00BD6368"/>
    <w:rsid w:val="00BD63B5"/>
    <w:rsid w:val="00BD6741"/>
    <w:rsid w:val="00BD6792"/>
    <w:rsid w:val="00BD6B35"/>
    <w:rsid w:val="00BD72B2"/>
    <w:rsid w:val="00BD7320"/>
    <w:rsid w:val="00BD744F"/>
    <w:rsid w:val="00BD7656"/>
    <w:rsid w:val="00BD7691"/>
    <w:rsid w:val="00BD7752"/>
    <w:rsid w:val="00BD7997"/>
    <w:rsid w:val="00BD7D4F"/>
    <w:rsid w:val="00BD7EAB"/>
    <w:rsid w:val="00BE0021"/>
    <w:rsid w:val="00BE0131"/>
    <w:rsid w:val="00BE016C"/>
    <w:rsid w:val="00BE017F"/>
    <w:rsid w:val="00BE019A"/>
    <w:rsid w:val="00BE0282"/>
    <w:rsid w:val="00BE03A3"/>
    <w:rsid w:val="00BE07D1"/>
    <w:rsid w:val="00BE0A0A"/>
    <w:rsid w:val="00BE0A53"/>
    <w:rsid w:val="00BE0AA5"/>
    <w:rsid w:val="00BE0B88"/>
    <w:rsid w:val="00BE0BF0"/>
    <w:rsid w:val="00BE0C0F"/>
    <w:rsid w:val="00BE0DE1"/>
    <w:rsid w:val="00BE12F0"/>
    <w:rsid w:val="00BE1378"/>
    <w:rsid w:val="00BE1542"/>
    <w:rsid w:val="00BE166A"/>
    <w:rsid w:val="00BE1735"/>
    <w:rsid w:val="00BE17B4"/>
    <w:rsid w:val="00BE19ED"/>
    <w:rsid w:val="00BE1C0C"/>
    <w:rsid w:val="00BE1DB2"/>
    <w:rsid w:val="00BE231B"/>
    <w:rsid w:val="00BE263F"/>
    <w:rsid w:val="00BE2654"/>
    <w:rsid w:val="00BE28CE"/>
    <w:rsid w:val="00BE2CB0"/>
    <w:rsid w:val="00BE2FD8"/>
    <w:rsid w:val="00BE3465"/>
    <w:rsid w:val="00BE367A"/>
    <w:rsid w:val="00BE38B3"/>
    <w:rsid w:val="00BE3958"/>
    <w:rsid w:val="00BE3F50"/>
    <w:rsid w:val="00BE43C4"/>
    <w:rsid w:val="00BE48D1"/>
    <w:rsid w:val="00BE4A12"/>
    <w:rsid w:val="00BE4A13"/>
    <w:rsid w:val="00BE4AD6"/>
    <w:rsid w:val="00BE4EC5"/>
    <w:rsid w:val="00BE4FB2"/>
    <w:rsid w:val="00BE5884"/>
    <w:rsid w:val="00BE5931"/>
    <w:rsid w:val="00BE5D0A"/>
    <w:rsid w:val="00BE6071"/>
    <w:rsid w:val="00BE6202"/>
    <w:rsid w:val="00BE6219"/>
    <w:rsid w:val="00BE6251"/>
    <w:rsid w:val="00BE6794"/>
    <w:rsid w:val="00BE6933"/>
    <w:rsid w:val="00BE6CD0"/>
    <w:rsid w:val="00BE6DDF"/>
    <w:rsid w:val="00BE6F42"/>
    <w:rsid w:val="00BE702A"/>
    <w:rsid w:val="00BE7236"/>
    <w:rsid w:val="00BE79E1"/>
    <w:rsid w:val="00BE7BE9"/>
    <w:rsid w:val="00BE7CD8"/>
    <w:rsid w:val="00BF017C"/>
    <w:rsid w:val="00BF01C2"/>
    <w:rsid w:val="00BF022B"/>
    <w:rsid w:val="00BF0398"/>
    <w:rsid w:val="00BF03D2"/>
    <w:rsid w:val="00BF06C2"/>
    <w:rsid w:val="00BF0868"/>
    <w:rsid w:val="00BF08E0"/>
    <w:rsid w:val="00BF096E"/>
    <w:rsid w:val="00BF0BC1"/>
    <w:rsid w:val="00BF0C17"/>
    <w:rsid w:val="00BF0F9A"/>
    <w:rsid w:val="00BF1145"/>
    <w:rsid w:val="00BF1BD5"/>
    <w:rsid w:val="00BF1C19"/>
    <w:rsid w:val="00BF1E03"/>
    <w:rsid w:val="00BF20BE"/>
    <w:rsid w:val="00BF212E"/>
    <w:rsid w:val="00BF231B"/>
    <w:rsid w:val="00BF269C"/>
    <w:rsid w:val="00BF26CA"/>
    <w:rsid w:val="00BF29C9"/>
    <w:rsid w:val="00BF2B73"/>
    <w:rsid w:val="00BF2CCD"/>
    <w:rsid w:val="00BF2E85"/>
    <w:rsid w:val="00BF3431"/>
    <w:rsid w:val="00BF35E4"/>
    <w:rsid w:val="00BF38E4"/>
    <w:rsid w:val="00BF3979"/>
    <w:rsid w:val="00BF39C0"/>
    <w:rsid w:val="00BF3C0B"/>
    <w:rsid w:val="00BF3E32"/>
    <w:rsid w:val="00BF42A6"/>
    <w:rsid w:val="00BF4346"/>
    <w:rsid w:val="00BF4441"/>
    <w:rsid w:val="00BF4495"/>
    <w:rsid w:val="00BF44E4"/>
    <w:rsid w:val="00BF48B7"/>
    <w:rsid w:val="00BF49BF"/>
    <w:rsid w:val="00BF4F00"/>
    <w:rsid w:val="00BF539E"/>
    <w:rsid w:val="00BF58AF"/>
    <w:rsid w:val="00BF5946"/>
    <w:rsid w:val="00BF5B27"/>
    <w:rsid w:val="00BF5CD3"/>
    <w:rsid w:val="00BF5D72"/>
    <w:rsid w:val="00BF5F62"/>
    <w:rsid w:val="00BF61D8"/>
    <w:rsid w:val="00BF6240"/>
    <w:rsid w:val="00BF63AE"/>
    <w:rsid w:val="00BF6426"/>
    <w:rsid w:val="00BF64B4"/>
    <w:rsid w:val="00BF6546"/>
    <w:rsid w:val="00BF65F3"/>
    <w:rsid w:val="00BF6C5D"/>
    <w:rsid w:val="00BF6CC2"/>
    <w:rsid w:val="00BF6D03"/>
    <w:rsid w:val="00BF6DE7"/>
    <w:rsid w:val="00BF6FE7"/>
    <w:rsid w:val="00BF6FEA"/>
    <w:rsid w:val="00BF71A4"/>
    <w:rsid w:val="00BF734C"/>
    <w:rsid w:val="00BF7403"/>
    <w:rsid w:val="00BF7642"/>
    <w:rsid w:val="00BF7771"/>
    <w:rsid w:val="00BF79C2"/>
    <w:rsid w:val="00BF7A91"/>
    <w:rsid w:val="00BF7C75"/>
    <w:rsid w:val="00BF7D5F"/>
    <w:rsid w:val="00BF7D67"/>
    <w:rsid w:val="00BF7EC1"/>
    <w:rsid w:val="00BF7FB4"/>
    <w:rsid w:val="00C00161"/>
    <w:rsid w:val="00C00301"/>
    <w:rsid w:val="00C006B3"/>
    <w:rsid w:val="00C00BF5"/>
    <w:rsid w:val="00C00C93"/>
    <w:rsid w:val="00C01213"/>
    <w:rsid w:val="00C01259"/>
    <w:rsid w:val="00C013A0"/>
    <w:rsid w:val="00C014B2"/>
    <w:rsid w:val="00C014F3"/>
    <w:rsid w:val="00C01543"/>
    <w:rsid w:val="00C0169F"/>
    <w:rsid w:val="00C01B91"/>
    <w:rsid w:val="00C01D0A"/>
    <w:rsid w:val="00C01FBD"/>
    <w:rsid w:val="00C02828"/>
    <w:rsid w:val="00C02890"/>
    <w:rsid w:val="00C02C39"/>
    <w:rsid w:val="00C02C63"/>
    <w:rsid w:val="00C03FA0"/>
    <w:rsid w:val="00C03FBE"/>
    <w:rsid w:val="00C040D1"/>
    <w:rsid w:val="00C04385"/>
    <w:rsid w:val="00C048AC"/>
    <w:rsid w:val="00C04922"/>
    <w:rsid w:val="00C04AC5"/>
    <w:rsid w:val="00C04C86"/>
    <w:rsid w:val="00C0501A"/>
    <w:rsid w:val="00C050E1"/>
    <w:rsid w:val="00C05251"/>
    <w:rsid w:val="00C053B5"/>
    <w:rsid w:val="00C0584B"/>
    <w:rsid w:val="00C05E3C"/>
    <w:rsid w:val="00C06078"/>
    <w:rsid w:val="00C0615F"/>
    <w:rsid w:val="00C06557"/>
    <w:rsid w:val="00C06770"/>
    <w:rsid w:val="00C067E9"/>
    <w:rsid w:val="00C068BE"/>
    <w:rsid w:val="00C068F2"/>
    <w:rsid w:val="00C06ABA"/>
    <w:rsid w:val="00C06BFF"/>
    <w:rsid w:val="00C06CF7"/>
    <w:rsid w:val="00C0714C"/>
    <w:rsid w:val="00C07516"/>
    <w:rsid w:val="00C07544"/>
    <w:rsid w:val="00C0795C"/>
    <w:rsid w:val="00C07CAB"/>
    <w:rsid w:val="00C07DFA"/>
    <w:rsid w:val="00C07ED5"/>
    <w:rsid w:val="00C07F9D"/>
    <w:rsid w:val="00C1009D"/>
    <w:rsid w:val="00C100C9"/>
    <w:rsid w:val="00C101E6"/>
    <w:rsid w:val="00C10269"/>
    <w:rsid w:val="00C10347"/>
    <w:rsid w:val="00C103A6"/>
    <w:rsid w:val="00C103E2"/>
    <w:rsid w:val="00C10602"/>
    <w:rsid w:val="00C10654"/>
    <w:rsid w:val="00C10AE0"/>
    <w:rsid w:val="00C10C2B"/>
    <w:rsid w:val="00C10DE7"/>
    <w:rsid w:val="00C10E8D"/>
    <w:rsid w:val="00C1116C"/>
    <w:rsid w:val="00C1145C"/>
    <w:rsid w:val="00C1151C"/>
    <w:rsid w:val="00C115CC"/>
    <w:rsid w:val="00C115CE"/>
    <w:rsid w:val="00C11A85"/>
    <w:rsid w:val="00C11BB2"/>
    <w:rsid w:val="00C122C0"/>
    <w:rsid w:val="00C12765"/>
    <w:rsid w:val="00C12781"/>
    <w:rsid w:val="00C127B2"/>
    <w:rsid w:val="00C1281C"/>
    <w:rsid w:val="00C12888"/>
    <w:rsid w:val="00C129FB"/>
    <w:rsid w:val="00C12B7B"/>
    <w:rsid w:val="00C12BE0"/>
    <w:rsid w:val="00C12CF8"/>
    <w:rsid w:val="00C1304A"/>
    <w:rsid w:val="00C1330F"/>
    <w:rsid w:val="00C134C3"/>
    <w:rsid w:val="00C135B5"/>
    <w:rsid w:val="00C135D1"/>
    <w:rsid w:val="00C139C1"/>
    <w:rsid w:val="00C13AB0"/>
    <w:rsid w:val="00C13DDD"/>
    <w:rsid w:val="00C14218"/>
    <w:rsid w:val="00C14579"/>
    <w:rsid w:val="00C145C7"/>
    <w:rsid w:val="00C14700"/>
    <w:rsid w:val="00C14D94"/>
    <w:rsid w:val="00C14FD9"/>
    <w:rsid w:val="00C15210"/>
    <w:rsid w:val="00C15457"/>
    <w:rsid w:val="00C155D2"/>
    <w:rsid w:val="00C15A6E"/>
    <w:rsid w:val="00C15B5E"/>
    <w:rsid w:val="00C15CFC"/>
    <w:rsid w:val="00C15D06"/>
    <w:rsid w:val="00C15D2A"/>
    <w:rsid w:val="00C15EF6"/>
    <w:rsid w:val="00C160ED"/>
    <w:rsid w:val="00C167D2"/>
    <w:rsid w:val="00C169D5"/>
    <w:rsid w:val="00C16D22"/>
    <w:rsid w:val="00C16E34"/>
    <w:rsid w:val="00C16E83"/>
    <w:rsid w:val="00C16FF3"/>
    <w:rsid w:val="00C170C2"/>
    <w:rsid w:val="00C1740A"/>
    <w:rsid w:val="00C1752B"/>
    <w:rsid w:val="00C175E4"/>
    <w:rsid w:val="00C1770B"/>
    <w:rsid w:val="00C177A7"/>
    <w:rsid w:val="00C17A0C"/>
    <w:rsid w:val="00C17B03"/>
    <w:rsid w:val="00C2057F"/>
    <w:rsid w:val="00C20735"/>
    <w:rsid w:val="00C20805"/>
    <w:rsid w:val="00C20A49"/>
    <w:rsid w:val="00C20BC6"/>
    <w:rsid w:val="00C21182"/>
    <w:rsid w:val="00C211B3"/>
    <w:rsid w:val="00C2166F"/>
    <w:rsid w:val="00C219DC"/>
    <w:rsid w:val="00C21E52"/>
    <w:rsid w:val="00C21F54"/>
    <w:rsid w:val="00C21F7A"/>
    <w:rsid w:val="00C22097"/>
    <w:rsid w:val="00C222D5"/>
    <w:rsid w:val="00C2253D"/>
    <w:rsid w:val="00C225B1"/>
    <w:rsid w:val="00C22643"/>
    <w:rsid w:val="00C22A04"/>
    <w:rsid w:val="00C22C7E"/>
    <w:rsid w:val="00C23685"/>
    <w:rsid w:val="00C236B0"/>
    <w:rsid w:val="00C2382A"/>
    <w:rsid w:val="00C23BBA"/>
    <w:rsid w:val="00C2406A"/>
    <w:rsid w:val="00C24402"/>
    <w:rsid w:val="00C247B4"/>
    <w:rsid w:val="00C24A1A"/>
    <w:rsid w:val="00C24ABB"/>
    <w:rsid w:val="00C24F17"/>
    <w:rsid w:val="00C24F9B"/>
    <w:rsid w:val="00C25767"/>
    <w:rsid w:val="00C259D6"/>
    <w:rsid w:val="00C25AE8"/>
    <w:rsid w:val="00C25C07"/>
    <w:rsid w:val="00C25E49"/>
    <w:rsid w:val="00C25F7D"/>
    <w:rsid w:val="00C25FED"/>
    <w:rsid w:val="00C2627D"/>
    <w:rsid w:val="00C265CE"/>
    <w:rsid w:val="00C26BC8"/>
    <w:rsid w:val="00C27066"/>
    <w:rsid w:val="00C270EE"/>
    <w:rsid w:val="00C2717E"/>
    <w:rsid w:val="00C27203"/>
    <w:rsid w:val="00C272AE"/>
    <w:rsid w:val="00C2739E"/>
    <w:rsid w:val="00C273F3"/>
    <w:rsid w:val="00C27413"/>
    <w:rsid w:val="00C27453"/>
    <w:rsid w:val="00C27566"/>
    <w:rsid w:val="00C276D3"/>
    <w:rsid w:val="00C27738"/>
    <w:rsid w:val="00C27754"/>
    <w:rsid w:val="00C27BB0"/>
    <w:rsid w:val="00C27D0E"/>
    <w:rsid w:val="00C27D4B"/>
    <w:rsid w:val="00C27EB5"/>
    <w:rsid w:val="00C30553"/>
    <w:rsid w:val="00C305A2"/>
    <w:rsid w:val="00C3118C"/>
    <w:rsid w:val="00C313BC"/>
    <w:rsid w:val="00C313E1"/>
    <w:rsid w:val="00C314FB"/>
    <w:rsid w:val="00C31961"/>
    <w:rsid w:val="00C31A3D"/>
    <w:rsid w:val="00C31E87"/>
    <w:rsid w:val="00C31F73"/>
    <w:rsid w:val="00C32036"/>
    <w:rsid w:val="00C3208B"/>
    <w:rsid w:val="00C320FF"/>
    <w:rsid w:val="00C322DD"/>
    <w:rsid w:val="00C3246D"/>
    <w:rsid w:val="00C3250B"/>
    <w:rsid w:val="00C32626"/>
    <w:rsid w:val="00C327E9"/>
    <w:rsid w:val="00C32837"/>
    <w:rsid w:val="00C32CE2"/>
    <w:rsid w:val="00C32CF6"/>
    <w:rsid w:val="00C32D19"/>
    <w:rsid w:val="00C32ED9"/>
    <w:rsid w:val="00C32F73"/>
    <w:rsid w:val="00C32FB4"/>
    <w:rsid w:val="00C331E4"/>
    <w:rsid w:val="00C33282"/>
    <w:rsid w:val="00C332BE"/>
    <w:rsid w:val="00C33328"/>
    <w:rsid w:val="00C335A3"/>
    <w:rsid w:val="00C3370F"/>
    <w:rsid w:val="00C337CA"/>
    <w:rsid w:val="00C33B08"/>
    <w:rsid w:val="00C33D16"/>
    <w:rsid w:val="00C33D58"/>
    <w:rsid w:val="00C34014"/>
    <w:rsid w:val="00C34033"/>
    <w:rsid w:val="00C34198"/>
    <w:rsid w:val="00C343A1"/>
    <w:rsid w:val="00C343B6"/>
    <w:rsid w:val="00C343CF"/>
    <w:rsid w:val="00C3453E"/>
    <w:rsid w:val="00C34633"/>
    <w:rsid w:val="00C349AE"/>
    <w:rsid w:val="00C34E91"/>
    <w:rsid w:val="00C34FDE"/>
    <w:rsid w:val="00C35290"/>
    <w:rsid w:val="00C356E0"/>
    <w:rsid w:val="00C3591C"/>
    <w:rsid w:val="00C35A42"/>
    <w:rsid w:val="00C35ABD"/>
    <w:rsid w:val="00C35B7C"/>
    <w:rsid w:val="00C35D5B"/>
    <w:rsid w:val="00C35D6E"/>
    <w:rsid w:val="00C35DE2"/>
    <w:rsid w:val="00C36044"/>
    <w:rsid w:val="00C360C1"/>
    <w:rsid w:val="00C362B0"/>
    <w:rsid w:val="00C362D7"/>
    <w:rsid w:val="00C363DB"/>
    <w:rsid w:val="00C3696B"/>
    <w:rsid w:val="00C36EA7"/>
    <w:rsid w:val="00C36EEA"/>
    <w:rsid w:val="00C36EFD"/>
    <w:rsid w:val="00C36F92"/>
    <w:rsid w:val="00C3719B"/>
    <w:rsid w:val="00C372EE"/>
    <w:rsid w:val="00C376B2"/>
    <w:rsid w:val="00C377E8"/>
    <w:rsid w:val="00C37A6E"/>
    <w:rsid w:val="00C37B3F"/>
    <w:rsid w:val="00C37E71"/>
    <w:rsid w:val="00C37F0F"/>
    <w:rsid w:val="00C40154"/>
    <w:rsid w:val="00C40565"/>
    <w:rsid w:val="00C40D6A"/>
    <w:rsid w:val="00C40EF4"/>
    <w:rsid w:val="00C41282"/>
    <w:rsid w:val="00C4145B"/>
    <w:rsid w:val="00C41502"/>
    <w:rsid w:val="00C41809"/>
    <w:rsid w:val="00C41A7A"/>
    <w:rsid w:val="00C41BA6"/>
    <w:rsid w:val="00C421B4"/>
    <w:rsid w:val="00C424D4"/>
    <w:rsid w:val="00C42717"/>
    <w:rsid w:val="00C428A9"/>
    <w:rsid w:val="00C42BA4"/>
    <w:rsid w:val="00C42FDB"/>
    <w:rsid w:val="00C43032"/>
    <w:rsid w:val="00C430E5"/>
    <w:rsid w:val="00C431E0"/>
    <w:rsid w:val="00C43248"/>
    <w:rsid w:val="00C43451"/>
    <w:rsid w:val="00C434FE"/>
    <w:rsid w:val="00C43B58"/>
    <w:rsid w:val="00C43C1A"/>
    <w:rsid w:val="00C43C21"/>
    <w:rsid w:val="00C43C38"/>
    <w:rsid w:val="00C43DFB"/>
    <w:rsid w:val="00C43EB1"/>
    <w:rsid w:val="00C441DB"/>
    <w:rsid w:val="00C4447B"/>
    <w:rsid w:val="00C4447C"/>
    <w:rsid w:val="00C445BB"/>
    <w:rsid w:val="00C4486C"/>
    <w:rsid w:val="00C448C3"/>
    <w:rsid w:val="00C44A83"/>
    <w:rsid w:val="00C44C24"/>
    <w:rsid w:val="00C44D77"/>
    <w:rsid w:val="00C44F34"/>
    <w:rsid w:val="00C45131"/>
    <w:rsid w:val="00C45254"/>
    <w:rsid w:val="00C4531F"/>
    <w:rsid w:val="00C4633D"/>
    <w:rsid w:val="00C46472"/>
    <w:rsid w:val="00C465AD"/>
    <w:rsid w:val="00C46F31"/>
    <w:rsid w:val="00C46FC5"/>
    <w:rsid w:val="00C47118"/>
    <w:rsid w:val="00C47193"/>
    <w:rsid w:val="00C472C0"/>
    <w:rsid w:val="00C473DA"/>
    <w:rsid w:val="00C475C4"/>
    <w:rsid w:val="00C4772E"/>
    <w:rsid w:val="00C47818"/>
    <w:rsid w:val="00C478AE"/>
    <w:rsid w:val="00C479E5"/>
    <w:rsid w:val="00C47A42"/>
    <w:rsid w:val="00C47EE5"/>
    <w:rsid w:val="00C47FE3"/>
    <w:rsid w:val="00C5054A"/>
    <w:rsid w:val="00C5062A"/>
    <w:rsid w:val="00C5084A"/>
    <w:rsid w:val="00C50974"/>
    <w:rsid w:val="00C50A31"/>
    <w:rsid w:val="00C50ED3"/>
    <w:rsid w:val="00C50EEC"/>
    <w:rsid w:val="00C50EF2"/>
    <w:rsid w:val="00C50FFF"/>
    <w:rsid w:val="00C511AB"/>
    <w:rsid w:val="00C51785"/>
    <w:rsid w:val="00C52410"/>
    <w:rsid w:val="00C52898"/>
    <w:rsid w:val="00C52A4F"/>
    <w:rsid w:val="00C52A61"/>
    <w:rsid w:val="00C52D45"/>
    <w:rsid w:val="00C53236"/>
    <w:rsid w:val="00C533AA"/>
    <w:rsid w:val="00C533C1"/>
    <w:rsid w:val="00C53594"/>
    <w:rsid w:val="00C535A1"/>
    <w:rsid w:val="00C5378D"/>
    <w:rsid w:val="00C53A7D"/>
    <w:rsid w:val="00C53B99"/>
    <w:rsid w:val="00C53BB5"/>
    <w:rsid w:val="00C53BC2"/>
    <w:rsid w:val="00C53D72"/>
    <w:rsid w:val="00C53E32"/>
    <w:rsid w:val="00C53E40"/>
    <w:rsid w:val="00C540C2"/>
    <w:rsid w:val="00C5438D"/>
    <w:rsid w:val="00C54558"/>
    <w:rsid w:val="00C54652"/>
    <w:rsid w:val="00C54B20"/>
    <w:rsid w:val="00C54BE1"/>
    <w:rsid w:val="00C55200"/>
    <w:rsid w:val="00C5553A"/>
    <w:rsid w:val="00C559E2"/>
    <w:rsid w:val="00C55A11"/>
    <w:rsid w:val="00C55A96"/>
    <w:rsid w:val="00C55B0E"/>
    <w:rsid w:val="00C55CBE"/>
    <w:rsid w:val="00C55D5F"/>
    <w:rsid w:val="00C55E9F"/>
    <w:rsid w:val="00C55F8A"/>
    <w:rsid w:val="00C55FF0"/>
    <w:rsid w:val="00C5601F"/>
    <w:rsid w:val="00C56039"/>
    <w:rsid w:val="00C56161"/>
    <w:rsid w:val="00C5617A"/>
    <w:rsid w:val="00C56572"/>
    <w:rsid w:val="00C56A16"/>
    <w:rsid w:val="00C56B6A"/>
    <w:rsid w:val="00C56BEE"/>
    <w:rsid w:val="00C56F5C"/>
    <w:rsid w:val="00C57150"/>
    <w:rsid w:val="00C5728A"/>
    <w:rsid w:val="00C578BF"/>
    <w:rsid w:val="00C57AB9"/>
    <w:rsid w:val="00C57BB5"/>
    <w:rsid w:val="00C57BD5"/>
    <w:rsid w:val="00C57C13"/>
    <w:rsid w:val="00C57D88"/>
    <w:rsid w:val="00C60084"/>
    <w:rsid w:val="00C6036D"/>
    <w:rsid w:val="00C604CC"/>
    <w:rsid w:val="00C606CA"/>
    <w:rsid w:val="00C60723"/>
    <w:rsid w:val="00C610FA"/>
    <w:rsid w:val="00C61963"/>
    <w:rsid w:val="00C61964"/>
    <w:rsid w:val="00C61FD3"/>
    <w:rsid w:val="00C62380"/>
    <w:rsid w:val="00C62DCE"/>
    <w:rsid w:val="00C62EC5"/>
    <w:rsid w:val="00C6304F"/>
    <w:rsid w:val="00C63446"/>
    <w:rsid w:val="00C636D9"/>
    <w:rsid w:val="00C6395B"/>
    <w:rsid w:val="00C63A35"/>
    <w:rsid w:val="00C63C1E"/>
    <w:rsid w:val="00C63CFA"/>
    <w:rsid w:val="00C63E0F"/>
    <w:rsid w:val="00C6487E"/>
    <w:rsid w:val="00C649EF"/>
    <w:rsid w:val="00C64A1C"/>
    <w:rsid w:val="00C64A2C"/>
    <w:rsid w:val="00C64BB1"/>
    <w:rsid w:val="00C64CA7"/>
    <w:rsid w:val="00C64E9C"/>
    <w:rsid w:val="00C64F37"/>
    <w:rsid w:val="00C65032"/>
    <w:rsid w:val="00C651BE"/>
    <w:rsid w:val="00C653F2"/>
    <w:rsid w:val="00C65720"/>
    <w:rsid w:val="00C65918"/>
    <w:rsid w:val="00C6592C"/>
    <w:rsid w:val="00C65D67"/>
    <w:rsid w:val="00C65D71"/>
    <w:rsid w:val="00C65E86"/>
    <w:rsid w:val="00C661DA"/>
    <w:rsid w:val="00C662E5"/>
    <w:rsid w:val="00C667C2"/>
    <w:rsid w:val="00C66889"/>
    <w:rsid w:val="00C66ACA"/>
    <w:rsid w:val="00C66AE1"/>
    <w:rsid w:val="00C67309"/>
    <w:rsid w:val="00C67409"/>
    <w:rsid w:val="00C674B2"/>
    <w:rsid w:val="00C675BD"/>
    <w:rsid w:val="00C67889"/>
    <w:rsid w:val="00C678A0"/>
    <w:rsid w:val="00C67B1A"/>
    <w:rsid w:val="00C67C44"/>
    <w:rsid w:val="00C67CAE"/>
    <w:rsid w:val="00C67D69"/>
    <w:rsid w:val="00C67E76"/>
    <w:rsid w:val="00C7034E"/>
    <w:rsid w:val="00C7051E"/>
    <w:rsid w:val="00C7056B"/>
    <w:rsid w:val="00C70747"/>
    <w:rsid w:val="00C70E15"/>
    <w:rsid w:val="00C70E8A"/>
    <w:rsid w:val="00C71039"/>
    <w:rsid w:val="00C7111C"/>
    <w:rsid w:val="00C7127C"/>
    <w:rsid w:val="00C71552"/>
    <w:rsid w:val="00C71A36"/>
    <w:rsid w:val="00C71AB7"/>
    <w:rsid w:val="00C71EAA"/>
    <w:rsid w:val="00C7214E"/>
    <w:rsid w:val="00C72185"/>
    <w:rsid w:val="00C7229D"/>
    <w:rsid w:val="00C722A5"/>
    <w:rsid w:val="00C72351"/>
    <w:rsid w:val="00C72361"/>
    <w:rsid w:val="00C72517"/>
    <w:rsid w:val="00C7265C"/>
    <w:rsid w:val="00C728F0"/>
    <w:rsid w:val="00C72D51"/>
    <w:rsid w:val="00C72DC0"/>
    <w:rsid w:val="00C72EF5"/>
    <w:rsid w:val="00C72F59"/>
    <w:rsid w:val="00C73114"/>
    <w:rsid w:val="00C73227"/>
    <w:rsid w:val="00C73331"/>
    <w:rsid w:val="00C736FC"/>
    <w:rsid w:val="00C73B75"/>
    <w:rsid w:val="00C73C06"/>
    <w:rsid w:val="00C73DAE"/>
    <w:rsid w:val="00C74114"/>
    <w:rsid w:val="00C74198"/>
    <w:rsid w:val="00C7420F"/>
    <w:rsid w:val="00C742D7"/>
    <w:rsid w:val="00C7440B"/>
    <w:rsid w:val="00C744A3"/>
    <w:rsid w:val="00C74BDA"/>
    <w:rsid w:val="00C74D5C"/>
    <w:rsid w:val="00C74D89"/>
    <w:rsid w:val="00C74F46"/>
    <w:rsid w:val="00C74FDB"/>
    <w:rsid w:val="00C75111"/>
    <w:rsid w:val="00C7524E"/>
    <w:rsid w:val="00C75291"/>
    <w:rsid w:val="00C75302"/>
    <w:rsid w:val="00C75491"/>
    <w:rsid w:val="00C758F4"/>
    <w:rsid w:val="00C75B76"/>
    <w:rsid w:val="00C76144"/>
    <w:rsid w:val="00C762F7"/>
    <w:rsid w:val="00C7630E"/>
    <w:rsid w:val="00C7633E"/>
    <w:rsid w:val="00C76C72"/>
    <w:rsid w:val="00C76F33"/>
    <w:rsid w:val="00C7711C"/>
    <w:rsid w:val="00C772A7"/>
    <w:rsid w:val="00C77449"/>
    <w:rsid w:val="00C775A1"/>
    <w:rsid w:val="00C775B8"/>
    <w:rsid w:val="00C77769"/>
    <w:rsid w:val="00C777BC"/>
    <w:rsid w:val="00C77806"/>
    <w:rsid w:val="00C77AE9"/>
    <w:rsid w:val="00C77B0A"/>
    <w:rsid w:val="00C77FFA"/>
    <w:rsid w:val="00C800CF"/>
    <w:rsid w:val="00C800DD"/>
    <w:rsid w:val="00C80121"/>
    <w:rsid w:val="00C80124"/>
    <w:rsid w:val="00C80538"/>
    <w:rsid w:val="00C80654"/>
    <w:rsid w:val="00C8093C"/>
    <w:rsid w:val="00C80A2E"/>
    <w:rsid w:val="00C80B1B"/>
    <w:rsid w:val="00C80B6B"/>
    <w:rsid w:val="00C80C57"/>
    <w:rsid w:val="00C80E9C"/>
    <w:rsid w:val="00C81063"/>
    <w:rsid w:val="00C810B9"/>
    <w:rsid w:val="00C811C8"/>
    <w:rsid w:val="00C811E7"/>
    <w:rsid w:val="00C81357"/>
    <w:rsid w:val="00C814A6"/>
    <w:rsid w:val="00C8158E"/>
    <w:rsid w:val="00C815C1"/>
    <w:rsid w:val="00C81847"/>
    <w:rsid w:val="00C81D04"/>
    <w:rsid w:val="00C81F87"/>
    <w:rsid w:val="00C82263"/>
    <w:rsid w:val="00C824CE"/>
    <w:rsid w:val="00C82639"/>
    <w:rsid w:val="00C82680"/>
    <w:rsid w:val="00C82B7D"/>
    <w:rsid w:val="00C82C4A"/>
    <w:rsid w:val="00C82D75"/>
    <w:rsid w:val="00C83123"/>
    <w:rsid w:val="00C83177"/>
    <w:rsid w:val="00C8365E"/>
    <w:rsid w:val="00C8366A"/>
    <w:rsid w:val="00C8370D"/>
    <w:rsid w:val="00C837DA"/>
    <w:rsid w:val="00C83895"/>
    <w:rsid w:val="00C83B95"/>
    <w:rsid w:val="00C83C0C"/>
    <w:rsid w:val="00C83DFF"/>
    <w:rsid w:val="00C83F0E"/>
    <w:rsid w:val="00C8408F"/>
    <w:rsid w:val="00C840A6"/>
    <w:rsid w:val="00C846DD"/>
    <w:rsid w:val="00C848AF"/>
    <w:rsid w:val="00C84913"/>
    <w:rsid w:val="00C84ACD"/>
    <w:rsid w:val="00C84CA5"/>
    <w:rsid w:val="00C84E8E"/>
    <w:rsid w:val="00C84EA7"/>
    <w:rsid w:val="00C855F9"/>
    <w:rsid w:val="00C85699"/>
    <w:rsid w:val="00C859EF"/>
    <w:rsid w:val="00C85FE0"/>
    <w:rsid w:val="00C8606E"/>
    <w:rsid w:val="00C861B7"/>
    <w:rsid w:val="00C86290"/>
    <w:rsid w:val="00C862F7"/>
    <w:rsid w:val="00C86568"/>
    <w:rsid w:val="00C86608"/>
    <w:rsid w:val="00C866D9"/>
    <w:rsid w:val="00C86AF2"/>
    <w:rsid w:val="00C86C1E"/>
    <w:rsid w:val="00C86CD7"/>
    <w:rsid w:val="00C86FA5"/>
    <w:rsid w:val="00C8733A"/>
    <w:rsid w:val="00C8750D"/>
    <w:rsid w:val="00C87680"/>
    <w:rsid w:val="00C87B10"/>
    <w:rsid w:val="00C87B24"/>
    <w:rsid w:val="00C87BB9"/>
    <w:rsid w:val="00C87F1C"/>
    <w:rsid w:val="00C87F3E"/>
    <w:rsid w:val="00C901F8"/>
    <w:rsid w:val="00C903B0"/>
    <w:rsid w:val="00C90512"/>
    <w:rsid w:val="00C90613"/>
    <w:rsid w:val="00C90675"/>
    <w:rsid w:val="00C90EC1"/>
    <w:rsid w:val="00C91084"/>
    <w:rsid w:val="00C913ED"/>
    <w:rsid w:val="00C91532"/>
    <w:rsid w:val="00C9181B"/>
    <w:rsid w:val="00C91842"/>
    <w:rsid w:val="00C918B9"/>
    <w:rsid w:val="00C91E1D"/>
    <w:rsid w:val="00C91ED2"/>
    <w:rsid w:val="00C9209A"/>
    <w:rsid w:val="00C920FF"/>
    <w:rsid w:val="00C9232D"/>
    <w:rsid w:val="00C92628"/>
    <w:rsid w:val="00C926B3"/>
    <w:rsid w:val="00C927C3"/>
    <w:rsid w:val="00C9289B"/>
    <w:rsid w:val="00C92C8F"/>
    <w:rsid w:val="00C92CD2"/>
    <w:rsid w:val="00C92D14"/>
    <w:rsid w:val="00C92EBD"/>
    <w:rsid w:val="00C9310E"/>
    <w:rsid w:val="00C9325F"/>
    <w:rsid w:val="00C9332A"/>
    <w:rsid w:val="00C933BF"/>
    <w:rsid w:val="00C93703"/>
    <w:rsid w:val="00C938B6"/>
    <w:rsid w:val="00C93AA2"/>
    <w:rsid w:val="00C93BE3"/>
    <w:rsid w:val="00C93C6A"/>
    <w:rsid w:val="00C93CD6"/>
    <w:rsid w:val="00C93DD2"/>
    <w:rsid w:val="00C94033"/>
    <w:rsid w:val="00C942C8"/>
    <w:rsid w:val="00C94CD4"/>
    <w:rsid w:val="00C94F30"/>
    <w:rsid w:val="00C94F35"/>
    <w:rsid w:val="00C95266"/>
    <w:rsid w:val="00C95417"/>
    <w:rsid w:val="00C9577F"/>
    <w:rsid w:val="00C957C9"/>
    <w:rsid w:val="00C957FA"/>
    <w:rsid w:val="00C95962"/>
    <w:rsid w:val="00C96333"/>
    <w:rsid w:val="00C9679C"/>
    <w:rsid w:val="00C96991"/>
    <w:rsid w:val="00C96ABA"/>
    <w:rsid w:val="00C96C03"/>
    <w:rsid w:val="00C9795C"/>
    <w:rsid w:val="00C97964"/>
    <w:rsid w:val="00C97C2A"/>
    <w:rsid w:val="00C97DC8"/>
    <w:rsid w:val="00C97EA4"/>
    <w:rsid w:val="00CA0008"/>
    <w:rsid w:val="00CA0052"/>
    <w:rsid w:val="00CA0266"/>
    <w:rsid w:val="00CA096D"/>
    <w:rsid w:val="00CA1611"/>
    <w:rsid w:val="00CA1714"/>
    <w:rsid w:val="00CA1904"/>
    <w:rsid w:val="00CA1970"/>
    <w:rsid w:val="00CA1B09"/>
    <w:rsid w:val="00CA1C54"/>
    <w:rsid w:val="00CA1EA0"/>
    <w:rsid w:val="00CA1EFB"/>
    <w:rsid w:val="00CA1FDE"/>
    <w:rsid w:val="00CA1FF3"/>
    <w:rsid w:val="00CA2026"/>
    <w:rsid w:val="00CA20D9"/>
    <w:rsid w:val="00CA219A"/>
    <w:rsid w:val="00CA2429"/>
    <w:rsid w:val="00CA2467"/>
    <w:rsid w:val="00CA281C"/>
    <w:rsid w:val="00CA29C2"/>
    <w:rsid w:val="00CA2A80"/>
    <w:rsid w:val="00CA2F30"/>
    <w:rsid w:val="00CA2F68"/>
    <w:rsid w:val="00CA30A3"/>
    <w:rsid w:val="00CA30BD"/>
    <w:rsid w:val="00CA30D1"/>
    <w:rsid w:val="00CA3205"/>
    <w:rsid w:val="00CA354F"/>
    <w:rsid w:val="00CA3808"/>
    <w:rsid w:val="00CA3938"/>
    <w:rsid w:val="00CA39F5"/>
    <w:rsid w:val="00CA3D15"/>
    <w:rsid w:val="00CA3EEC"/>
    <w:rsid w:val="00CA43B5"/>
    <w:rsid w:val="00CA441A"/>
    <w:rsid w:val="00CA445A"/>
    <w:rsid w:val="00CA4670"/>
    <w:rsid w:val="00CA4788"/>
    <w:rsid w:val="00CA49BE"/>
    <w:rsid w:val="00CA49C3"/>
    <w:rsid w:val="00CA4E8F"/>
    <w:rsid w:val="00CA5324"/>
    <w:rsid w:val="00CA558E"/>
    <w:rsid w:val="00CA5625"/>
    <w:rsid w:val="00CA5830"/>
    <w:rsid w:val="00CA597F"/>
    <w:rsid w:val="00CA5D87"/>
    <w:rsid w:val="00CA5F87"/>
    <w:rsid w:val="00CA6120"/>
    <w:rsid w:val="00CA63A0"/>
    <w:rsid w:val="00CA6490"/>
    <w:rsid w:val="00CA64C3"/>
    <w:rsid w:val="00CA671F"/>
    <w:rsid w:val="00CA68D3"/>
    <w:rsid w:val="00CA6B70"/>
    <w:rsid w:val="00CA6E79"/>
    <w:rsid w:val="00CA6EB4"/>
    <w:rsid w:val="00CA7047"/>
    <w:rsid w:val="00CA711B"/>
    <w:rsid w:val="00CA75AC"/>
    <w:rsid w:val="00CA75C1"/>
    <w:rsid w:val="00CA7673"/>
    <w:rsid w:val="00CA770D"/>
    <w:rsid w:val="00CA778E"/>
    <w:rsid w:val="00CA7E58"/>
    <w:rsid w:val="00CA7FE2"/>
    <w:rsid w:val="00CB061F"/>
    <w:rsid w:val="00CB06C0"/>
    <w:rsid w:val="00CB0810"/>
    <w:rsid w:val="00CB0B96"/>
    <w:rsid w:val="00CB0DB2"/>
    <w:rsid w:val="00CB0F6C"/>
    <w:rsid w:val="00CB10F1"/>
    <w:rsid w:val="00CB129B"/>
    <w:rsid w:val="00CB15D4"/>
    <w:rsid w:val="00CB15DC"/>
    <w:rsid w:val="00CB1F6A"/>
    <w:rsid w:val="00CB2078"/>
    <w:rsid w:val="00CB229A"/>
    <w:rsid w:val="00CB2380"/>
    <w:rsid w:val="00CB2417"/>
    <w:rsid w:val="00CB2428"/>
    <w:rsid w:val="00CB24DE"/>
    <w:rsid w:val="00CB2650"/>
    <w:rsid w:val="00CB2B15"/>
    <w:rsid w:val="00CB2D71"/>
    <w:rsid w:val="00CB3434"/>
    <w:rsid w:val="00CB38BA"/>
    <w:rsid w:val="00CB419A"/>
    <w:rsid w:val="00CB4447"/>
    <w:rsid w:val="00CB450E"/>
    <w:rsid w:val="00CB458E"/>
    <w:rsid w:val="00CB4853"/>
    <w:rsid w:val="00CB49EC"/>
    <w:rsid w:val="00CB4C07"/>
    <w:rsid w:val="00CB4D8B"/>
    <w:rsid w:val="00CB4F00"/>
    <w:rsid w:val="00CB52B1"/>
    <w:rsid w:val="00CB56DD"/>
    <w:rsid w:val="00CB587C"/>
    <w:rsid w:val="00CB5B82"/>
    <w:rsid w:val="00CB5EFC"/>
    <w:rsid w:val="00CB638D"/>
    <w:rsid w:val="00CB64B4"/>
    <w:rsid w:val="00CB664E"/>
    <w:rsid w:val="00CB69BE"/>
    <w:rsid w:val="00CB6AD1"/>
    <w:rsid w:val="00CB6C2B"/>
    <w:rsid w:val="00CB71A6"/>
    <w:rsid w:val="00CB71AE"/>
    <w:rsid w:val="00CB7337"/>
    <w:rsid w:val="00CB7427"/>
    <w:rsid w:val="00CB7544"/>
    <w:rsid w:val="00CB7664"/>
    <w:rsid w:val="00CB773D"/>
    <w:rsid w:val="00CB7894"/>
    <w:rsid w:val="00CB7AF0"/>
    <w:rsid w:val="00CB7F82"/>
    <w:rsid w:val="00CC07F0"/>
    <w:rsid w:val="00CC084C"/>
    <w:rsid w:val="00CC0CE5"/>
    <w:rsid w:val="00CC0FA8"/>
    <w:rsid w:val="00CC0FC1"/>
    <w:rsid w:val="00CC136D"/>
    <w:rsid w:val="00CC1412"/>
    <w:rsid w:val="00CC18AD"/>
    <w:rsid w:val="00CC1E8A"/>
    <w:rsid w:val="00CC20B8"/>
    <w:rsid w:val="00CC20DB"/>
    <w:rsid w:val="00CC213B"/>
    <w:rsid w:val="00CC2589"/>
    <w:rsid w:val="00CC28DB"/>
    <w:rsid w:val="00CC2A9F"/>
    <w:rsid w:val="00CC3088"/>
    <w:rsid w:val="00CC3119"/>
    <w:rsid w:val="00CC3246"/>
    <w:rsid w:val="00CC3362"/>
    <w:rsid w:val="00CC366C"/>
    <w:rsid w:val="00CC37C3"/>
    <w:rsid w:val="00CC3981"/>
    <w:rsid w:val="00CC3A38"/>
    <w:rsid w:val="00CC3B5D"/>
    <w:rsid w:val="00CC3BDF"/>
    <w:rsid w:val="00CC4193"/>
    <w:rsid w:val="00CC4485"/>
    <w:rsid w:val="00CC4683"/>
    <w:rsid w:val="00CC4778"/>
    <w:rsid w:val="00CC4B36"/>
    <w:rsid w:val="00CC4C97"/>
    <w:rsid w:val="00CC4E5E"/>
    <w:rsid w:val="00CC4FD6"/>
    <w:rsid w:val="00CC52A7"/>
    <w:rsid w:val="00CC53DC"/>
    <w:rsid w:val="00CC562B"/>
    <w:rsid w:val="00CC570C"/>
    <w:rsid w:val="00CC5825"/>
    <w:rsid w:val="00CC58C5"/>
    <w:rsid w:val="00CC5B0D"/>
    <w:rsid w:val="00CC5C47"/>
    <w:rsid w:val="00CC5DB0"/>
    <w:rsid w:val="00CC5E96"/>
    <w:rsid w:val="00CC6056"/>
    <w:rsid w:val="00CC63EA"/>
    <w:rsid w:val="00CC6577"/>
    <w:rsid w:val="00CC6578"/>
    <w:rsid w:val="00CC660A"/>
    <w:rsid w:val="00CC6660"/>
    <w:rsid w:val="00CC667F"/>
    <w:rsid w:val="00CC68C6"/>
    <w:rsid w:val="00CC6E62"/>
    <w:rsid w:val="00CC6FAB"/>
    <w:rsid w:val="00CC7113"/>
    <w:rsid w:val="00CC734C"/>
    <w:rsid w:val="00CC748C"/>
    <w:rsid w:val="00CC7B1A"/>
    <w:rsid w:val="00CC7BB3"/>
    <w:rsid w:val="00CC7F42"/>
    <w:rsid w:val="00CD00E7"/>
    <w:rsid w:val="00CD01DB"/>
    <w:rsid w:val="00CD037F"/>
    <w:rsid w:val="00CD04E3"/>
    <w:rsid w:val="00CD08D7"/>
    <w:rsid w:val="00CD093B"/>
    <w:rsid w:val="00CD0A74"/>
    <w:rsid w:val="00CD0B3B"/>
    <w:rsid w:val="00CD0BB8"/>
    <w:rsid w:val="00CD0EFA"/>
    <w:rsid w:val="00CD0F93"/>
    <w:rsid w:val="00CD0FE8"/>
    <w:rsid w:val="00CD10FB"/>
    <w:rsid w:val="00CD1203"/>
    <w:rsid w:val="00CD132A"/>
    <w:rsid w:val="00CD14B2"/>
    <w:rsid w:val="00CD19AB"/>
    <w:rsid w:val="00CD1C20"/>
    <w:rsid w:val="00CD21A2"/>
    <w:rsid w:val="00CD2334"/>
    <w:rsid w:val="00CD2433"/>
    <w:rsid w:val="00CD246E"/>
    <w:rsid w:val="00CD2807"/>
    <w:rsid w:val="00CD2B9F"/>
    <w:rsid w:val="00CD2BE3"/>
    <w:rsid w:val="00CD2C60"/>
    <w:rsid w:val="00CD2F5F"/>
    <w:rsid w:val="00CD2FC0"/>
    <w:rsid w:val="00CD300D"/>
    <w:rsid w:val="00CD3053"/>
    <w:rsid w:val="00CD3160"/>
    <w:rsid w:val="00CD33E6"/>
    <w:rsid w:val="00CD33ED"/>
    <w:rsid w:val="00CD3484"/>
    <w:rsid w:val="00CD36AB"/>
    <w:rsid w:val="00CD36D2"/>
    <w:rsid w:val="00CD391E"/>
    <w:rsid w:val="00CD3B64"/>
    <w:rsid w:val="00CD3D70"/>
    <w:rsid w:val="00CD3F54"/>
    <w:rsid w:val="00CD452E"/>
    <w:rsid w:val="00CD45AC"/>
    <w:rsid w:val="00CD45C8"/>
    <w:rsid w:val="00CD45F7"/>
    <w:rsid w:val="00CD478C"/>
    <w:rsid w:val="00CD47ED"/>
    <w:rsid w:val="00CD4A37"/>
    <w:rsid w:val="00CD4AED"/>
    <w:rsid w:val="00CD5475"/>
    <w:rsid w:val="00CD5780"/>
    <w:rsid w:val="00CD582A"/>
    <w:rsid w:val="00CD5AB0"/>
    <w:rsid w:val="00CD5C91"/>
    <w:rsid w:val="00CD5CE8"/>
    <w:rsid w:val="00CD6349"/>
    <w:rsid w:val="00CD689B"/>
    <w:rsid w:val="00CD6C40"/>
    <w:rsid w:val="00CD6DF9"/>
    <w:rsid w:val="00CD701F"/>
    <w:rsid w:val="00CD703C"/>
    <w:rsid w:val="00CD71AD"/>
    <w:rsid w:val="00CD71D6"/>
    <w:rsid w:val="00CD7238"/>
    <w:rsid w:val="00CD72B8"/>
    <w:rsid w:val="00CD7360"/>
    <w:rsid w:val="00CD73DA"/>
    <w:rsid w:val="00CD759E"/>
    <w:rsid w:val="00CD7697"/>
    <w:rsid w:val="00CD769F"/>
    <w:rsid w:val="00CD7A62"/>
    <w:rsid w:val="00CD7CD0"/>
    <w:rsid w:val="00CD7E9C"/>
    <w:rsid w:val="00CD7F58"/>
    <w:rsid w:val="00CD7FB4"/>
    <w:rsid w:val="00CE00FF"/>
    <w:rsid w:val="00CE0103"/>
    <w:rsid w:val="00CE0474"/>
    <w:rsid w:val="00CE0693"/>
    <w:rsid w:val="00CE06F1"/>
    <w:rsid w:val="00CE0AC5"/>
    <w:rsid w:val="00CE0FB0"/>
    <w:rsid w:val="00CE1198"/>
    <w:rsid w:val="00CE1256"/>
    <w:rsid w:val="00CE12BF"/>
    <w:rsid w:val="00CE133C"/>
    <w:rsid w:val="00CE15B4"/>
    <w:rsid w:val="00CE162D"/>
    <w:rsid w:val="00CE164E"/>
    <w:rsid w:val="00CE1CFF"/>
    <w:rsid w:val="00CE1D29"/>
    <w:rsid w:val="00CE1D30"/>
    <w:rsid w:val="00CE214D"/>
    <w:rsid w:val="00CE2163"/>
    <w:rsid w:val="00CE22F5"/>
    <w:rsid w:val="00CE2327"/>
    <w:rsid w:val="00CE24D3"/>
    <w:rsid w:val="00CE2679"/>
    <w:rsid w:val="00CE28B7"/>
    <w:rsid w:val="00CE29BC"/>
    <w:rsid w:val="00CE2BBB"/>
    <w:rsid w:val="00CE2DAD"/>
    <w:rsid w:val="00CE2E41"/>
    <w:rsid w:val="00CE3091"/>
    <w:rsid w:val="00CE32ED"/>
    <w:rsid w:val="00CE344D"/>
    <w:rsid w:val="00CE34F7"/>
    <w:rsid w:val="00CE36FA"/>
    <w:rsid w:val="00CE372C"/>
    <w:rsid w:val="00CE376A"/>
    <w:rsid w:val="00CE37DF"/>
    <w:rsid w:val="00CE388A"/>
    <w:rsid w:val="00CE3986"/>
    <w:rsid w:val="00CE39F5"/>
    <w:rsid w:val="00CE3C3D"/>
    <w:rsid w:val="00CE3CF3"/>
    <w:rsid w:val="00CE3DCE"/>
    <w:rsid w:val="00CE41FA"/>
    <w:rsid w:val="00CE425D"/>
    <w:rsid w:val="00CE434E"/>
    <w:rsid w:val="00CE4575"/>
    <w:rsid w:val="00CE460B"/>
    <w:rsid w:val="00CE4631"/>
    <w:rsid w:val="00CE4AEC"/>
    <w:rsid w:val="00CE4F71"/>
    <w:rsid w:val="00CE5629"/>
    <w:rsid w:val="00CE5774"/>
    <w:rsid w:val="00CE5887"/>
    <w:rsid w:val="00CE59FB"/>
    <w:rsid w:val="00CE5C00"/>
    <w:rsid w:val="00CE5D69"/>
    <w:rsid w:val="00CE6202"/>
    <w:rsid w:val="00CE6336"/>
    <w:rsid w:val="00CE679C"/>
    <w:rsid w:val="00CE69BE"/>
    <w:rsid w:val="00CE6A11"/>
    <w:rsid w:val="00CE6DD7"/>
    <w:rsid w:val="00CE6E53"/>
    <w:rsid w:val="00CE6F3B"/>
    <w:rsid w:val="00CE7017"/>
    <w:rsid w:val="00CE715C"/>
    <w:rsid w:val="00CE7492"/>
    <w:rsid w:val="00CE762B"/>
    <w:rsid w:val="00CE79F8"/>
    <w:rsid w:val="00CE7A02"/>
    <w:rsid w:val="00CE7D01"/>
    <w:rsid w:val="00CE7E2B"/>
    <w:rsid w:val="00CF0199"/>
    <w:rsid w:val="00CF03E5"/>
    <w:rsid w:val="00CF044F"/>
    <w:rsid w:val="00CF04AB"/>
    <w:rsid w:val="00CF0658"/>
    <w:rsid w:val="00CF06AD"/>
    <w:rsid w:val="00CF072A"/>
    <w:rsid w:val="00CF09AB"/>
    <w:rsid w:val="00CF0A37"/>
    <w:rsid w:val="00CF0F8C"/>
    <w:rsid w:val="00CF1034"/>
    <w:rsid w:val="00CF110B"/>
    <w:rsid w:val="00CF11A0"/>
    <w:rsid w:val="00CF1464"/>
    <w:rsid w:val="00CF18D2"/>
    <w:rsid w:val="00CF1B0C"/>
    <w:rsid w:val="00CF219E"/>
    <w:rsid w:val="00CF228F"/>
    <w:rsid w:val="00CF249A"/>
    <w:rsid w:val="00CF26A9"/>
    <w:rsid w:val="00CF2A57"/>
    <w:rsid w:val="00CF2A94"/>
    <w:rsid w:val="00CF2EC9"/>
    <w:rsid w:val="00CF30C8"/>
    <w:rsid w:val="00CF337D"/>
    <w:rsid w:val="00CF35C1"/>
    <w:rsid w:val="00CF37EB"/>
    <w:rsid w:val="00CF3800"/>
    <w:rsid w:val="00CF393C"/>
    <w:rsid w:val="00CF3AF5"/>
    <w:rsid w:val="00CF3C11"/>
    <w:rsid w:val="00CF3E6F"/>
    <w:rsid w:val="00CF3F2A"/>
    <w:rsid w:val="00CF3F58"/>
    <w:rsid w:val="00CF40DA"/>
    <w:rsid w:val="00CF458F"/>
    <w:rsid w:val="00CF45C3"/>
    <w:rsid w:val="00CF4817"/>
    <w:rsid w:val="00CF48FE"/>
    <w:rsid w:val="00CF4D2B"/>
    <w:rsid w:val="00CF4D31"/>
    <w:rsid w:val="00CF4EF3"/>
    <w:rsid w:val="00CF4F23"/>
    <w:rsid w:val="00CF5177"/>
    <w:rsid w:val="00CF5211"/>
    <w:rsid w:val="00CF53E5"/>
    <w:rsid w:val="00CF54A7"/>
    <w:rsid w:val="00CF57C3"/>
    <w:rsid w:val="00CF5B19"/>
    <w:rsid w:val="00CF5C03"/>
    <w:rsid w:val="00CF5EE3"/>
    <w:rsid w:val="00CF60DF"/>
    <w:rsid w:val="00CF60E9"/>
    <w:rsid w:val="00CF6159"/>
    <w:rsid w:val="00CF620B"/>
    <w:rsid w:val="00CF621C"/>
    <w:rsid w:val="00CF6451"/>
    <w:rsid w:val="00CF6646"/>
    <w:rsid w:val="00CF6AC2"/>
    <w:rsid w:val="00CF6AC4"/>
    <w:rsid w:val="00CF6B45"/>
    <w:rsid w:val="00CF6C78"/>
    <w:rsid w:val="00CF6CFE"/>
    <w:rsid w:val="00CF6D2A"/>
    <w:rsid w:val="00CF6FA9"/>
    <w:rsid w:val="00CF701E"/>
    <w:rsid w:val="00CF73CE"/>
    <w:rsid w:val="00CF7591"/>
    <w:rsid w:val="00CF75C6"/>
    <w:rsid w:val="00CF76B6"/>
    <w:rsid w:val="00CF7948"/>
    <w:rsid w:val="00CF7965"/>
    <w:rsid w:val="00D001EE"/>
    <w:rsid w:val="00D003D8"/>
    <w:rsid w:val="00D0063B"/>
    <w:rsid w:val="00D00683"/>
    <w:rsid w:val="00D0073E"/>
    <w:rsid w:val="00D007A3"/>
    <w:rsid w:val="00D007A6"/>
    <w:rsid w:val="00D00909"/>
    <w:rsid w:val="00D0093E"/>
    <w:rsid w:val="00D00B9F"/>
    <w:rsid w:val="00D00DF1"/>
    <w:rsid w:val="00D00ECE"/>
    <w:rsid w:val="00D0100A"/>
    <w:rsid w:val="00D01121"/>
    <w:rsid w:val="00D0137B"/>
    <w:rsid w:val="00D01522"/>
    <w:rsid w:val="00D0197C"/>
    <w:rsid w:val="00D01E4B"/>
    <w:rsid w:val="00D01F8B"/>
    <w:rsid w:val="00D02161"/>
    <w:rsid w:val="00D021BF"/>
    <w:rsid w:val="00D022EF"/>
    <w:rsid w:val="00D023B8"/>
    <w:rsid w:val="00D024D6"/>
    <w:rsid w:val="00D02E7E"/>
    <w:rsid w:val="00D02EC5"/>
    <w:rsid w:val="00D0300B"/>
    <w:rsid w:val="00D0327A"/>
    <w:rsid w:val="00D03442"/>
    <w:rsid w:val="00D03444"/>
    <w:rsid w:val="00D036A9"/>
    <w:rsid w:val="00D036D9"/>
    <w:rsid w:val="00D037D2"/>
    <w:rsid w:val="00D03B91"/>
    <w:rsid w:val="00D03FE3"/>
    <w:rsid w:val="00D0409E"/>
    <w:rsid w:val="00D04156"/>
    <w:rsid w:val="00D041A5"/>
    <w:rsid w:val="00D04213"/>
    <w:rsid w:val="00D045B1"/>
    <w:rsid w:val="00D04D45"/>
    <w:rsid w:val="00D0512C"/>
    <w:rsid w:val="00D05140"/>
    <w:rsid w:val="00D051A0"/>
    <w:rsid w:val="00D0530A"/>
    <w:rsid w:val="00D0554A"/>
    <w:rsid w:val="00D05590"/>
    <w:rsid w:val="00D057BC"/>
    <w:rsid w:val="00D057D5"/>
    <w:rsid w:val="00D058F2"/>
    <w:rsid w:val="00D05A7B"/>
    <w:rsid w:val="00D05CC0"/>
    <w:rsid w:val="00D05EA9"/>
    <w:rsid w:val="00D061E8"/>
    <w:rsid w:val="00D06945"/>
    <w:rsid w:val="00D06AA0"/>
    <w:rsid w:val="00D06E4E"/>
    <w:rsid w:val="00D06F63"/>
    <w:rsid w:val="00D07096"/>
    <w:rsid w:val="00D07183"/>
    <w:rsid w:val="00D0724E"/>
    <w:rsid w:val="00D07637"/>
    <w:rsid w:val="00D07953"/>
    <w:rsid w:val="00D07976"/>
    <w:rsid w:val="00D079AF"/>
    <w:rsid w:val="00D07B1C"/>
    <w:rsid w:val="00D07B99"/>
    <w:rsid w:val="00D07E4E"/>
    <w:rsid w:val="00D102D4"/>
    <w:rsid w:val="00D107B5"/>
    <w:rsid w:val="00D10A36"/>
    <w:rsid w:val="00D10A60"/>
    <w:rsid w:val="00D10D72"/>
    <w:rsid w:val="00D10EB3"/>
    <w:rsid w:val="00D1100F"/>
    <w:rsid w:val="00D110AB"/>
    <w:rsid w:val="00D11361"/>
    <w:rsid w:val="00D113A8"/>
    <w:rsid w:val="00D11474"/>
    <w:rsid w:val="00D1148F"/>
    <w:rsid w:val="00D116E0"/>
    <w:rsid w:val="00D1178F"/>
    <w:rsid w:val="00D11B05"/>
    <w:rsid w:val="00D11DA3"/>
    <w:rsid w:val="00D11DA6"/>
    <w:rsid w:val="00D11E62"/>
    <w:rsid w:val="00D11E8C"/>
    <w:rsid w:val="00D12180"/>
    <w:rsid w:val="00D121CF"/>
    <w:rsid w:val="00D12953"/>
    <w:rsid w:val="00D12B49"/>
    <w:rsid w:val="00D12C0C"/>
    <w:rsid w:val="00D130B8"/>
    <w:rsid w:val="00D1389C"/>
    <w:rsid w:val="00D13963"/>
    <w:rsid w:val="00D13BF6"/>
    <w:rsid w:val="00D13E35"/>
    <w:rsid w:val="00D14202"/>
    <w:rsid w:val="00D1420C"/>
    <w:rsid w:val="00D142EB"/>
    <w:rsid w:val="00D14620"/>
    <w:rsid w:val="00D14639"/>
    <w:rsid w:val="00D146CA"/>
    <w:rsid w:val="00D148D3"/>
    <w:rsid w:val="00D148EE"/>
    <w:rsid w:val="00D14B6E"/>
    <w:rsid w:val="00D15219"/>
    <w:rsid w:val="00D152D1"/>
    <w:rsid w:val="00D15931"/>
    <w:rsid w:val="00D15989"/>
    <w:rsid w:val="00D159B4"/>
    <w:rsid w:val="00D15A02"/>
    <w:rsid w:val="00D15C4C"/>
    <w:rsid w:val="00D15D89"/>
    <w:rsid w:val="00D15EF6"/>
    <w:rsid w:val="00D16128"/>
    <w:rsid w:val="00D1648C"/>
    <w:rsid w:val="00D1648E"/>
    <w:rsid w:val="00D16490"/>
    <w:rsid w:val="00D16628"/>
    <w:rsid w:val="00D1668E"/>
    <w:rsid w:val="00D16864"/>
    <w:rsid w:val="00D16BD8"/>
    <w:rsid w:val="00D16C72"/>
    <w:rsid w:val="00D16C88"/>
    <w:rsid w:val="00D16D9F"/>
    <w:rsid w:val="00D16F1C"/>
    <w:rsid w:val="00D16FD3"/>
    <w:rsid w:val="00D173E0"/>
    <w:rsid w:val="00D1759E"/>
    <w:rsid w:val="00D17767"/>
    <w:rsid w:val="00D17D10"/>
    <w:rsid w:val="00D2013D"/>
    <w:rsid w:val="00D20539"/>
    <w:rsid w:val="00D205A0"/>
    <w:rsid w:val="00D205ED"/>
    <w:rsid w:val="00D20B6E"/>
    <w:rsid w:val="00D20BA2"/>
    <w:rsid w:val="00D21964"/>
    <w:rsid w:val="00D21A16"/>
    <w:rsid w:val="00D21C04"/>
    <w:rsid w:val="00D21D9A"/>
    <w:rsid w:val="00D21E69"/>
    <w:rsid w:val="00D21ED3"/>
    <w:rsid w:val="00D22084"/>
    <w:rsid w:val="00D22185"/>
    <w:rsid w:val="00D228D0"/>
    <w:rsid w:val="00D22920"/>
    <w:rsid w:val="00D22C3A"/>
    <w:rsid w:val="00D22C92"/>
    <w:rsid w:val="00D22CDC"/>
    <w:rsid w:val="00D22D22"/>
    <w:rsid w:val="00D22D3D"/>
    <w:rsid w:val="00D2322F"/>
    <w:rsid w:val="00D23421"/>
    <w:rsid w:val="00D23634"/>
    <w:rsid w:val="00D23733"/>
    <w:rsid w:val="00D23739"/>
    <w:rsid w:val="00D23BE0"/>
    <w:rsid w:val="00D2405A"/>
    <w:rsid w:val="00D24117"/>
    <w:rsid w:val="00D242FB"/>
    <w:rsid w:val="00D2455F"/>
    <w:rsid w:val="00D24612"/>
    <w:rsid w:val="00D248E4"/>
    <w:rsid w:val="00D24B7D"/>
    <w:rsid w:val="00D24C53"/>
    <w:rsid w:val="00D24CDF"/>
    <w:rsid w:val="00D24FCE"/>
    <w:rsid w:val="00D25478"/>
    <w:rsid w:val="00D25591"/>
    <w:rsid w:val="00D25633"/>
    <w:rsid w:val="00D25742"/>
    <w:rsid w:val="00D2584A"/>
    <w:rsid w:val="00D2598E"/>
    <w:rsid w:val="00D259E4"/>
    <w:rsid w:val="00D25DFE"/>
    <w:rsid w:val="00D2630E"/>
    <w:rsid w:val="00D263DC"/>
    <w:rsid w:val="00D26493"/>
    <w:rsid w:val="00D2671E"/>
    <w:rsid w:val="00D2686C"/>
    <w:rsid w:val="00D268E3"/>
    <w:rsid w:val="00D2697A"/>
    <w:rsid w:val="00D26BF4"/>
    <w:rsid w:val="00D26C07"/>
    <w:rsid w:val="00D26D9D"/>
    <w:rsid w:val="00D271F0"/>
    <w:rsid w:val="00D279D1"/>
    <w:rsid w:val="00D27B13"/>
    <w:rsid w:val="00D27BDF"/>
    <w:rsid w:val="00D3005E"/>
    <w:rsid w:val="00D300C0"/>
    <w:rsid w:val="00D30238"/>
    <w:rsid w:val="00D3071D"/>
    <w:rsid w:val="00D30C8E"/>
    <w:rsid w:val="00D30EAB"/>
    <w:rsid w:val="00D31613"/>
    <w:rsid w:val="00D3176D"/>
    <w:rsid w:val="00D31CE6"/>
    <w:rsid w:val="00D31D73"/>
    <w:rsid w:val="00D31E2F"/>
    <w:rsid w:val="00D322BE"/>
    <w:rsid w:val="00D326D0"/>
    <w:rsid w:val="00D327C4"/>
    <w:rsid w:val="00D32E7B"/>
    <w:rsid w:val="00D32F25"/>
    <w:rsid w:val="00D33512"/>
    <w:rsid w:val="00D33EDD"/>
    <w:rsid w:val="00D34143"/>
    <w:rsid w:val="00D341E1"/>
    <w:rsid w:val="00D34383"/>
    <w:rsid w:val="00D343E9"/>
    <w:rsid w:val="00D34465"/>
    <w:rsid w:val="00D34B21"/>
    <w:rsid w:val="00D34E48"/>
    <w:rsid w:val="00D34EEA"/>
    <w:rsid w:val="00D3532B"/>
    <w:rsid w:val="00D3535D"/>
    <w:rsid w:val="00D35409"/>
    <w:rsid w:val="00D35429"/>
    <w:rsid w:val="00D35606"/>
    <w:rsid w:val="00D356DF"/>
    <w:rsid w:val="00D35785"/>
    <w:rsid w:val="00D35934"/>
    <w:rsid w:val="00D35A3A"/>
    <w:rsid w:val="00D35B06"/>
    <w:rsid w:val="00D35D57"/>
    <w:rsid w:val="00D36254"/>
    <w:rsid w:val="00D363C6"/>
    <w:rsid w:val="00D36509"/>
    <w:rsid w:val="00D365EA"/>
    <w:rsid w:val="00D3666D"/>
    <w:rsid w:val="00D36B04"/>
    <w:rsid w:val="00D36BA4"/>
    <w:rsid w:val="00D3707B"/>
    <w:rsid w:val="00D371AF"/>
    <w:rsid w:val="00D37470"/>
    <w:rsid w:val="00D3748F"/>
    <w:rsid w:val="00D376A0"/>
    <w:rsid w:val="00D3779A"/>
    <w:rsid w:val="00D377EE"/>
    <w:rsid w:val="00D37AC0"/>
    <w:rsid w:val="00D37BEF"/>
    <w:rsid w:val="00D37F2D"/>
    <w:rsid w:val="00D405C2"/>
    <w:rsid w:val="00D40639"/>
    <w:rsid w:val="00D40EC6"/>
    <w:rsid w:val="00D411E5"/>
    <w:rsid w:val="00D412F7"/>
    <w:rsid w:val="00D41321"/>
    <w:rsid w:val="00D413D9"/>
    <w:rsid w:val="00D41B86"/>
    <w:rsid w:val="00D420AB"/>
    <w:rsid w:val="00D42469"/>
    <w:rsid w:val="00D425DE"/>
    <w:rsid w:val="00D426C5"/>
    <w:rsid w:val="00D4282C"/>
    <w:rsid w:val="00D429C7"/>
    <w:rsid w:val="00D42DE5"/>
    <w:rsid w:val="00D42F0A"/>
    <w:rsid w:val="00D4310F"/>
    <w:rsid w:val="00D4348C"/>
    <w:rsid w:val="00D4388F"/>
    <w:rsid w:val="00D43932"/>
    <w:rsid w:val="00D43B43"/>
    <w:rsid w:val="00D43BFB"/>
    <w:rsid w:val="00D43D0D"/>
    <w:rsid w:val="00D43F62"/>
    <w:rsid w:val="00D43FA2"/>
    <w:rsid w:val="00D44009"/>
    <w:rsid w:val="00D44156"/>
    <w:rsid w:val="00D4418B"/>
    <w:rsid w:val="00D445AB"/>
    <w:rsid w:val="00D44656"/>
    <w:rsid w:val="00D44819"/>
    <w:rsid w:val="00D448DB"/>
    <w:rsid w:val="00D44981"/>
    <w:rsid w:val="00D449CC"/>
    <w:rsid w:val="00D44CB8"/>
    <w:rsid w:val="00D44D9F"/>
    <w:rsid w:val="00D44E5D"/>
    <w:rsid w:val="00D45081"/>
    <w:rsid w:val="00D45208"/>
    <w:rsid w:val="00D457A7"/>
    <w:rsid w:val="00D459C2"/>
    <w:rsid w:val="00D45A88"/>
    <w:rsid w:val="00D45FC0"/>
    <w:rsid w:val="00D46107"/>
    <w:rsid w:val="00D4657B"/>
    <w:rsid w:val="00D468C5"/>
    <w:rsid w:val="00D46C13"/>
    <w:rsid w:val="00D46F81"/>
    <w:rsid w:val="00D47041"/>
    <w:rsid w:val="00D4774A"/>
    <w:rsid w:val="00D47848"/>
    <w:rsid w:val="00D50019"/>
    <w:rsid w:val="00D503A5"/>
    <w:rsid w:val="00D504C6"/>
    <w:rsid w:val="00D506B6"/>
    <w:rsid w:val="00D50853"/>
    <w:rsid w:val="00D50889"/>
    <w:rsid w:val="00D508B3"/>
    <w:rsid w:val="00D50A07"/>
    <w:rsid w:val="00D50B1F"/>
    <w:rsid w:val="00D50DA1"/>
    <w:rsid w:val="00D50ED0"/>
    <w:rsid w:val="00D50F20"/>
    <w:rsid w:val="00D5102E"/>
    <w:rsid w:val="00D5108A"/>
    <w:rsid w:val="00D5144E"/>
    <w:rsid w:val="00D51770"/>
    <w:rsid w:val="00D51991"/>
    <w:rsid w:val="00D51BDA"/>
    <w:rsid w:val="00D51CB0"/>
    <w:rsid w:val="00D51D89"/>
    <w:rsid w:val="00D51DEC"/>
    <w:rsid w:val="00D51E4B"/>
    <w:rsid w:val="00D52262"/>
    <w:rsid w:val="00D522DB"/>
    <w:rsid w:val="00D52479"/>
    <w:rsid w:val="00D52559"/>
    <w:rsid w:val="00D52607"/>
    <w:rsid w:val="00D52609"/>
    <w:rsid w:val="00D5267A"/>
    <w:rsid w:val="00D52BDA"/>
    <w:rsid w:val="00D52C72"/>
    <w:rsid w:val="00D52C7E"/>
    <w:rsid w:val="00D52D2B"/>
    <w:rsid w:val="00D52E48"/>
    <w:rsid w:val="00D53086"/>
    <w:rsid w:val="00D53113"/>
    <w:rsid w:val="00D53159"/>
    <w:rsid w:val="00D5315D"/>
    <w:rsid w:val="00D532D1"/>
    <w:rsid w:val="00D5359A"/>
    <w:rsid w:val="00D53865"/>
    <w:rsid w:val="00D538D9"/>
    <w:rsid w:val="00D53A5F"/>
    <w:rsid w:val="00D53BF9"/>
    <w:rsid w:val="00D53DFC"/>
    <w:rsid w:val="00D53F66"/>
    <w:rsid w:val="00D53FF3"/>
    <w:rsid w:val="00D5410C"/>
    <w:rsid w:val="00D545D9"/>
    <w:rsid w:val="00D54BC3"/>
    <w:rsid w:val="00D54CF0"/>
    <w:rsid w:val="00D5519C"/>
    <w:rsid w:val="00D552A7"/>
    <w:rsid w:val="00D553B4"/>
    <w:rsid w:val="00D5594C"/>
    <w:rsid w:val="00D55BB4"/>
    <w:rsid w:val="00D55C08"/>
    <w:rsid w:val="00D56390"/>
    <w:rsid w:val="00D569DE"/>
    <w:rsid w:val="00D56CE1"/>
    <w:rsid w:val="00D56E05"/>
    <w:rsid w:val="00D56F76"/>
    <w:rsid w:val="00D56FAA"/>
    <w:rsid w:val="00D57089"/>
    <w:rsid w:val="00D5764B"/>
    <w:rsid w:val="00D578D2"/>
    <w:rsid w:val="00D57D09"/>
    <w:rsid w:val="00D57D4F"/>
    <w:rsid w:val="00D57FA6"/>
    <w:rsid w:val="00D60079"/>
    <w:rsid w:val="00D602A4"/>
    <w:rsid w:val="00D60382"/>
    <w:rsid w:val="00D6043E"/>
    <w:rsid w:val="00D60467"/>
    <w:rsid w:val="00D607F1"/>
    <w:rsid w:val="00D60A01"/>
    <w:rsid w:val="00D60B22"/>
    <w:rsid w:val="00D60B8C"/>
    <w:rsid w:val="00D61184"/>
    <w:rsid w:val="00D61203"/>
    <w:rsid w:val="00D6153E"/>
    <w:rsid w:val="00D615E7"/>
    <w:rsid w:val="00D61650"/>
    <w:rsid w:val="00D617D6"/>
    <w:rsid w:val="00D61989"/>
    <w:rsid w:val="00D61F4B"/>
    <w:rsid w:val="00D6208E"/>
    <w:rsid w:val="00D620A6"/>
    <w:rsid w:val="00D6223A"/>
    <w:rsid w:val="00D6228B"/>
    <w:rsid w:val="00D6277C"/>
    <w:rsid w:val="00D6280C"/>
    <w:rsid w:val="00D628BD"/>
    <w:rsid w:val="00D62AB5"/>
    <w:rsid w:val="00D62D5A"/>
    <w:rsid w:val="00D6333F"/>
    <w:rsid w:val="00D6355D"/>
    <w:rsid w:val="00D6358F"/>
    <w:rsid w:val="00D63776"/>
    <w:rsid w:val="00D6387A"/>
    <w:rsid w:val="00D63888"/>
    <w:rsid w:val="00D63A2D"/>
    <w:rsid w:val="00D63FB4"/>
    <w:rsid w:val="00D64235"/>
    <w:rsid w:val="00D64515"/>
    <w:rsid w:val="00D64624"/>
    <w:rsid w:val="00D646DE"/>
    <w:rsid w:val="00D6500B"/>
    <w:rsid w:val="00D652F7"/>
    <w:rsid w:val="00D6542F"/>
    <w:rsid w:val="00D65581"/>
    <w:rsid w:val="00D657F7"/>
    <w:rsid w:val="00D6582E"/>
    <w:rsid w:val="00D65BCC"/>
    <w:rsid w:val="00D6626F"/>
    <w:rsid w:val="00D6656F"/>
    <w:rsid w:val="00D66639"/>
    <w:rsid w:val="00D6677C"/>
    <w:rsid w:val="00D6698E"/>
    <w:rsid w:val="00D66BC8"/>
    <w:rsid w:val="00D66C30"/>
    <w:rsid w:val="00D66C73"/>
    <w:rsid w:val="00D66D8C"/>
    <w:rsid w:val="00D66E4B"/>
    <w:rsid w:val="00D67005"/>
    <w:rsid w:val="00D670E1"/>
    <w:rsid w:val="00D67447"/>
    <w:rsid w:val="00D67B61"/>
    <w:rsid w:val="00D67D5E"/>
    <w:rsid w:val="00D67D80"/>
    <w:rsid w:val="00D67DAB"/>
    <w:rsid w:val="00D67EDD"/>
    <w:rsid w:val="00D70068"/>
    <w:rsid w:val="00D7019D"/>
    <w:rsid w:val="00D70336"/>
    <w:rsid w:val="00D7073A"/>
    <w:rsid w:val="00D70914"/>
    <w:rsid w:val="00D709F8"/>
    <w:rsid w:val="00D70D28"/>
    <w:rsid w:val="00D70D4A"/>
    <w:rsid w:val="00D70DE0"/>
    <w:rsid w:val="00D710B1"/>
    <w:rsid w:val="00D71567"/>
    <w:rsid w:val="00D71611"/>
    <w:rsid w:val="00D7168C"/>
    <w:rsid w:val="00D71B0C"/>
    <w:rsid w:val="00D72017"/>
    <w:rsid w:val="00D72392"/>
    <w:rsid w:val="00D72490"/>
    <w:rsid w:val="00D7252F"/>
    <w:rsid w:val="00D7257D"/>
    <w:rsid w:val="00D7257F"/>
    <w:rsid w:val="00D727CD"/>
    <w:rsid w:val="00D729CD"/>
    <w:rsid w:val="00D72A10"/>
    <w:rsid w:val="00D72DCE"/>
    <w:rsid w:val="00D72F2E"/>
    <w:rsid w:val="00D72F5F"/>
    <w:rsid w:val="00D73315"/>
    <w:rsid w:val="00D73490"/>
    <w:rsid w:val="00D735FB"/>
    <w:rsid w:val="00D73615"/>
    <w:rsid w:val="00D73B02"/>
    <w:rsid w:val="00D73CE7"/>
    <w:rsid w:val="00D73E07"/>
    <w:rsid w:val="00D73EBB"/>
    <w:rsid w:val="00D73FD0"/>
    <w:rsid w:val="00D74509"/>
    <w:rsid w:val="00D74672"/>
    <w:rsid w:val="00D746A2"/>
    <w:rsid w:val="00D749CA"/>
    <w:rsid w:val="00D74CCD"/>
    <w:rsid w:val="00D75085"/>
    <w:rsid w:val="00D753D4"/>
    <w:rsid w:val="00D756B6"/>
    <w:rsid w:val="00D757DF"/>
    <w:rsid w:val="00D759B4"/>
    <w:rsid w:val="00D75AAC"/>
    <w:rsid w:val="00D75BBE"/>
    <w:rsid w:val="00D75C34"/>
    <w:rsid w:val="00D75D3F"/>
    <w:rsid w:val="00D75F9C"/>
    <w:rsid w:val="00D761DB"/>
    <w:rsid w:val="00D7625D"/>
    <w:rsid w:val="00D7635D"/>
    <w:rsid w:val="00D7647F"/>
    <w:rsid w:val="00D7678A"/>
    <w:rsid w:val="00D767F3"/>
    <w:rsid w:val="00D76849"/>
    <w:rsid w:val="00D768CF"/>
    <w:rsid w:val="00D77509"/>
    <w:rsid w:val="00D77A41"/>
    <w:rsid w:val="00D77C7E"/>
    <w:rsid w:val="00D77F9F"/>
    <w:rsid w:val="00D8024D"/>
    <w:rsid w:val="00D8028F"/>
    <w:rsid w:val="00D80611"/>
    <w:rsid w:val="00D8078A"/>
    <w:rsid w:val="00D808E4"/>
    <w:rsid w:val="00D80A2D"/>
    <w:rsid w:val="00D80AE1"/>
    <w:rsid w:val="00D80C73"/>
    <w:rsid w:val="00D80EE6"/>
    <w:rsid w:val="00D815A8"/>
    <w:rsid w:val="00D81612"/>
    <w:rsid w:val="00D8163E"/>
    <w:rsid w:val="00D81698"/>
    <w:rsid w:val="00D81D05"/>
    <w:rsid w:val="00D82227"/>
    <w:rsid w:val="00D823FE"/>
    <w:rsid w:val="00D8241A"/>
    <w:rsid w:val="00D82607"/>
    <w:rsid w:val="00D828CC"/>
    <w:rsid w:val="00D829B3"/>
    <w:rsid w:val="00D82D3B"/>
    <w:rsid w:val="00D82ED5"/>
    <w:rsid w:val="00D8349D"/>
    <w:rsid w:val="00D834B0"/>
    <w:rsid w:val="00D8382D"/>
    <w:rsid w:val="00D83906"/>
    <w:rsid w:val="00D84042"/>
    <w:rsid w:val="00D841EA"/>
    <w:rsid w:val="00D8432E"/>
    <w:rsid w:val="00D844A3"/>
    <w:rsid w:val="00D844AC"/>
    <w:rsid w:val="00D84504"/>
    <w:rsid w:val="00D847FE"/>
    <w:rsid w:val="00D8491A"/>
    <w:rsid w:val="00D84C5D"/>
    <w:rsid w:val="00D84C65"/>
    <w:rsid w:val="00D84DB6"/>
    <w:rsid w:val="00D84E1A"/>
    <w:rsid w:val="00D8537E"/>
    <w:rsid w:val="00D8569B"/>
    <w:rsid w:val="00D85964"/>
    <w:rsid w:val="00D85B3C"/>
    <w:rsid w:val="00D85B99"/>
    <w:rsid w:val="00D85F72"/>
    <w:rsid w:val="00D8625D"/>
    <w:rsid w:val="00D862C8"/>
    <w:rsid w:val="00D862D6"/>
    <w:rsid w:val="00D863C9"/>
    <w:rsid w:val="00D86505"/>
    <w:rsid w:val="00D86517"/>
    <w:rsid w:val="00D8654F"/>
    <w:rsid w:val="00D8663F"/>
    <w:rsid w:val="00D866B7"/>
    <w:rsid w:val="00D86809"/>
    <w:rsid w:val="00D86B67"/>
    <w:rsid w:val="00D86DCC"/>
    <w:rsid w:val="00D86E40"/>
    <w:rsid w:val="00D86ECD"/>
    <w:rsid w:val="00D86F86"/>
    <w:rsid w:val="00D8700A"/>
    <w:rsid w:val="00D87392"/>
    <w:rsid w:val="00D87914"/>
    <w:rsid w:val="00D87DE5"/>
    <w:rsid w:val="00D87E74"/>
    <w:rsid w:val="00D87ED4"/>
    <w:rsid w:val="00D87EE8"/>
    <w:rsid w:val="00D87FA4"/>
    <w:rsid w:val="00D9090E"/>
    <w:rsid w:val="00D90A87"/>
    <w:rsid w:val="00D90F99"/>
    <w:rsid w:val="00D9105A"/>
    <w:rsid w:val="00D913B0"/>
    <w:rsid w:val="00D91518"/>
    <w:rsid w:val="00D91812"/>
    <w:rsid w:val="00D9197A"/>
    <w:rsid w:val="00D920BA"/>
    <w:rsid w:val="00D923F0"/>
    <w:rsid w:val="00D92690"/>
    <w:rsid w:val="00D92AD9"/>
    <w:rsid w:val="00D92B3C"/>
    <w:rsid w:val="00D92CA8"/>
    <w:rsid w:val="00D92DCD"/>
    <w:rsid w:val="00D92E96"/>
    <w:rsid w:val="00D92F5F"/>
    <w:rsid w:val="00D9318B"/>
    <w:rsid w:val="00D93310"/>
    <w:rsid w:val="00D934AB"/>
    <w:rsid w:val="00D9364C"/>
    <w:rsid w:val="00D939FF"/>
    <w:rsid w:val="00D93B86"/>
    <w:rsid w:val="00D93CE4"/>
    <w:rsid w:val="00D93F6E"/>
    <w:rsid w:val="00D94687"/>
    <w:rsid w:val="00D94858"/>
    <w:rsid w:val="00D94947"/>
    <w:rsid w:val="00D949AC"/>
    <w:rsid w:val="00D94A6E"/>
    <w:rsid w:val="00D94FAC"/>
    <w:rsid w:val="00D950D0"/>
    <w:rsid w:val="00D950DF"/>
    <w:rsid w:val="00D9555B"/>
    <w:rsid w:val="00D9564A"/>
    <w:rsid w:val="00D95888"/>
    <w:rsid w:val="00D9590F"/>
    <w:rsid w:val="00D95A30"/>
    <w:rsid w:val="00D95BD3"/>
    <w:rsid w:val="00D95DF6"/>
    <w:rsid w:val="00D95EF7"/>
    <w:rsid w:val="00D95F2C"/>
    <w:rsid w:val="00D96217"/>
    <w:rsid w:val="00D9637F"/>
    <w:rsid w:val="00D96550"/>
    <w:rsid w:val="00D9669C"/>
    <w:rsid w:val="00D96866"/>
    <w:rsid w:val="00D96973"/>
    <w:rsid w:val="00D96D39"/>
    <w:rsid w:val="00D97690"/>
    <w:rsid w:val="00D979F6"/>
    <w:rsid w:val="00D97E1D"/>
    <w:rsid w:val="00D97ED3"/>
    <w:rsid w:val="00D97F50"/>
    <w:rsid w:val="00DA02AD"/>
    <w:rsid w:val="00DA05BA"/>
    <w:rsid w:val="00DA06EA"/>
    <w:rsid w:val="00DA0794"/>
    <w:rsid w:val="00DA08D2"/>
    <w:rsid w:val="00DA09FD"/>
    <w:rsid w:val="00DA0DEC"/>
    <w:rsid w:val="00DA1413"/>
    <w:rsid w:val="00DA177F"/>
    <w:rsid w:val="00DA1B22"/>
    <w:rsid w:val="00DA1C2D"/>
    <w:rsid w:val="00DA1C3F"/>
    <w:rsid w:val="00DA1D08"/>
    <w:rsid w:val="00DA1E3A"/>
    <w:rsid w:val="00DA1FA3"/>
    <w:rsid w:val="00DA2179"/>
    <w:rsid w:val="00DA2538"/>
    <w:rsid w:val="00DA261E"/>
    <w:rsid w:val="00DA280D"/>
    <w:rsid w:val="00DA2893"/>
    <w:rsid w:val="00DA28F4"/>
    <w:rsid w:val="00DA2C69"/>
    <w:rsid w:val="00DA2D0F"/>
    <w:rsid w:val="00DA30D5"/>
    <w:rsid w:val="00DA3176"/>
    <w:rsid w:val="00DA31DE"/>
    <w:rsid w:val="00DA32B1"/>
    <w:rsid w:val="00DA37E0"/>
    <w:rsid w:val="00DA39B1"/>
    <w:rsid w:val="00DA3BC1"/>
    <w:rsid w:val="00DA3D2A"/>
    <w:rsid w:val="00DA3E65"/>
    <w:rsid w:val="00DA4001"/>
    <w:rsid w:val="00DA40E3"/>
    <w:rsid w:val="00DA42E0"/>
    <w:rsid w:val="00DA43E9"/>
    <w:rsid w:val="00DA442F"/>
    <w:rsid w:val="00DA45B1"/>
    <w:rsid w:val="00DA47F2"/>
    <w:rsid w:val="00DA47F7"/>
    <w:rsid w:val="00DA481D"/>
    <w:rsid w:val="00DA4B19"/>
    <w:rsid w:val="00DA4B48"/>
    <w:rsid w:val="00DA4B49"/>
    <w:rsid w:val="00DA4D81"/>
    <w:rsid w:val="00DA5216"/>
    <w:rsid w:val="00DA546A"/>
    <w:rsid w:val="00DA57AC"/>
    <w:rsid w:val="00DA5CD2"/>
    <w:rsid w:val="00DA5DCB"/>
    <w:rsid w:val="00DA5F36"/>
    <w:rsid w:val="00DA632B"/>
    <w:rsid w:val="00DA65E0"/>
    <w:rsid w:val="00DA6877"/>
    <w:rsid w:val="00DA6B70"/>
    <w:rsid w:val="00DA6F8E"/>
    <w:rsid w:val="00DA7222"/>
    <w:rsid w:val="00DA7324"/>
    <w:rsid w:val="00DA7347"/>
    <w:rsid w:val="00DA738B"/>
    <w:rsid w:val="00DA77B1"/>
    <w:rsid w:val="00DA7E08"/>
    <w:rsid w:val="00DA7F0F"/>
    <w:rsid w:val="00DB0230"/>
    <w:rsid w:val="00DB04A4"/>
    <w:rsid w:val="00DB0561"/>
    <w:rsid w:val="00DB076A"/>
    <w:rsid w:val="00DB0918"/>
    <w:rsid w:val="00DB0AAB"/>
    <w:rsid w:val="00DB0B02"/>
    <w:rsid w:val="00DB0B9F"/>
    <w:rsid w:val="00DB0BE3"/>
    <w:rsid w:val="00DB0CDE"/>
    <w:rsid w:val="00DB0E2B"/>
    <w:rsid w:val="00DB0E78"/>
    <w:rsid w:val="00DB0FA7"/>
    <w:rsid w:val="00DB11CF"/>
    <w:rsid w:val="00DB11DB"/>
    <w:rsid w:val="00DB1271"/>
    <w:rsid w:val="00DB14A6"/>
    <w:rsid w:val="00DB1599"/>
    <w:rsid w:val="00DB15DA"/>
    <w:rsid w:val="00DB162F"/>
    <w:rsid w:val="00DB16AC"/>
    <w:rsid w:val="00DB16B9"/>
    <w:rsid w:val="00DB1839"/>
    <w:rsid w:val="00DB18BA"/>
    <w:rsid w:val="00DB1B6C"/>
    <w:rsid w:val="00DB2002"/>
    <w:rsid w:val="00DB220D"/>
    <w:rsid w:val="00DB2455"/>
    <w:rsid w:val="00DB285B"/>
    <w:rsid w:val="00DB28F2"/>
    <w:rsid w:val="00DB2C96"/>
    <w:rsid w:val="00DB3124"/>
    <w:rsid w:val="00DB32AC"/>
    <w:rsid w:val="00DB3497"/>
    <w:rsid w:val="00DB34D3"/>
    <w:rsid w:val="00DB38EB"/>
    <w:rsid w:val="00DB3C0B"/>
    <w:rsid w:val="00DB3C46"/>
    <w:rsid w:val="00DB3CA3"/>
    <w:rsid w:val="00DB3D1F"/>
    <w:rsid w:val="00DB3E68"/>
    <w:rsid w:val="00DB3FCE"/>
    <w:rsid w:val="00DB44F3"/>
    <w:rsid w:val="00DB47F8"/>
    <w:rsid w:val="00DB4A68"/>
    <w:rsid w:val="00DB4BB7"/>
    <w:rsid w:val="00DB4BCD"/>
    <w:rsid w:val="00DB4DB1"/>
    <w:rsid w:val="00DB4F48"/>
    <w:rsid w:val="00DB5029"/>
    <w:rsid w:val="00DB5092"/>
    <w:rsid w:val="00DB51F9"/>
    <w:rsid w:val="00DB53C5"/>
    <w:rsid w:val="00DB5542"/>
    <w:rsid w:val="00DB55BA"/>
    <w:rsid w:val="00DB574C"/>
    <w:rsid w:val="00DB58C4"/>
    <w:rsid w:val="00DB5A4D"/>
    <w:rsid w:val="00DB5CCE"/>
    <w:rsid w:val="00DB5DE9"/>
    <w:rsid w:val="00DB5DFA"/>
    <w:rsid w:val="00DB6113"/>
    <w:rsid w:val="00DB61F0"/>
    <w:rsid w:val="00DB621E"/>
    <w:rsid w:val="00DB65FE"/>
    <w:rsid w:val="00DB68D0"/>
    <w:rsid w:val="00DB6B01"/>
    <w:rsid w:val="00DB7206"/>
    <w:rsid w:val="00DB7218"/>
    <w:rsid w:val="00DB734A"/>
    <w:rsid w:val="00DB75C7"/>
    <w:rsid w:val="00DB78CC"/>
    <w:rsid w:val="00DB79FA"/>
    <w:rsid w:val="00DB7B01"/>
    <w:rsid w:val="00DC025D"/>
    <w:rsid w:val="00DC0312"/>
    <w:rsid w:val="00DC05F8"/>
    <w:rsid w:val="00DC0686"/>
    <w:rsid w:val="00DC0727"/>
    <w:rsid w:val="00DC0F57"/>
    <w:rsid w:val="00DC1013"/>
    <w:rsid w:val="00DC1043"/>
    <w:rsid w:val="00DC13AB"/>
    <w:rsid w:val="00DC13B3"/>
    <w:rsid w:val="00DC15AB"/>
    <w:rsid w:val="00DC16C2"/>
    <w:rsid w:val="00DC1AD0"/>
    <w:rsid w:val="00DC1CB8"/>
    <w:rsid w:val="00DC1E6A"/>
    <w:rsid w:val="00DC23A5"/>
    <w:rsid w:val="00DC2712"/>
    <w:rsid w:val="00DC2732"/>
    <w:rsid w:val="00DC27B6"/>
    <w:rsid w:val="00DC2A09"/>
    <w:rsid w:val="00DC2BA3"/>
    <w:rsid w:val="00DC2C96"/>
    <w:rsid w:val="00DC2CED"/>
    <w:rsid w:val="00DC3178"/>
    <w:rsid w:val="00DC3208"/>
    <w:rsid w:val="00DC3620"/>
    <w:rsid w:val="00DC36F7"/>
    <w:rsid w:val="00DC3A2E"/>
    <w:rsid w:val="00DC3CA0"/>
    <w:rsid w:val="00DC4167"/>
    <w:rsid w:val="00DC4CDF"/>
    <w:rsid w:val="00DC4E4C"/>
    <w:rsid w:val="00DC5023"/>
    <w:rsid w:val="00DC51BB"/>
    <w:rsid w:val="00DC53A4"/>
    <w:rsid w:val="00DC55DC"/>
    <w:rsid w:val="00DC5727"/>
    <w:rsid w:val="00DC5F93"/>
    <w:rsid w:val="00DC5FE5"/>
    <w:rsid w:val="00DC612E"/>
    <w:rsid w:val="00DC65CE"/>
    <w:rsid w:val="00DC6C69"/>
    <w:rsid w:val="00DC7051"/>
    <w:rsid w:val="00DC7607"/>
    <w:rsid w:val="00DC77E5"/>
    <w:rsid w:val="00DC7998"/>
    <w:rsid w:val="00DC7A03"/>
    <w:rsid w:val="00DC7C38"/>
    <w:rsid w:val="00DC7F58"/>
    <w:rsid w:val="00DD0174"/>
    <w:rsid w:val="00DD01CD"/>
    <w:rsid w:val="00DD033B"/>
    <w:rsid w:val="00DD0391"/>
    <w:rsid w:val="00DD0A3D"/>
    <w:rsid w:val="00DD0B5C"/>
    <w:rsid w:val="00DD0C1A"/>
    <w:rsid w:val="00DD0C7E"/>
    <w:rsid w:val="00DD0DDB"/>
    <w:rsid w:val="00DD1143"/>
    <w:rsid w:val="00DD1433"/>
    <w:rsid w:val="00DD1883"/>
    <w:rsid w:val="00DD18E7"/>
    <w:rsid w:val="00DD1921"/>
    <w:rsid w:val="00DD196F"/>
    <w:rsid w:val="00DD1ACF"/>
    <w:rsid w:val="00DD1B0C"/>
    <w:rsid w:val="00DD1D83"/>
    <w:rsid w:val="00DD2482"/>
    <w:rsid w:val="00DD2645"/>
    <w:rsid w:val="00DD2674"/>
    <w:rsid w:val="00DD2787"/>
    <w:rsid w:val="00DD2C72"/>
    <w:rsid w:val="00DD2D5F"/>
    <w:rsid w:val="00DD322C"/>
    <w:rsid w:val="00DD3431"/>
    <w:rsid w:val="00DD3549"/>
    <w:rsid w:val="00DD36BE"/>
    <w:rsid w:val="00DD3816"/>
    <w:rsid w:val="00DD387A"/>
    <w:rsid w:val="00DD402A"/>
    <w:rsid w:val="00DD435F"/>
    <w:rsid w:val="00DD46C0"/>
    <w:rsid w:val="00DD4842"/>
    <w:rsid w:val="00DD4EB1"/>
    <w:rsid w:val="00DD5016"/>
    <w:rsid w:val="00DD522A"/>
    <w:rsid w:val="00DD539D"/>
    <w:rsid w:val="00DD54FE"/>
    <w:rsid w:val="00DD556C"/>
    <w:rsid w:val="00DD5591"/>
    <w:rsid w:val="00DD57D9"/>
    <w:rsid w:val="00DD59B3"/>
    <w:rsid w:val="00DD5C61"/>
    <w:rsid w:val="00DD5ED1"/>
    <w:rsid w:val="00DD5FCA"/>
    <w:rsid w:val="00DD607B"/>
    <w:rsid w:val="00DD63E5"/>
    <w:rsid w:val="00DD65D5"/>
    <w:rsid w:val="00DD677B"/>
    <w:rsid w:val="00DD6AFD"/>
    <w:rsid w:val="00DD6CA6"/>
    <w:rsid w:val="00DD6CD8"/>
    <w:rsid w:val="00DD6E39"/>
    <w:rsid w:val="00DD72BE"/>
    <w:rsid w:val="00DD79ED"/>
    <w:rsid w:val="00DD7B9F"/>
    <w:rsid w:val="00DD7E85"/>
    <w:rsid w:val="00DD7EC3"/>
    <w:rsid w:val="00DE041C"/>
    <w:rsid w:val="00DE06A5"/>
    <w:rsid w:val="00DE0872"/>
    <w:rsid w:val="00DE0B0E"/>
    <w:rsid w:val="00DE0FEA"/>
    <w:rsid w:val="00DE1086"/>
    <w:rsid w:val="00DE1337"/>
    <w:rsid w:val="00DE13DA"/>
    <w:rsid w:val="00DE19EA"/>
    <w:rsid w:val="00DE1AF8"/>
    <w:rsid w:val="00DE1B29"/>
    <w:rsid w:val="00DE1B7B"/>
    <w:rsid w:val="00DE1BD4"/>
    <w:rsid w:val="00DE1BFC"/>
    <w:rsid w:val="00DE1C54"/>
    <w:rsid w:val="00DE1C68"/>
    <w:rsid w:val="00DE1DD2"/>
    <w:rsid w:val="00DE1F3F"/>
    <w:rsid w:val="00DE208E"/>
    <w:rsid w:val="00DE213F"/>
    <w:rsid w:val="00DE21B5"/>
    <w:rsid w:val="00DE21E4"/>
    <w:rsid w:val="00DE232A"/>
    <w:rsid w:val="00DE2534"/>
    <w:rsid w:val="00DE28AF"/>
    <w:rsid w:val="00DE29FE"/>
    <w:rsid w:val="00DE2D81"/>
    <w:rsid w:val="00DE306A"/>
    <w:rsid w:val="00DE313A"/>
    <w:rsid w:val="00DE3281"/>
    <w:rsid w:val="00DE34D1"/>
    <w:rsid w:val="00DE3506"/>
    <w:rsid w:val="00DE3B27"/>
    <w:rsid w:val="00DE3D77"/>
    <w:rsid w:val="00DE3F55"/>
    <w:rsid w:val="00DE4383"/>
    <w:rsid w:val="00DE4979"/>
    <w:rsid w:val="00DE4CA9"/>
    <w:rsid w:val="00DE4D77"/>
    <w:rsid w:val="00DE4DBD"/>
    <w:rsid w:val="00DE4F11"/>
    <w:rsid w:val="00DE506A"/>
    <w:rsid w:val="00DE519B"/>
    <w:rsid w:val="00DE5333"/>
    <w:rsid w:val="00DE5377"/>
    <w:rsid w:val="00DE5488"/>
    <w:rsid w:val="00DE57D1"/>
    <w:rsid w:val="00DE58C1"/>
    <w:rsid w:val="00DE58C5"/>
    <w:rsid w:val="00DE5D28"/>
    <w:rsid w:val="00DE5E0D"/>
    <w:rsid w:val="00DE60A9"/>
    <w:rsid w:val="00DE6101"/>
    <w:rsid w:val="00DE610E"/>
    <w:rsid w:val="00DE621F"/>
    <w:rsid w:val="00DE67A7"/>
    <w:rsid w:val="00DE6860"/>
    <w:rsid w:val="00DE6913"/>
    <w:rsid w:val="00DE69C0"/>
    <w:rsid w:val="00DE7325"/>
    <w:rsid w:val="00DE7A2E"/>
    <w:rsid w:val="00DE7F49"/>
    <w:rsid w:val="00DF00FA"/>
    <w:rsid w:val="00DF03CB"/>
    <w:rsid w:val="00DF0513"/>
    <w:rsid w:val="00DF09C4"/>
    <w:rsid w:val="00DF0C55"/>
    <w:rsid w:val="00DF0F06"/>
    <w:rsid w:val="00DF12CF"/>
    <w:rsid w:val="00DF14FF"/>
    <w:rsid w:val="00DF15C8"/>
    <w:rsid w:val="00DF1CBA"/>
    <w:rsid w:val="00DF1D4F"/>
    <w:rsid w:val="00DF1DCE"/>
    <w:rsid w:val="00DF1DDD"/>
    <w:rsid w:val="00DF1EF5"/>
    <w:rsid w:val="00DF1F16"/>
    <w:rsid w:val="00DF2075"/>
    <w:rsid w:val="00DF22FC"/>
    <w:rsid w:val="00DF2A72"/>
    <w:rsid w:val="00DF2B5D"/>
    <w:rsid w:val="00DF30AC"/>
    <w:rsid w:val="00DF319D"/>
    <w:rsid w:val="00DF3463"/>
    <w:rsid w:val="00DF3EDD"/>
    <w:rsid w:val="00DF414A"/>
    <w:rsid w:val="00DF4366"/>
    <w:rsid w:val="00DF4488"/>
    <w:rsid w:val="00DF44F5"/>
    <w:rsid w:val="00DF453C"/>
    <w:rsid w:val="00DF4669"/>
    <w:rsid w:val="00DF4725"/>
    <w:rsid w:val="00DF4B54"/>
    <w:rsid w:val="00DF4DD3"/>
    <w:rsid w:val="00DF51CD"/>
    <w:rsid w:val="00DF5620"/>
    <w:rsid w:val="00DF5B1C"/>
    <w:rsid w:val="00DF5BFD"/>
    <w:rsid w:val="00DF5D2C"/>
    <w:rsid w:val="00DF5DF3"/>
    <w:rsid w:val="00DF5FD8"/>
    <w:rsid w:val="00DF60E3"/>
    <w:rsid w:val="00DF6327"/>
    <w:rsid w:val="00DF6339"/>
    <w:rsid w:val="00DF6A3A"/>
    <w:rsid w:val="00DF6AB5"/>
    <w:rsid w:val="00DF6DF7"/>
    <w:rsid w:val="00DF739C"/>
    <w:rsid w:val="00DF7475"/>
    <w:rsid w:val="00DF752C"/>
    <w:rsid w:val="00DF7B93"/>
    <w:rsid w:val="00DF7F05"/>
    <w:rsid w:val="00E00248"/>
    <w:rsid w:val="00E0025D"/>
    <w:rsid w:val="00E00996"/>
    <w:rsid w:val="00E00B8D"/>
    <w:rsid w:val="00E00C1B"/>
    <w:rsid w:val="00E00C6D"/>
    <w:rsid w:val="00E00FC8"/>
    <w:rsid w:val="00E010E9"/>
    <w:rsid w:val="00E01209"/>
    <w:rsid w:val="00E0125A"/>
    <w:rsid w:val="00E017A9"/>
    <w:rsid w:val="00E01D1E"/>
    <w:rsid w:val="00E01D6D"/>
    <w:rsid w:val="00E01D80"/>
    <w:rsid w:val="00E01F36"/>
    <w:rsid w:val="00E02284"/>
    <w:rsid w:val="00E02597"/>
    <w:rsid w:val="00E0298B"/>
    <w:rsid w:val="00E02D8C"/>
    <w:rsid w:val="00E02DCC"/>
    <w:rsid w:val="00E0305C"/>
    <w:rsid w:val="00E03127"/>
    <w:rsid w:val="00E031B3"/>
    <w:rsid w:val="00E031DC"/>
    <w:rsid w:val="00E03309"/>
    <w:rsid w:val="00E033BD"/>
    <w:rsid w:val="00E03935"/>
    <w:rsid w:val="00E03C1D"/>
    <w:rsid w:val="00E03D04"/>
    <w:rsid w:val="00E03EAB"/>
    <w:rsid w:val="00E0409E"/>
    <w:rsid w:val="00E04329"/>
    <w:rsid w:val="00E045FC"/>
    <w:rsid w:val="00E04729"/>
    <w:rsid w:val="00E047EA"/>
    <w:rsid w:val="00E049C7"/>
    <w:rsid w:val="00E04A0C"/>
    <w:rsid w:val="00E04DA5"/>
    <w:rsid w:val="00E04FAB"/>
    <w:rsid w:val="00E050F2"/>
    <w:rsid w:val="00E05256"/>
    <w:rsid w:val="00E0562E"/>
    <w:rsid w:val="00E058F1"/>
    <w:rsid w:val="00E05BE0"/>
    <w:rsid w:val="00E0657C"/>
    <w:rsid w:val="00E06612"/>
    <w:rsid w:val="00E06675"/>
    <w:rsid w:val="00E06A07"/>
    <w:rsid w:val="00E072E2"/>
    <w:rsid w:val="00E0750A"/>
    <w:rsid w:val="00E07669"/>
    <w:rsid w:val="00E076A2"/>
    <w:rsid w:val="00E07ECD"/>
    <w:rsid w:val="00E07EDB"/>
    <w:rsid w:val="00E101D3"/>
    <w:rsid w:val="00E103F2"/>
    <w:rsid w:val="00E104BB"/>
    <w:rsid w:val="00E10C54"/>
    <w:rsid w:val="00E10CFA"/>
    <w:rsid w:val="00E10D13"/>
    <w:rsid w:val="00E10E19"/>
    <w:rsid w:val="00E11117"/>
    <w:rsid w:val="00E11328"/>
    <w:rsid w:val="00E113A9"/>
    <w:rsid w:val="00E1167E"/>
    <w:rsid w:val="00E11A87"/>
    <w:rsid w:val="00E11AE3"/>
    <w:rsid w:val="00E11CE4"/>
    <w:rsid w:val="00E11D31"/>
    <w:rsid w:val="00E11E0D"/>
    <w:rsid w:val="00E12085"/>
    <w:rsid w:val="00E120BD"/>
    <w:rsid w:val="00E124C2"/>
    <w:rsid w:val="00E125AE"/>
    <w:rsid w:val="00E125B5"/>
    <w:rsid w:val="00E1261B"/>
    <w:rsid w:val="00E126D9"/>
    <w:rsid w:val="00E12A1D"/>
    <w:rsid w:val="00E12B31"/>
    <w:rsid w:val="00E12B6A"/>
    <w:rsid w:val="00E12C24"/>
    <w:rsid w:val="00E12E26"/>
    <w:rsid w:val="00E12E6D"/>
    <w:rsid w:val="00E12EA6"/>
    <w:rsid w:val="00E12F7E"/>
    <w:rsid w:val="00E13275"/>
    <w:rsid w:val="00E1353C"/>
    <w:rsid w:val="00E1354B"/>
    <w:rsid w:val="00E13675"/>
    <w:rsid w:val="00E138D6"/>
    <w:rsid w:val="00E13AB2"/>
    <w:rsid w:val="00E13C41"/>
    <w:rsid w:val="00E13CA5"/>
    <w:rsid w:val="00E140AC"/>
    <w:rsid w:val="00E1413F"/>
    <w:rsid w:val="00E142AA"/>
    <w:rsid w:val="00E14421"/>
    <w:rsid w:val="00E1455A"/>
    <w:rsid w:val="00E147F4"/>
    <w:rsid w:val="00E14BE6"/>
    <w:rsid w:val="00E14C03"/>
    <w:rsid w:val="00E14EC4"/>
    <w:rsid w:val="00E1507B"/>
    <w:rsid w:val="00E15546"/>
    <w:rsid w:val="00E155B1"/>
    <w:rsid w:val="00E159C0"/>
    <w:rsid w:val="00E159D2"/>
    <w:rsid w:val="00E15A7E"/>
    <w:rsid w:val="00E15AEB"/>
    <w:rsid w:val="00E15B4B"/>
    <w:rsid w:val="00E15BF3"/>
    <w:rsid w:val="00E15C15"/>
    <w:rsid w:val="00E15D14"/>
    <w:rsid w:val="00E16291"/>
    <w:rsid w:val="00E163DE"/>
    <w:rsid w:val="00E165C7"/>
    <w:rsid w:val="00E16658"/>
    <w:rsid w:val="00E16713"/>
    <w:rsid w:val="00E1675C"/>
    <w:rsid w:val="00E167CD"/>
    <w:rsid w:val="00E169D0"/>
    <w:rsid w:val="00E16E0B"/>
    <w:rsid w:val="00E16EF0"/>
    <w:rsid w:val="00E16F6F"/>
    <w:rsid w:val="00E16FFF"/>
    <w:rsid w:val="00E1705E"/>
    <w:rsid w:val="00E170EE"/>
    <w:rsid w:val="00E17264"/>
    <w:rsid w:val="00E17361"/>
    <w:rsid w:val="00E173F8"/>
    <w:rsid w:val="00E17578"/>
    <w:rsid w:val="00E17B92"/>
    <w:rsid w:val="00E2006F"/>
    <w:rsid w:val="00E2019F"/>
    <w:rsid w:val="00E20857"/>
    <w:rsid w:val="00E209E6"/>
    <w:rsid w:val="00E20C3B"/>
    <w:rsid w:val="00E20C4D"/>
    <w:rsid w:val="00E210F2"/>
    <w:rsid w:val="00E211EA"/>
    <w:rsid w:val="00E212F2"/>
    <w:rsid w:val="00E213C3"/>
    <w:rsid w:val="00E214B9"/>
    <w:rsid w:val="00E216C6"/>
    <w:rsid w:val="00E217CC"/>
    <w:rsid w:val="00E2181E"/>
    <w:rsid w:val="00E21A1F"/>
    <w:rsid w:val="00E21C13"/>
    <w:rsid w:val="00E21CE9"/>
    <w:rsid w:val="00E21D7B"/>
    <w:rsid w:val="00E22322"/>
    <w:rsid w:val="00E224F3"/>
    <w:rsid w:val="00E2262B"/>
    <w:rsid w:val="00E22727"/>
    <w:rsid w:val="00E227E2"/>
    <w:rsid w:val="00E2281E"/>
    <w:rsid w:val="00E22900"/>
    <w:rsid w:val="00E22993"/>
    <w:rsid w:val="00E22C28"/>
    <w:rsid w:val="00E22DC0"/>
    <w:rsid w:val="00E22F2B"/>
    <w:rsid w:val="00E23499"/>
    <w:rsid w:val="00E23729"/>
    <w:rsid w:val="00E23977"/>
    <w:rsid w:val="00E23DD8"/>
    <w:rsid w:val="00E24161"/>
    <w:rsid w:val="00E24604"/>
    <w:rsid w:val="00E2465A"/>
    <w:rsid w:val="00E24870"/>
    <w:rsid w:val="00E24890"/>
    <w:rsid w:val="00E24A1B"/>
    <w:rsid w:val="00E24B79"/>
    <w:rsid w:val="00E24C03"/>
    <w:rsid w:val="00E24EEF"/>
    <w:rsid w:val="00E24F07"/>
    <w:rsid w:val="00E24F72"/>
    <w:rsid w:val="00E24FD7"/>
    <w:rsid w:val="00E250CA"/>
    <w:rsid w:val="00E2548A"/>
    <w:rsid w:val="00E254B1"/>
    <w:rsid w:val="00E25765"/>
    <w:rsid w:val="00E259DF"/>
    <w:rsid w:val="00E25AA4"/>
    <w:rsid w:val="00E25C9C"/>
    <w:rsid w:val="00E25CF1"/>
    <w:rsid w:val="00E266B3"/>
    <w:rsid w:val="00E268EA"/>
    <w:rsid w:val="00E26BF2"/>
    <w:rsid w:val="00E26D3C"/>
    <w:rsid w:val="00E26F2B"/>
    <w:rsid w:val="00E26F97"/>
    <w:rsid w:val="00E2707E"/>
    <w:rsid w:val="00E27364"/>
    <w:rsid w:val="00E278EC"/>
    <w:rsid w:val="00E27A9F"/>
    <w:rsid w:val="00E27AC6"/>
    <w:rsid w:val="00E27C37"/>
    <w:rsid w:val="00E27CDB"/>
    <w:rsid w:val="00E305E5"/>
    <w:rsid w:val="00E3066A"/>
    <w:rsid w:val="00E3068C"/>
    <w:rsid w:val="00E306B8"/>
    <w:rsid w:val="00E30811"/>
    <w:rsid w:val="00E30855"/>
    <w:rsid w:val="00E309CA"/>
    <w:rsid w:val="00E30A0E"/>
    <w:rsid w:val="00E30BBC"/>
    <w:rsid w:val="00E30BD9"/>
    <w:rsid w:val="00E30BEC"/>
    <w:rsid w:val="00E30CF4"/>
    <w:rsid w:val="00E30F9C"/>
    <w:rsid w:val="00E30FB3"/>
    <w:rsid w:val="00E310C4"/>
    <w:rsid w:val="00E3120C"/>
    <w:rsid w:val="00E314F3"/>
    <w:rsid w:val="00E31541"/>
    <w:rsid w:val="00E315B5"/>
    <w:rsid w:val="00E317CA"/>
    <w:rsid w:val="00E3198B"/>
    <w:rsid w:val="00E31BEE"/>
    <w:rsid w:val="00E31D9F"/>
    <w:rsid w:val="00E31ECB"/>
    <w:rsid w:val="00E320B6"/>
    <w:rsid w:val="00E32249"/>
    <w:rsid w:val="00E3246B"/>
    <w:rsid w:val="00E32689"/>
    <w:rsid w:val="00E327D0"/>
    <w:rsid w:val="00E327DB"/>
    <w:rsid w:val="00E328EF"/>
    <w:rsid w:val="00E33204"/>
    <w:rsid w:val="00E33648"/>
    <w:rsid w:val="00E337BD"/>
    <w:rsid w:val="00E33874"/>
    <w:rsid w:val="00E33A52"/>
    <w:rsid w:val="00E33DC2"/>
    <w:rsid w:val="00E340AE"/>
    <w:rsid w:val="00E34329"/>
    <w:rsid w:val="00E34579"/>
    <w:rsid w:val="00E34616"/>
    <w:rsid w:val="00E34C91"/>
    <w:rsid w:val="00E34CAD"/>
    <w:rsid w:val="00E34D1E"/>
    <w:rsid w:val="00E34E52"/>
    <w:rsid w:val="00E34F35"/>
    <w:rsid w:val="00E35050"/>
    <w:rsid w:val="00E35271"/>
    <w:rsid w:val="00E354EB"/>
    <w:rsid w:val="00E356AC"/>
    <w:rsid w:val="00E3573B"/>
    <w:rsid w:val="00E35AAA"/>
    <w:rsid w:val="00E35C34"/>
    <w:rsid w:val="00E35DBF"/>
    <w:rsid w:val="00E360BE"/>
    <w:rsid w:val="00E362BB"/>
    <w:rsid w:val="00E362FA"/>
    <w:rsid w:val="00E364F4"/>
    <w:rsid w:val="00E36D63"/>
    <w:rsid w:val="00E36D67"/>
    <w:rsid w:val="00E372F7"/>
    <w:rsid w:val="00E37962"/>
    <w:rsid w:val="00E37BD4"/>
    <w:rsid w:val="00E37C5F"/>
    <w:rsid w:val="00E37D6A"/>
    <w:rsid w:val="00E37DFC"/>
    <w:rsid w:val="00E40066"/>
    <w:rsid w:val="00E400F4"/>
    <w:rsid w:val="00E400FB"/>
    <w:rsid w:val="00E40204"/>
    <w:rsid w:val="00E4025E"/>
    <w:rsid w:val="00E406BD"/>
    <w:rsid w:val="00E408DF"/>
    <w:rsid w:val="00E40A31"/>
    <w:rsid w:val="00E40CCD"/>
    <w:rsid w:val="00E40DFE"/>
    <w:rsid w:val="00E41185"/>
    <w:rsid w:val="00E41524"/>
    <w:rsid w:val="00E41698"/>
    <w:rsid w:val="00E41783"/>
    <w:rsid w:val="00E41881"/>
    <w:rsid w:val="00E41B1B"/>
    <w:rsid w:val="00E41B56"/>
    <w:rsid w:val="00E41F4F"/>
    <w:rsid w:val="00E423A9"/>
    <w:rsid w:val="00E423C8"/>
    <w:rsid w:val="00E4244F"/>
    <w:rsid w:val="00E42853"/>
    <w:rsid w:val="00E429D0"/>
    <w:rsid w:val="00E42A27"/>
    <w:rsid w:val="00E43F7A"/>
    <w:rsid w:val="00E441C6"/>
    <w:rsid w:val="00E443BE"/>
    <w:rsid w:val="00E4472D"/>
    <w:rsid w:val="00E44965"/>
    <w:rsid w:val="00E44979"/>
    <w:rsid w:val="00E44C1D"/>
    <w:rsid w:val="00E44D02"/>
    <w:rsid w:val="00E44D2A"/>
    <w:rsid w:val="00E45048"/>
    <w:rsid w:val="00E451B8"/>
    <w:rsid w:val="00E4549E"/>
    <w:rsid w:val="00E456FB"/>
    <w:rsid w:val="00E45788"/>
    <w:rsid w:val="00E45878"/>
    <w:rsid w:val="00E45AF3"/>
    <w:rsid w:val="00E45CFF"/>
    <w:rsid w:val="00E45DAD"/>
    <w:rsid w:val="00E4600B"/>
    <w:rsid w:val="00E46234"/>
    <w:rsid w:val="00E46528"/>
    <w:rsid w:val="00E46529"/>
    <w:rsid w:val="00E46561"/>
    <w:rsid w:val="00E466A7"/>
    <w:rsid w:val="00E46947"/>
    <w:rsid w:val="00E46CF0"/>
    <w:rsid w:val="00E46DD5"/>
    <w:rsid w:val="00E46F17"/>
    <w:rsid w:val="00E47114"/>
    <w:rsid w:val="00E47266"/>
    <w:rsid w:val="00E473A6"/>
    <w:rsid w:val="00E474F2"/>
    <w:rsid w:val="00E47630"/>
    <w:rsid w:val="00E4788F"/>
    <w:rsid w:val="00E478D3"/>
    <w:rsid w:val="00E47B2A"/>
    <w:rsid w:val="00E47FEB"/>
    <w:rsid w:val="00E5039A"/>
    <w:rsid w:val="00E50A86"/>
    <w:rsid w:val="00E50B04"/>
    <w:rsid w:val="00E50BD7"/>
    <w:rsid w:val="00E50D84"/>
    <w:rsid w:val="00E510F7"/>
    <w:rsid w:val="00E5126C"/>
    <w:rsid w:val="00E51302"/>
    <w:rsid w:val="00E51526"/>
    <w:rsid w:val="00E5184A"/>
    <w:rsid w:val="00E518A1"/>
    <w:rsid w:val="00E5196B"/>
    <w:rsid w:val="00E51D5C"/>
    <w:rsid w:val="00E51DC2"/>
    <w:rsid w:val="00E51F40"/>
    <w:rsid w:val="00E51F46"/>
    <w:rsid w:val="00E52039"/>
    <w:rsid w:val="00E521A0"/>
    <w:rsid w:val="00E5255A"/>
    <w:rsid w:val="00E52969"/>
    <w:rsid w:val="00E52B7D"/>
    <w:rsid w:val="00E52D0D"/>
    <w:rsid w:val="00E5327C"/>
    <w:rsid w:val="00E535FF"/>
    <w:rsid w:val="00E53C3E"/>
    <w:rsid w:val="00E53C72"/>
    <w:rsid w:val="00E53F2A"/>
    <w:rsid w:val="00E54039"/>
    <w:rsid w:val="00E542C5"/>
    <w:rsid w:val="00E54305"/>
    <w:rsid w:val="00E5430E"/>
    <w:rsid w:val="00E548AB"/>
    <w:rsid w:val="00E54AA9"/>
    <w:rsid w:val="00E54B00"/>
    <w:rsid w:val="00E54DC0"/>
    <w:rsid w:val="00E54E5E"/>
    <w:rsid w:val="00E553A2"/>
    <w:rsid w:val="00E557CA"/>
    <w:rsid w:val="00E55BA1"/>
    <w:rsid w:val="00E55F82"/>
    <w:rsid w:val="00E5655F"/>
    <w:rsid w:val="00E565B4"/>
    <w:rsid w:val="00E566A8"/>
    <w:rsid w:val="00E567DD"/>
    <w:rsid w:val="00E5691B"/>
    <w:rsid w:val="00E56D0C"/>
    <w:rsid w:val="00E56FF9"/>
    <w:rsid w:val="00E57523"/>
    <w:rsid w:val="00E5766E"/>
    <w:rsid w:val="00E577F3"/>
    <w:rsid w:val="00E57CD5"/>
    <w:rsid w:val="00E57FE0"/>
    <w:rsid w:val="00E60469"/>
    <w:rsid w:val="00E604E2"/>
    <w:rsid w:val="00E60685"/>
    <w:rsid w:val="00E6076C"/>
    <w:rsid w:val="00E607C0"/>
    <w:rsid w:val="00E60F05"/>
    <w:rsid w:val="00E613A7"/>
    <w:rsid w:val="00E614B2"/>
    <w:rsid w:val="00E6166C"/>
    <w:rsid w:val="00E618DD"/>
    <w:rsid w:val="00E61A4B"/>
    <w:rsid w:val="00E61A8C"/>
    <w:rsid w:val="00E61B17"/>
    <w:rsid w:val="00E61C5E"/>
    <w:rsid w:val="00E61D81"/>
    <w:rsid w:val="00E61DC8"/>
    <w:rsid w:val="00E61E79"/>
    <w:rsid w:val="00E61FCA"/>
    <w:rsid w:val="00E6204F"/>
    <w:rsid w:val="00E620F6"/>
    <w:rsid w:val="00E62422"/>
    <w:rsid w:val="00E62492"/>
    <w:rsid w:val="00E624A9"/>
    <w:rsid w:val="00E62974"/>
    <w:rsid w:val="00E62D38"/>
    <w:rsid w:val="00E62E90"/>
    <w:rsid w:val="00E63B87"/>
    <w:rsid w:val="00E63C7A"/>
    <w:rsid w:val="00E63C87"/>
    <w:rsid w:val="00E63CFC"/>
    <w:rsid w:val="00E63CFF"/>
    <w:rsid w:val="00E63FE5"/>
    <w:rsid w:val="00E6456C"/>
    <w:rsid w:val="00E64940"/>
    <w:rsid w:val="00E64A7B"/>
    <w:rsid w:val="00E64BCD"/>
    <w:rsid w:val="00E64CD4"/>
    <w:rsid w:val="00E650F1"/>
    <w:rsid w:val="00E65108"/>
    <w:rsid w:val="00E65260"/>
    <w:rsid w:val="00E65378"/>
    <w:rsid w:val="00E654C0"/>
    <w:rsid w:val="00E6583F"/>
    <w:rsid w:val="00E658FA"/>
    <w:rsid w:val="00E65A15"/>
    <w:rsid w:val="00E65E11"/>
    <w:rsid w:val="00E66398"/>
    <w:rsid w:val="00E664AB"/>
    <w:rsid w:val="00E66884"/>
    <w:rsid w:val="00E66B02"/>
    <w:rsid w:val="00E66E06"/>
    <w:rsid w:val="00E66E44"/>
    <w:rsid w:val="00E66F90"/>
    <w:rsid w:val="00E672C8"/>
    <w:rsid w:val="00E6761A"/>
    <w:rsid w:val="00E6762C"/>
    <w:rsid w:val="00E67703"/>
    <w:rsid w:val="00E67845"/>
    <w:rsid w:val="00E679C7"/>
    <w:rsid w:val="00E67CCD"/>
    <w:rsid w:val="00E67D6F"/>
    <w:rsid w:val="00E67F34"/>
    <w:rsid w:val="00E700AB"/>
    <w:rsid w:val="00E701A7"/>
    <w:rsid w:val="00E70963"/>
    <w:rsid w:val="00E70BA1"/>
    <w:rsid w:val="00E70E1E"/>
    <w:rsid w:val="00E70EF6"/>
    <w:rsid w:val="00E71A71"/>
    <w:rsid w:val="00E71A92"/>
    <w:rsid w:val="00E71BE2"/>
    <w:rsid w:val="00E71E84"/>
    <w:rsid w:val="00E72144"/>
    <w:rsid w:val="00E721AE"/>
    <w:rsid w:val="00E72619"/>
    <w:rsid w:val="00E726EF"/>
    <w:rsid w:val="00E727C3"/>
    <w:rsid w:val="00E7299B"/>
    <w:rsid w:val="00E72BAA"/>
    <w:rsid w:val="00E72EC5"/>
    <w:rsid w:val="00E730AB"/>
    <w:rsid w:val="00E73289"/>
    <w:rsid w:val="00E735FF"/>
    <w:rsid w:val="00E7363B"/>
    <w:rsid w:val="00E73B28"/>
    <w:rsid w:val="00E73FE7"/>
    <w:rsid w:val="00E7452D"/>
    <w:rsid w:val="00E7462F"/>
    <w:rsid w:val="00E74651"/>
    <w:rsid w:val="00E748D9"/>
    <w:rsid w:val="00E748EB"/>
    <w:rsid w:val="00E74D26"/>
    <w:rsid w:val="00E74D86"/>
    <w:rsid w:val="00E74EA7"/>
    <w:rsid w:val="00E74F21"/>
    <w:rsid w:val="00E75139"/>
    <w:rsid w:val="00E7516C"/>
    <w:rsid w:val="00E7558F"/>
    <w:rsid w:val="00E75CD1"/>
    <w:rsid w:val="00E75D75"/>
    <w:rsid w:val="00E75EC3"/>
    <w:rsid w:val="00E75FC7"/>
    <w:rsid w:val="00E7611A"/>
    <w:rsid w:val="00E7627B"/>
    <w:rsid w:val="00E764BB"/>
    <w:rsid w:val="00E768E0"/>
    <w:rsid w:val="00E76925"/>
    <w:rsid w:val="00E76B65"/>
    <w:rsid w:val="00E76F3F"/>
    <w:rsid w:val="00E770A5"/>
    <w:rsid w:val="00E771D5"/>
    <w:rsid w:val="00E773A4"/>
    <w:rsid w:val="00E77447"/>
    <w:rsid w:val="00E77659"/>
    <w:rsid w:val="00E77679"/>
    <w:rsid w:val="00E7768E"/>
    <w:rsid w:val="00E7774B"/>
    <w:rsid w:val="00E778BA"/>
    <w:rsid w:val="00E77951"/>
    <w:rsid w:val="00E779ED"/>
    <w:rsid w:val="00E77B91"/>
    <w:rsid w:val="00E77CAD"/>
    <w:rsid w:val="00E77D78"/>
    <w:rsid w:val="00E77F21"/>
    <w:rsid w:val="00E801CE"/>
    <w:rsid w:val="00E8029E"/>
    <w:rsid w:val="00E8068C"/>
    <w:rsid w:val="00E806D2"/>
    <w:rsid w:val="00E80744"/>
    <w:rsid w:val="00E80A10"/>
    <w:rsid w:val="00E80A35"/>
    <w:rsid w:val="00E80D88"/>
    <w:rsid w:val="00E80DA4"/>
    <w:rsid w:val="00E80E2C"/>
    <w:rsid w:val="00E81418"/>
    <w:rsid w:val="00E81545"/>
    <w:rsid w:val="00E81BE5"/>
    <w:rsid w:val="00E81E33"/>
    <w:rsid w:val="00E82075"/>
    <w:rsid w:val="00E82399"/>
    <w:rsid w:val="00E82462"/>
    <w:rsid w:val="00E826F0"/>
    <w:rsid w:val="00E8279C"/>
    <w:rsid w:val="00E82C70"/>
    <w:rsid w:val="00E82C8A"/>
    <w:rsid w:val="00E82FD9"/>
    <w:rsid w:val="00E83280"/>
    <w:rsid w:val="00E8336E"/>
    <w:rsid w:val="00E83441"/>
    <w:rsid w:val="00E8381F"/>
    <w:rsid w:val="00E83F94"/>
    <w:rsid w:val="00E840A4"/>
    <w:rsid w:val="00E84386"/>
    <w:rsid w:val="00E843A0"/>
    <w:rsid w:val="00E844CF"/>
    <w:rsid w:val="00E844F9"/>
    <w:rsid w:val="00E84632"/>
    <w:rsid w:val="00E84885"/>
    <w:rsid w:val="00E84B0B"/>
    <w:rsid w:val="00E84F8A"/>
    <w:rsid w:val="00E851A3"/>
    <w:rsid w:val="00E85279"/>
    <w:rsid w:val="00E85469"/>
    <w:rsid w:val="00E85650"/>
    <w:rsid w:val="00E857B0"/>
    <w:rsid w:val="00E85A55"/>
    <w:rsid w:val="00E85D3F"/>
    <w:rsid w:val="00E85E0D"/>
    <w:rsid w:val="00E85F06"/>
    <w:rsid w:val="00E86060"/>
    <w:rsid w:val="00E86242"/>
    <w:rsid w:val="00E86277"/>
    <w:rsid w:val="00E86409"/>
    <w:rsid w:val="00E864DE"/>
    <w:rsid w:val="00E8688F"/>
    <w:rsid w:val="00E86B14"/>
    <w:rsid w:val="00E86D59"/>
    <w:rsid w:val="00E86DBA"/>
    <w:rsid w:val="00E874AD"/>
    <w:rsid w:val="00E87595"/>
    <w:rsid w:val="00E878D4"/>
    <w:rsid w:val="00E87AC4"/>
    <w:rsid w:val="00E87B60"/>
    <w:rsid w:val="00E87DB8"/>
    <w:rsid w:val="00E87EAC"/>
    <w:rsid w:val="00E902B1"/>
    <w:rsid w:val="00E90870"/>
    <w:rsid w:val="00E90A37"/>
    <w:rsid w:val="00E90F48"/>
    <w:rsid w:val="00E9119D"/>
    <w:rsid w:val="00E91207"/>
    <w:rsid w:val="00E91567"/>
    <w:rsid w:val="00E9164D"/>
    <w:rsid w:val="00E91832"/>
    <w:rsid w:val="00E91C86"/>
    <w:rsid w:val="00E91D60"/>
    <w:rsid w:val="00E92448"/>
    <w:rsid w:val="00E92531"/>
    <w:rsid w:val="00E9254C"/>
    <w:rsid w:val="00E92772"/>
    <w:rsid w:val="00E929FF"/>
    <w:rsid w:val="00E92B7B"/>
    <w:rsid w:val="00E92D56"/>
    <w:rsid w:val="00E92DCC"/>
    <w:rsid w:val="00E9306A"/>
    <w:rsid w:val="00E93312"/>
    <w:rsid w:val="00E935A5"/>
    <w:rsid w:val="00E935BC"/>
    <w:rsid w:val="00E93672"/>
    <w:rsid w:val="00E93CD0"/>
    <w:rsid w:val="00E93FEF"/>
    <w:rsid w:val="00E93FF5"/>
    <w:rsid w:val="00E9417E"/>
    <w:rsid w:val="00E944E9"/>
    <w:rsid w:val="00E94AA1"/>
    <w:rsid w:val="00E94C35"/>
    <w:rsid w:val="00E94E74"/>
    <w:rsid w:val="00E94FAF"/>
    <w:rsid w:val="00E953F0"/>
    <w:rsid w:val="00E954FC"/>
    <w:rsid w:val="00E95524"/>
    <w:rsid w:val="00E95D11"/>
    <w:rsid w:val="00E95F6C"/>
    <w:rsid w:val="00E9632F"/>
    <w:rsid w:val="00E96476"/>
    <w:rsid w:val="00E964D1"/>
    <w:rsid w:val="00E966AD"/>
    <w:rsid w:val="00E96BD9"/>
    <w:rsid w:val="00E96C9C"/>
    <w:rsid w:val="00E96CA7"/>
    <w:rsid w:val="00E96EF3"/>
    <w:rsid w:val="00E972C4"/>
    <w:rsid w:val="00E97669"/>
    <w:rsid w:val="00E97B77"/>
    <w:rsid w:val="00E97FE7"/>
    <w:rsid w:val="00EA0036"/>
    <w:rsid w:val="00EA0767"/>
    <w:rsid w:val="00EA0C14"/>
    <w:rsid w:val="00EA0C99"/>
    <w:rsid w:val="00EA0DAD"/>
    <w:rsid w:val="00EA0E37"/>
    <w:rsid w:val="00EA1093"/>
    <w:rsid w:val="00EA11DB"/>
    <w:rsid w:val="00EA127B"/>
    <w:rsid w:val="00EA178E"/>
    <w:rsid w:val="00EA18FE"/>
    <w:rsid w:val="00EA1953"/>
    <w:rsid w:val="00EA1BF6"/>
    <w:rsid w:val="00EA1C50"/>
    <w:rsid w:val="00EA1D84"/>
    <w:rsid w:val="00EA1DCE"/>
    <w:rsid w:val="00EA1EDA"/>
    <w:rsid w:val="00EA2049"/>
    <w:rsid w:val="00EA21BF"/>
    <w:rsid w:val="00EA297E"/>
    <w:rsid w:val="00EA2982"/>
    <w:rsid w:val="00EA2B9F"/>
    <w:rsid w:val="00EA2E75"/>
    <w:rsid w:val="00EA30D0"/>
    <w:rsid w:val="00EA30F7"/>
    <w:rsid w:val="00EA34FA"/>
    <w:rsid w:val="00EA392E"/>
    <w:rsid w:val="00EA3982"/>
    <w:rsid w:val="00EA3C09"/>
    <w:rsid w:val="00EA3E83"/>
    <w:rsid w:val="00EA3F76"/>
    <w:rsid w:val="00EA412A"/>
    <w:rsid w:val="00EA4346"/>
    <w:rsid w:val="00EA4507"/>
    <w:rsid w:val="00EA4532"/>
    <w:rsid w:val="00EA458F"/>
    <w:rsid w:val="00EA47DD"/>
    <w:rsid w:val="00EA48C6"/>
    <w:rsid w:val="00EA48F3"/>
    <w:rsid w:val="00EA49D9"/>
    <w:rsid w:val="00EA4BE6"/>
    <w:rsid w:val="00EA4ED9"/>
    <w:rsid w:val="00EA5000"/>
    <w:rsid w:val="00EA50EC"/>
    <w:rsid w:val="00EA52B4"/>
    <w:rsid w:val="00EA5336"/>
    <w:rsid w:val="00EA53D6"/>
    <w:rsid w:val="00EA53EF"/>
    <w:rsid w:val="00EA560B"/>
    <w:rsid w:val="00EA58E3"/>
    <w:rsid w:val="00EA5996"/>
    <w:rsid w:val="00EA5B7F"/>
    <w:rsid w:val="00EA5DEF"/>
    <w:rsid w:val="00EA68BC"/>
    <w:rsid w:val="00EA6A7E"/>
    <w:rsid w:val="00EA7051"/>
    <w:rsid w:val="00EA70D4"/>
    <w:rsid w:val="00EA70F1"/>
    <w:rsid w:val="00EA744C"/>
    <w:rsid w:val="00EA7469"/>
    <w:rsid w:val="00EA78A9"/>
    <w:rsid w:val="00EA7A3A"/>
    <w:rsid w:val="00EA7B6A"/>
    <w:rsid w:val="00EA7DDD"/>
    <w:rsid w:val="00EA7E42"/>
    <w:rsid w:val="00EB03CA"/>
    <w:rsid w:val="00EB0436"/>
    <w:rsid w:val="00EB0730"/>
    <w:rsid w:val="00EB0816"/>
    <w:rsid w:val="00EB0D49"/>
    <w:rsid w:val="00EB0EA4"/>
    <w:rsid w:val="00EB132C"/>
    <w:rsid w:val="00EB1366"/>
    <w:rsid w:val="00EB152D"/>
    <w:rsid w:val="00EB156E"/>
    <w:rsid w:val="00EB1927"/>
    <w:rsid w:val="00EB1AB0"/>
    <w:rsid w:val="00EB1AB3"/>
    <w:rsid w:val="00EB1D39"/>
    <w:rsid w:val="00EB2129"/>
    <w:rsid w:val="00EB2367"/>
    <w:rsid w:val="00EB25C2"/>
    <w:rsid w:val="00EB29D8"/>
    <w:rsid w:val="00EB2A04"/>
    <w:rsid w:val="00EB2A27"/>
    <w:rsid w:val="00EB2ED7"/>
    <w:rsid w:val="00EB3091"/>
    <w:rsid w:val="00EB33F1"/>
    <w:rsid w:val="00EB3507"/>
    <w:rsid w:val="00EB37D7"/>
    <w:rsid w:val="00EB3914"/>
    <w:rsid w:val="00EB3AB5"/>
    <w:rsid w:val="00EB3DC2"/>
    <w:rsid w:val="00EB3FE7"/>
    <w:rsid w:val="00EB4070"/>
    <w:rsid w:val="00EB45EA"/>
    <w:rsid w:val="00EB48E5"/>
    <w:rsid w:val="00EB4ACF"/>
    <w:rsid w:val="00EB4E43"/>
    <w:rsid w:val="00EB4EB2"/>
    <w:rsid w:val="00EB533B"/>
    <w:rsid w:val="00EB5547"/>
    <w:rsid w:val="00EB56E0"/>
    <w:rsid w:val="00EB58B2"/>
    <w:rsid w:val="00EB58F0"/>
    <w:rsid w:val="00EB5C53"/>
    <w:rsid w:val="00EB5EB7"/>
    <w:rsid w:val="00EB6435"/>
    <w:rsid w:val="00EB64D4"/>
    <w:rsid w:val="00EB656D"/>
    <w:rsid w:val="00EB6BD2"/>
    <w:rsid w:val="00EB6CFD"/>
    <w:rsid w:val="00EB70AE"/>
    <w:rsid w:val="00EB72A1"/>
    <w:rsid w:val="00EB731E"/>
    <w:rsid w:val="00EB738A"/>
    <w:rsid w:val="00EB7766"/>
    <w:rsid w:val="00EB7DB3"/>
    <w:rsid w:val="00EB7E7B"/>
    <w:rsid w:val="00EC0103"/>
    <w:rsid w:val="00EC0351"/>
    <w:rsid w:val="00EC07C5"/>
    <w:rsid w:val="00EC0E82"/>
    <w:rsid w:val="00EC1037"/>
    <w:rsid w:val="00EC143C"/>
    <w:rsid w:val="00EC14C2"/>
    <w:rsid w:val="00EC176E"/>
    <w:rsid w:val="00EC1ABF"/>
    <w:rsid w:val="00EC1DD3"/>
    <w:rsid w:val="00EC2086"/>
    <w:rsid w:val="00EC212F"/>
    <w:rsid w:val="00EC26C2"/>
    <w:rsid w:val="00EC2AC8"/>
    <w:rsid w:val="00EC2F14"/>
    <w:rsid w:val="00EC3029"/>
    <w:rsid w:val="00EC3709"/>
    <w:rsid w:val="00EC3793"/>
    <w:rsid w:val="00EC37EE"/>
    <w:rsid w:val="00EC3A30"/>
    <w:rsid w:val="00EC3C27"/>
    <w:rsid w:val="00EC3F94"/>
    <w:rsid w:val="00EC43BD"/>
    <w:rsid w:val="00EC475F"/>
    <w:rsid w:val="00EC4817"/>
    <w:rsid w:val="00EC48FE"/>
    <w:rsid w:val="00EC498F"/>
    <w:rsid w:val="00EC4B68"/>
    <w:rsid w:val="00EC4CCF"/>
    <w:rsid w:val="00EC51E3"/>
    <w:rsid w:val="00EC51E7"/>
    <w:rsid w:val="00EC54CD"/>
    <w:rsid w:val="00EC5C62"/>
    <w:rsid w:val="00EC5D4C"/>
    <w:rsid w:val="00EC6685"/>
    <w:rsid w:val="00EC6697"/>
    <w:rsid w:val="00EC6714"/>
    <w:rsid w:val="00EC68AB"/>
    <w:rsid w:val="00EC6CED"/>
    <w:rsid w:val="00EC7564"/>
    <w:rsid w:val="00ED01B3"/>
    <w:rsid w:val="00ED044A"/>
    <w:rsid w:val="00ED050F"/>
    <w:rsid w:val="00ED05BE"/>
    <w:rsid w:val="00ED06A5"/>
    <w:rsid w:val="00ED0700"/>
    <w:rsid w:val="00ED08F5"/>
    <w:rsid w:val="00ED097D"/>
    <w:rsid w:val="00ED0D3B"/>
    <w:rsid w:val="00ED0E2A"/>
    <w:rsid w:val="00ED0E42"/>
    <w:rsid w:val="00ED1193"/>
    <w:rsid w:val="00ED11E9"/>
    <w:rsid w:val="00ED12F8"/>
    <w:rsid w:val="00ED1840"/>
    <w:rsid w:val="00ED204B"/>
    <w:rsid w:val="00ED2172"/>
    <w:rsid w:val="00ED2376"/>
    <w:rsid w:val="00ED2778"/>
    <w:rsid w:val="00ED27BD"/>
    <w:rsid w:val="00ED313B"/>
    <w:rsid w:val="00ED37A4"/>
    <w:rsid w:val="00ED3B61"/>
    <w:rsid w:val="00ED3DFE"/>
    <w:rsid w:val="00ED46E3"/>
    <w:rsid w:val="00ED473C"/>
    <w:rsid w:val="00ED47A4"/>
    <w:rsid w:val="00ED48AA"/>
    <w:rsid w:val="00ED4917"/>
    <w:rsid w:val="00ED4933"/>
    <w:rsid w:val="00ED4DD9"/>
    <w:rsid w:val="00ED4E55"/>
    <w:rsid w:val="00ED4FB3"/>
    <w:rsid w:val="00ED5511"/>
    <w:rsid w:val="00ED5736"/>
    <w:rsid w:val="00ED59C3"/>
    <w:rsid w:val="00ED5C6E"/>
    <w:rsid w:val="00ED5CC3"/>
    <w:rsid w:val="00ED5CF1"/>
    <w:rsid w:val="00ED5F5F"/>
    <w:rsid w:val="00ED5F86"/>
    <w:rsid w:val="00ED62A7"/>
    <w:rsid w:val="00ED6658"/>
    <w:rsid w:val="00ED6B3A"/>
    <w:rsid w:val="00ED6C2B"/>
    <w:rsid w:val="00ED6C99"/>
    <w:rsid w:val="00ED6CED"/>
    <w:rsid w:val="00ED7142"/>
    <w:rsid w:val="00ED793A"/>
    <w:rsid w:val="00ED79CA"/>
    <w:rsid w:val="00ED7EA8"/>
    <w:rsid w:val="00EE016E"/>
    <w:rsid w:val="00EE0176"/>
    <w:rsid w:val="00EE039D"/>
    <w:rsid w:val="00EE045E"/>
    <w:rsid w:val="00EE083C"/>
    <w:rsid w:val="00EE090D"/>
    <w:rsid w:val="00EE0CB9"/>
    <w:rsid w:val="00EE0D3C"/>
    <w:rsid w:val="00EE0EC1"/>
    <w:rsid w:val="00EE103D"/>
    <w:rsid w:val="00EE1288"/>
    <w:rsid w:val="00EE145C"/>
    <w:rsid w:val="00EE1AE1"/>
    <w:rsid w:val="00EE223B"/>
    <w:rsid w:val="00EE23F0"/>
    <w:rsid w:val="00EE2404"/>
    <w:rsid w:val="00EE265B"/>
    <w:rsid w:val="00EE26B7"/>
    <w:rsid w:val="00EE26C6"/>
    <w:rsid w:val="00EE2798"/>
    <w:rsid w:val="00EE28E5"/>
    <w:rsid w:val="00EE296A"/>
    <w:rsid w:val="00EE2A5A"/>
    <w:rsid w:val="00EE2DD7"/>
    <w:rsid w:val="00EE2E2B"/>
    <w:rsid w:val="00EE31E4"/>
    <w:rsid w:val="00EE33FF"/>
    <w:rsid w:val="00EE36CC"/>
    <w:rsid w:val="00EE36D5"/>
    <w:rsid w:val="00EE375B"/>
    <w:rsid w:val="00EE3911"/>
    <w:rsid w:val="00EE399A"/>
    <w:rsid w:val="00EE3C48"/>
    <w:rsid w:val="00EE3C6D"/>
    <w:rsid w:val="00EE3F48"/>
    <w:rsid w:val="00EE3F9C"/>
    <w:rsid w:val="00EE4029"/>
    <w:rsid w:val="00EE4249"/>
    <w:rsid w:val="00EE46C0"/>
    <w:rsid w:val="00EE47FC"/>
    <w:rsid w:val="00EE4879"/>
    <w:rsid w:val="00EE4AC5"/>
    <w:rsid w:val="00EE4D66"/>
    <w:rsid w:val="00EE4EB3"/>
    <w:rsid w:val="00EE50E8"/>
    <w:rsid w:val="00EE52B0"/>
    <w:rsid w:val="00EE58B8"/>
    <w:rsid w:val="00EE5B6E"/>
    <w:rsid w:val="00EE5D3C"/>
    <w:rsid w:val="00EE5DCD"/>
    <w:rsid w:val="00EE5ECB"/>
    <w:rsid w:val="00EE60D7"/>
    <w:rsid w:val="00EE6577"/>
    <w:rsid w:val="00EE6614"/>
    <w:rsid w:val="00EE6620"/>
    <w:rsid w:val="00EE6854"/>
    <w:rsid w:val="00EE6BA1"/>
    <w:rsid w:val="00EE6BCF"/>
    <w:rsid w:val="00EE6BE3"/>
    <w:rsid w:val="00EE6C1E"/>
    <w:rsid w:val="00EE6EEC"/>
    <w:rsid w:val="00EE6F0B"/>
    <w:rsid w:val="00EE6FB9"/>
    <w:rsid w:val="00EE6FE7"/>
    <w:rsid w:val="00EE71E9"/>
    <w:rsid w:val="00EE7291"/>
    <w:rsid w:val="00EE7A53"/>
    <w:rsid w:val="00EE7CC6"/>
    <w:rsid w:val="00EE7DA3"/>
    <w:rsid w:val="00EE7FA4"/>
    <w:rsid w:val="00EF0660"/>
    <w:rsid w:val="00EF06DD"/>
    <w:rsid w:val="00EF08C8"/>
    <w:rsid w:val="00EF0CDC"/>
    <w:rsid w:val="00EF0F61"/>
    <w:rsid w:val="00EF11F8"/>
    <w:rsid w:val="00EF1AB8"/>
    <w:rsid w:val="00EF1AD1"/>
    <w:rsid w:val="00EF1BB0"/>
    <w:rsid w:val="00EF1C51"/>
    <w:rsid w:val="00EF20E9"/>
    <w:rsid w:val="00EF223C"/>
    <w:rsid w:val="00EF2283"/>
    <w:rsid w:val="00EF2640"/>
    <w:rsid w:val="00EF297B"/>
    <w:rsid w:val="00EF2A87"/>
    <w:rsid w:val="00EF2ABE"/>
    <w:rsid w:val="00EF2B81"/>
    <w:rsid w:val="00EF2BAE"/>
    <w:rsid w:val="00EF305B"/>
    <w:rsid w:val="00EF33F0"/>
    <w:rsid w:val="00EF36D5"/>
    <w:rsid w:val="00EF3BB4"/>
    <w:rsid w:val="00EF3E78"/>
    <w:rsid w:val="00EF3EB6"/>
    <w:rsid w:val="00EF4000"/>
    <w:rsid w:val="00EF405A"/>
    <w:rsid w:val="00EF4112"/>
    <w:rsid w:val="00EF4324"/>
    <w:rsid w:val="00EF4436"/>
    <w:rsid w:val="00EF4536"/>
    <w:rsid w:val="00EF45C3"/>
    <w:rsid w:val="00EF468F"/>
    <w:rsid w:val="00EF4751"/>
    <w:rsid w:val="00EF4799"/>
    <w:rsid w:val="00EF4A1E"/>
    <w:rsid w:val="00EF4BC8"/>
    <w:rsid w:val="00EF4BF4"/>
    <w:rsid w:val="00EF4C29"/>
    <w:rsid w:val="00EF4D13"/>
    <w:rsid w:val="00EF4DB4"/>
    <w:rsid w:val="00EF5074"/>
    <w:rsid w:val="00EF53FE"/>
    <w:rsid w:val="00EF5500"/>
    <w:rsid w:val="00EF5D6A"/>
    <w:rsid w:val="00EF605D"/>
    <w:rsid w:val="00EF60FF"/>
    <w:rsid w:val="00EF61A1"/>
    <w:rsid w:val="00EF6992"/>
    <w:rsid w:val="00EF6ED3"/>
    <w:rsid w:val="00EF7023"/>
    <w:rsid w:val="00EF7B3F"/>
    <w:rsid w:val="00EF7BAD"/>
    <w:rsid w:val="00F000FC"/>
    <w:rsid w:val="00F0019F"/>
    <w:rsid w:val="00F00269"/>
    <w:rsid w:val="00F003CC"/>
    <w:rsid w:val="00F0043F"/>
    <w:rsid w:val="00F01065"/>
    <w:rsid w:val="00F0148B"/>
    <w:rsid w:val="00F014A0"/>
    <w:rsid w:val="00F014AA"/>
    <w:rsid w:val="00F01D84"/>
    <w:rsid w:val="00F01FE9"/>
    <w:rsid w:val="00F02226"/>
    <w:rsid w:val="00F023DA"/>
    <w:rsid w:val="00F02408"/>
    <w:rsid w:val="00F02435"/>
    <w:rsid w:val="00F02941"/>
    <w:rsid w:val="00F02A67"/>
    <w:rsid w:val="00F02B21"/>
    <w:rsid w:val="00F03157"/>
    <w:rsid w:val="00F03399"/>
    <w:rsid w:val="00F035FB"/>
    <w:rsid w:val="00F03966"/>
    <w:rsid w:val="00F039FF"/>
    <w:rsid w:val="00F03B91"/>
    <w:rsid w:val="00F03C3D"/>
    <w:rsid w:val="00F03DC9"/>
    <w:rsid w:val="00F03E95"/>
    <w:rsid w:val="00F03F4D"/>
    <w:rsid w:val="00F03F58"/>
    <w:rsid w:val="00F04305"/>
    <w:rsid w:val="00F043F8"/>
    <w:rsid w:val="00F04428"/>
    <w:rsid w:val="00F04447"/>
    <w:rsid w:val="00F044C3"/>
    <w:rsid w:val="00F046EA"/>
    <w:rsid w:val="00F04C2E"/>
    <w:rsid w:val="00F053E5"/>
    <w:rsid w:val="00F054F2"/>
    <w:rsid w:val="00F055C7"/>
    <w:rsid w:val="00F0561B"/>
    <w:rsid w:val="00F05A3B"/>
    <w:rsid w:val="00F05B72"/>
    <w:rsid w:val="00F05E44"/>
    <w:rsid w:val="00F05F0B"/>
    <w:rsid w:val="00F06083"/>
    <w:rsid w:val="00F06322"/>
    <w:rsid w:val="00F063E0"/>
    <w:rsid w:val="00F063E2"/>
    <w:rsid w:val="00F06483"/>
    <w:rsid w:val="00F0656B"/>
    <w:rsid w:val="00F06756"/>
    <w:rsid w:val="00F067EE"/>
    <w:rsid w:val="00F06A31"/>
    <w:rsid w:val="00F06A41"/>
    <w:rsid w:val="00F06D28"/>
    <w:rsid w:val="00F07420"/>
    <w:rsid w:val="00F0747F"/>
    <w:rsid w:val="00F075EB"/>
    <w:rsid w:val="00F076AE"/>
    <w:rsid w:val="00F07BC8"/>
    <w:rsid w:val="00F07C8F"/>
    <w:rsid w:val="00F07CA9"/>
    <w:rsid w:val="00F07E67"/>
    <w:rsid w:val="00F1014F"/>
    <w:rsid w:val="00F10379"/>
    <w:rsid w:val="00F1047C"/>
    <w:rsid w:val="00F1070E"/>
    <w:rsid w:val="00F10931"/>
    <w:rsid w:val="00F10A0D"/>
    <w:rsid w:val="00F10C17"/>
    <w:rsid w:val="00F10F45"/>
    <w:rsid w:val="00F10FE8"/>
    <w:rsid w:val="00F11830"/>
    <w:rsid w:val="00F11A93"/>
    <w:rsid w:val="00F11E28"/>
    <w:rsid w:val="00F12025"/>
    <w:rsid w:val="00F121A9"/>
    <w:rsid w:val="00F12362"/>
    <w:rsid w:val="00F1288E"/>
    <w:rsid w:val="00F128D8"/>
    <w:rsid w:val="00F129B0"/>
    <w:rsid w:val="00F12A25"/>
    <w:rsid w:val="00F12E10"/>
    <w:rsid w:val="00F12E6C"/>
    <w:rsid w:val="00F12FB6"/>
    <w:rsid w:val="00F130F5"/>
    <w:rsid w:val="00F13264"/>
    <w:rsid w:val="00F1336F"/>
    <w:rsid w:val="00F13619"/>
    <w:rsid w:val="00F136A0"/>
    <w:rsid w:val="00F13CCB"/>
    <w:rsid w:val="00F13CF6"/>
    <w:rsid w:val="00F14771"/>
    <w:rsid w:val="00F149A7"/>
    <w:rsid w:val="00F14AEE"/>
    <w:rsid w:val="00F14AF2"/>
    <w:rsid w:val="00F14BC6"/>
    <w:rsid w:val="00F14DC9"/>
    <w:rsid w:val="00F14E47"/>
    <w:rsid w:val="00F14F2E"/>
    <w:rsid w:val="00F15219"/>
    <w:rsid w:val="00F15249"/>
    <w:rsid w:val="00F15E69"/>
    <w:rsid w:val="00F162D8"/>
    <w:rsid w:val="00F163AB"/>
    <w:rsid w:val="00F16CEF"/>
    <w:rsid w:val="00F16E01"/>
    <w:rsid w:val="00F17002"/>
    <w:rsid w:val="00F1700D"/>
    <w:rsid w:val="00F17038"/>
    <w:rsid w:val="00F17142"/>
    <w:rsid w:val="00F1725B"/>
    <w:rsid w:val="00F175F3"/>
    <w:rsid w:val="00F17B89"/>
    <w:rsid w:val="00F201DB"/>
    <w:rsid w:val="00F2036A"/>
    <w:rsid w:val="00F20768"/>
    <w:rsid w:val="00F20829"/>
    <w:rsid w:val="00F20929"/>
    <w:rsid w:val="00F20CA0"/>
    <w:rsid w:val="00F20D11"/>
    <w:rsid w:val="00F20F59"/>
    <w:rsid w:val="00F2139F"/>
    <w:rsid w:val="00F216FE"/>
    <w:rsid w:val="00F21704"/>
    <w:rsid w:val="00F21904"/>
    <w:rsid w:val="00F21A0E"/>
    <w:rsid w:val="00F21D94"/>
    <w:rsid w:val="00F22229"/>
    <w:rsid w:val="00F2226F"/>
    <w:rsid w:val="00F22320"/>
    <w:rsid w:val="00F22477"/>
    <w:rsid w:val="00F2265D"/>
    <w:rsid w:val="00F22B19"/>
    <w:rsid w:val="00F22D68"/>
    <w:rsid w:val="00F23370"/>
    <w:rsid w:val="00F236B8"/>
    <w:rsid w:val="00F23A05"/>
    <w:rsid w:val="00F23B1A"/>
    <w:rsid w:val="00F245E6"/>
    <w:rsid w:val="00F246F0"/>
    <w:rsid w:val="00F24746"/>
    <w:rsid w:val="00F24758"/>
    <w:rsid w:val="00F249D5"/>
    <w:rsid w:val="00F24D56"/>
    <w:rsid w:val="00F24E32"/>
    <w:rsid w:val="00F24E84"/>
    <w:rsid w:val="00F24EC0"/>
    <w:rsid w:val="00F252D5"/>
    <w:rsid w:val="00F2542F"/>
    <w:rsid w:val="00F257B4"/>
    <w:rsid w:val="00F25A25"/>
    <w:rsid w:val="00F25D3A"/>
    <w:rsid w:val="00F25D6B"/>
    <w:rsid w:val="00F25E4D"/>
    <w:rsid w:val="00F25F7B"/>
    <w:rsid w:val="00F26037"/>
    <w:rsid w:val="00F26227"/>
    <w:rsid w:val="00F265CA"/>
    <w:rsid w:val="00F26A5C"/>
    <w:rsid w:val="00F26D23"/>
    <w:rsid w:val="00F26E44"/>
    <w:rsid w:val="00F26EBD"/>
    <w:rsid w:val="00F26F2A"/>
    <w:rsid w:val="00F27094"/>
    <w:rsid w:val="00F27125"/>
    <w:rsid w:val="00F271DB"/>
    <w:rsid w:val="00F2746A"/>
    <w:rsid w:val="00F2776E"/>
    <w:rsid w:val="00F2784E"/>
    <w:rsid w:val="00F27B69"/>
    <w:rsid w:val="00F3015A"/>
    <w:rsid w:val="00F30379"/>
    <w:rsid w:val="00F3038E"/>
    <w:rsid w:val="00F3060E"/>
    <w:rsid w:val="00F3067A"/>
    <w:rsid w:val="00F30A97"/>
    <w:rsid w:val="00F31208"/>
    <w:rsid w:val="00F3157B"/>
    <w:rsid w:val="00F316C6"/>
    <w:rsid w:val="00F31A19"/>
    <w:rsid w:val="00F31A37"/>
    <w:rsid w:val="00F31B6D"/>
    <w:rsid w:val="00F31C2D"/>
    <w:rsid w:val="00F31CA1"/>
    <w:rsid w:val="00F31EEB"/>
    <w:rsid w:val="00F32165"/>
    <w:rsid w:val="00F324CF"/>
    <w:rsid w:val="00F3265D"/>
    <w:rsid w:val="00F3267E"/>
    <w:rsid w:val="00F3268F"/>
    <w:rsid w:val="00F32BBB"/>
    <w:rsid w:val="00F32D62"/>
    <w:rsid w:val="00F33080"/>
    <w:rsid w:val="00F3312B"/>
    <w:rsid w:val="00F3339B"/>
    <w:rsid w:val="00F33520"/>
    <w:rsid w:val="00F336D1"/>
    <w:rsid w:val="00F33739"/>
    <w:rsid w:val="00F3373C"/>
    <w:rsid w:val="00F33742"/>
    <w:rsid w:val="00F338A7"/>
    <w:rsid w:val="00F33B72"/>
    <w:rsid w:val="00F33E2B"/>
    <w:rsid w:val="00F33F18"/>
    <w:rsid w:val="00F34121"/>
    <w:rsid w:val="00F34157"/>
    <w:rsid w:val="00F342F1"/>
    <w:rsid w:val="00F34770"/>
    <w:rsid w:val="00F3498F"/>
    <w:rsid w:val="00F34A04"/>
    <w:rsid w:val="00F34A52"/>
    <w:rsid w:val="00F34B18"/>
    <w:rsid w:val="00F34F45"/>
    <w:rsid w:val="00F34F76"/>
    <w:rsid w:val="00F351C2"/>
    <w:rsid w:val="00F35374"/>
    <w:rsid w:val="00F357D0"/>
    <w:rsid w:val="00F3584A"/>
    <w:rsid w:val="00F358BF"/>
    <w:rsid w:val="00F35A91"/>
    <w:rsid w:val="00F35B40"/>
    <w:rsid w:val="00F35C4A"/>
    <w:rsid w:val="00F35E36"/>
    <w:rsid w:val="00F35EFC"/>
    <w:rsid w:val="00F360BE"/>
    <w:rsid w:val="00F36737"/>
    <w:rsid w:val="00F36801"/>
    <w:rsid w:val="00F3695F"/>
    <w:rsid w:val="00F36B61"/>
    <w:rsid w:val="00F36DF4"/>
    <w:rsid w:val="00F372E9"/>
    <w:rsid w:val="00F374FF"/>
    <w:rsid w:val="00F37568"/>
    <w:rsid w:val="00F37B48"/>
    <w:rsid w:val="00F40137"/>
    <w:rsid w:val="00F404A0"/>
    <w:rsid w:val="00F408D8"/>
    <w:rsid w:val="00F40B6D"/>
    <w:rsid w:val="00F40C88"/>
    <w:rsid w:val="00F411B0"/>
    <w:rsid w:val="00F412C4"/>
    <w:rsid w:val="00F412C9"/>
    <w:rsid w:val="00F41724"/>
    <w:rsid w:val="00F421D6"/>
    <w:rsid w:val="00F424DB"/>
    <w:rsid w:val="00F425AB"/>
    <w:rsid w:val="00F42664"/>
    <w:rsid w:val="00F42714"/>
    <w:rsid w:val="00F427B2"/>
    <w:rsid w:val="00F427CA"/>
    <w:rsid w:val="00F428F8"/>
    <w:rsid w:val="00F42B11"/>
    <w:rsid w:val="00F42BAF"/>
    <w:rsid w:val="00F42D6F"/>
    <w:rsid w:val="00F43048"/>
    <w:rsid w:val="00F4307C"/>
    <w:rsid w:val="00F4312D"/>
    <w:rsid w:val="00F43152"/>
    <w:rsid w:val="00F43189"/>
    <w:rsid w:val="00F43561"/>
    <w:rsid w:val="00F43754"/>
    <w:rsid w:val="00F438A5"/>
    <w:rsid w:val="00F439A6"/>
    <w:rsid w:val="00F43D21"/>
    <w:rsid w:val="00F43DE0"/>
    <w:rsid w:val="00F43FA1"/>
    <w:rsid w:val="00F440A8"/>
    <w:rsid w:val="00F4413A"/>
    <w:rsid w:val="00F44425"/>
    <w:rsid w:val="00F44486"/>
    <w:rsid w:val="00F44664"/>
    <w:rsid w:val="00F448AE"/>
    <w:rsid w:val="00F44A1D"/>
    <w:rsid w:val="00F44F79"/>
    <w:rsid w:val="00F45435"/>
    <w:rsid w:val="00F4571F"/>
    <w:rsid w:val="00F45895"/>
    <w:rsid w:val="00F45ACA"/>
    <w:rsid w:val="00F45D4E"/>
    <w:rsid w:val="00F4619A"/>
    <w:rsid w:val="00F46472"/>
    <w:rsid w:val="00F464A5"/>
    <w:rsid w:val="00F464EB"/>
    <w:rsid w:val="00F466C8"/>
    <w:rsid w:val="00F46AB9"/>
    <w:rsid w:val="00F46EFA"/>
    <w:rsid w:val="00F46EFC"/>
    <w:rsid w:val="00F47010"/>
    <w:rsid w:val="00F4705C"/>
    <w:rsid w:val="00F4755E"/>
    <w:rsid w:val="00F47622"/>
    <w:rsid w:val="00F476FD"/>
    <w:rsid w:val="00F47937"/>
    <w:rsid w:val="00F47B04"/>
    <w:rsid w:val="00F47DA2"/>
    <w:rsid w:val="00F5006C"/>
    <w:rsid w:val="00F50258"/>
    <w:rsid w:val="00F505BA"/>
    <w:rsid w:val="00F50999"/>
    <w:rsid w:val="00F50E12"/>
    <w:rsid w:val="00F50F35"/>
    <w:rsid w:val="00F511C3"/>
    <w:rsid w:val="00F512F0"/>
    <w:rsid w:val="00F5145B"/>
    <w:rsid w:val="00F51657"/>
    <w:rsid w:val="00F51D63"/>
    <w:rsid w:val="00F51F44"/>
    <w:rsid w:val="00F526EA"/>
    <w:rsid w:val="00F52814"/>
    <w:rsid w:val="00F5282A"/>
    <w:rsid w:val="00F52A6C"/>
    <w:rsid w:val="00F52E79"/>
    <w:rsid w:val="00F52EC7"/>
    <w:rsid w:val="00F53551"/>
    <w:rsid w:val="00F538D2"/>
    <w:rsid w:val="00F53E68"/>
    <w:rsid w:val="00F53EA7"/>
    <w:rsid w:val="00F53F88"/>
    <w:rsid w:val="00F54444"/>
    <w:rsid w:val="00F54845"/>
    <w:rsid w:val="00F54B1B"/>
    <w:rsid w:val="00F54CC5"/>
    <w:rsid w:val="00F54CF8"/>
    <w:rsid w:val="00F54ED5"/>
    <w:rsid w:val="00F54FEA"/>
    <w:rsid w:val="00F55070"/>
    <w:rsid w:val="00F55691"/>
    <w:rsid w:val="00F55771"/>
    <w:rsid w:val="00F55780"/>
    <w:rsid w:val="00F557A6"/>
    <w:rsid w:val="00F558D6"/>
    <w:rsid w:val="00F55FF0"/>
    <w:rsid w:val="00F56551"/>
    <w:rsid w:val="00F567E8"/>
    <w:rsid w:val="00F56B5D"/>
    <w:rsid w:val="00F56E7C"/>
    <w:rsid w:val="00F57218"/>
    <w:rsid w:val="00F572A7"/>
    <w:rsid w:val="00F576A9"/>
    <w:rsid w:val="00F578A7"/>
    <w:rsid w:val="00F579A6"/>
    <w:rsid w:val="00F579AD"/>
    <w:rsid w:val="00F57BD0"/>
    <w:rsid w:val="00F57C7A"/>
    <w:rsid w:val="00F57DEE"/>
    <w:rsid w:val="00F57E00"/>
    <w:rsid w:val="00F60307"/>
    <w:rsid w:val="00F6040B"/>
    <w:rsid w:val="00F60735"/>
    <w:rsid w:val="00F607ED"/>
    <w:rsid w:val="00F60936"/>
    <w:rsid w:val="00F609AA"/>
    <w:rsid w:val="00F60EC5"/>
    <w:rsid w:val="00F613BB"/>
    <w:rsid w:val="00F614AA"/>
    <w:rsid w:val="00F61669"/>
    <w:rsid w:val="00F61929"/>
    <w:rsid w:val="00F61996"/>
    <w:rsid w:val="00F61A5A"/>
    <w:rsid w:val="00F61B43"/>
    <w:rsid w:val="00F61DBE"/>
    <w:rsid w:val="00F6243E"/>
    <w:rsid w:val="00F6273E"/>
    <w:rsid w:val="00F62820"/>
    <w:rsid w:val="00F62966"/>
    <w:rsid w:val="00F62AC7"/>
    <w:rsid w:val="00F630C0"/>
    <w:rsid w:val="00F630C1"/>
    <w:rsid w:val="00F635AD"/>
    <w:rsid w:val="00F639C3"/>
    <w:rsid w:val="00F63BEB"/>
    <w:rsid w:val="00F6407A"/>
    <w:rsid w:val="00F641FA"/>
    <w:rsid w:val="00F6422F"/>
    <w:rsid w:val="00F6426B"/>
    <w:rsid w:val="00F6459A"/>
    <w:rsid w:val="00F6468B"/>
    <w:rsid w:val="00F64849"/>
    <w:rsid w:val="00F6489E"/>
    <w:rsid w:val="00F64996"/>
    <w:rsid w:val="00F64AF1"/>
    <w:rsid w:val="00F64BCD"/>
    <w:rsid w:val="00F64DCB"/>
    <w:rsid w:val="00F65090"/>
    <w:rsid w:val="00F65204"/>
    <w:rsid w:val="00F652B6"/>
    <w:rsid w:val="00F652D5"/>
    <w:rsid w:val="00F652ED"/>
    <w:rsid w:val="00F653AF"/>
    <w:rsid w:val="00F659CD"/>
    <w:rsid w:val="00F65A7F"/>
    <w:rsid w:val="00F65B20"/>
    <w:rsid w:val="00F65D5F"/>
    <w:rsid w:val="00F65E31"/>
    <w:rsid w:val="00F65E80"/>
    <w:rsid w:val="00F65F38"/>
    <w:rsid w:val="00F65F59"/>
    <w:rsid w:val="00F661C1"/>
    <w:rsid w:val="00F666E8"/>
    <w:rsid w:val="00F66786"/>
    <w:rsid w:val="00F668BF"/>
    <w:rsid w:val="00F668DD"/>
    <w:rsid w:val="00F669D9"/>
    <w:rsid w:val="00F66D8C"/>
    <w:rsid w:val="00F66F7B"/>
    <w:rsid w:val="00F67023"/>
    <w:rsid w:val="00F6731E"/>
    <w:rsid w:val="00F676D6"/>
    <w:rsid w:val="00F678F2"/>
    <w:rsid w:val="00F67947"/>
    <w:rsid w:val="00F679C2"/>
    <w:rsid w:val="00F67CB0"/>
    <w:rsid w:val="00F67D9F"/>
    <w:rsid w:val="00F70104"/>
    <w:rsid w:val="00F7034D"/>
    <w:rsid w:val="00F703C3"/>
    <w:rsid w:val="00F7046E"/>
    <w:rsid w:val="00F7051C"/>
    <w:rsid w:val="00F705C0"/>
    <w:rsid w:val="00F706BF"/>
    <w:rsid w:val="00F706E3"/>
    <w:rsid w:val="00F707F1"/>
    <w:rsid w:val="00F70BBC"/>
    <w:rsid w:val="00F70C20"/>
    <w:rsid w:val="00F70EA8"/>
    <w:rsid w:val="00F711B2"/>
    <w:rsid w:val="00F71530"/>
    <w:rsid w:val="00F718FA"/>
    <w:rsid w:val="00F71922"/>
    <w:rsid w:val="00F71CE3"/>
    <w:rsid w:val="00F71DC3"/>
    <w:rsid w:val="00F71EE6"/>
    <w:rsid w:val="00F71F85"/>
    <w:rsid w:val="00F72092"/>
    <w:rsid w:val="00F72250"/>
    <w:rsid w:val="00F7240C"/>
    <w:rsid w:val="00F72529"/>
    <w:rsid w:val="00F7252F"/>
    <w:rsid w:val="00F72888"/>
    <w:rsid w:val="00F72A9F"/>
    <w:rsid w:val="00F72B9B"/>
    <w:rsid w:val="00F72C89"/>
    <w:rsid w:val="00F72DEA"/>
    <w:rsid w:val="00F72F5C"/>
    <w:rsid w:val="00F7319A"/>
    <w:rsid w:val="00F731BD"/>
    <w:rsid w:val="00F73255"/>
    <w:rsid w:val="00F7350D"/>
    <w:rsid w:val="00F735C7"/>
    <w:rsid w:val="00F735F7"/>
    <w:rsid w:val="00F73B74"/>
    <w:rsid w:val="00F73CB2"/>
    <w:rsid w:val="00F7409B"/>
    <w:rsid w:val="00F7415A"/>
    <w:rsid w:val="00F742EF"/>
    <w:rsid w:val="00F7431F"/>
    <w:rsid w:val="00F745FE"/>
    <w:rsid w:val="00F74C00"/>
    <w:rsid w:val="00F74D8E"/>
    <w:rsid w:val="00F74EF8"/>
    <w:rsid w:val="00F74FC3"/>
    <w:rsid w:val="00F7526D"/>
    <w:rsid w:val="00F753EE"/>
    <w:rsid w:val="00F754F0"/>
    <w:rsid w:val="00F75AA7"/>
    <w:rsid w:val="00F75B00"/>
    <w:rsid w:val="00F75BDF"/>
    <w:rsid w:val="00F75D57"/>
    <w:rsid w:val="00F75EB4"/>
    <w:rsid w:val="00F75EE2"/>
    <w:rsid w:val="00F760E8"/>
    <w:rsid w:val="00F76151"/>
    <w:rsid w:val="00F7618E"/>
    <w:rsid w:val="00F7625E"/>
    <w:rsid w:val="00F762FB"/>
    <w:rsid w:val="00F764E5"/>
    <w:rsid w:val="00F76610"/>
    <w:rsid w:val="00F76770"/>
    <w:rsid w:val="00F767DC"/>
    <w:rsid w:val="00F7688F"/>
    <w:rsid w:val="00F76FA3"/>
    <w:rsid w:val="00F7702C"/>
    <w:rsid w:val="00F7708F"/>
    <w:rsid w:val="00F77736"/>
    <w:rsid w:val="00F7781A"/>
    <w:rsid w:val="00F77878"/>
    <w:rsid w:val="00F77B1F"/>
    <w:rsid w:val="00F77EF7"/>
    <w:rsid w:val="00F8007A"/>
    <w:rsid w:val="00F800E7"/>
    <w:rsid w:val="00F80298"/>
    <w:rsid w:val="00F804EA"/>
    <w:rsid w:val="00F80593"/>
    <w:rsid w:val="00F807C5"/>
    <w:rsid w:val="00F809E7"/>
    <w:rsid w:val="00F81212"/>
    <w:rsid w:val="00F813CD"/>
    <w:rsid w:val="00F814CA"/>
    <w:rsid w:val="00F81787"/>
    <w:rsid w:val="00F81D0F"/>
    <w:rsid w:val="00F81FE2"/>
    <w:rsid w:val="00F82320"/>
    <w:rsid w:val="00F82790"/>
    <w:rsid w:val="00F82D7B"/>
    <w:rsid w:val="00F82DA7"/>
    <w:rsid w:val="00F832C4"/>
    <w:rsid w:val="00F83BD7"/>
    <w:rsid w:val="00F83E2D"/>
    <w:rsid w:val="00F83E6D"/>
    <w:rsid w:val="00F8404A"/>
    <w:rsid w:val="00F840A0"/>
    <w:rsid w:val="00F843C9"/>
    <w:rsid w:val="00F843FA"/>
    <w:rsid w:val="00F84400"/>
    <w:rsid w:val="00F846DD"/>
    <w:rsid w:val="00F8485B"/>
    <w:rsid w:val="00F84B31"/>
    <w:rsid w:val="00F84C00"/>
    <w:rsid w:val="00F84EFA"/>
    <w:rsid w:val="00F85095"/>
    <w:rsid w:val="00F850B3"/>
    <w:rsid w:val="00F85176"/>
    <w:rsid w:val="00F851DC"/>
    <w:rsid w:val="00F853F8"/>
    <w:rsid w:val="00F855B5"/>
    <w:rsid w:val="00F856EB"/>
    <w:rsid w:val="00F857CE"/>
    <w:rsid w:val="00F85B38"/>
    <w:rsid w:val="00F8615F"/>
    <w:rsid w:val="00F8619A"/>
    <w:rsid w:val="00F861FD"/>
    <w:rsid w:val="00F867C2"/>
    <w:rsid w:val="00F869C5"/>
    <w:rsid w:val="00F86C6C"/>
    <w:rsid w:val="00F86E22"/>
    <w:rsid w:val="00F86EDB"/>
    <w:rsid w:val="00F8705A"/>
    <w:rsid w:val="00F87152"/>
    <w:rsid w:val="00F872D0"/>
    <w:rsid w:val="00F873B3"/>
    <w:rsid w:val="00F8745B"/>
    <w:rsid w:val="00F87905"/>
    <w:rsid w:val="00F87966"/>
    <w:rsid w:val="00F87B4B"/>
    <w:rsid w:val="00F87BC7"/>
    <w:rsid w:val="00F87D16"/>
    <w:rsid w:val="00F87ED0"/>
    <w:rsid w:val="00F90012"/>
    <w:rsid w:val="00F900BA"/>
    <w:rsid w:val="00F90136"/>
    <w:rsid w:val="00F9049E"/>
    <w:rsid w:val="00F905BF"/>
    <w:rsid w:val="00F9080A"/>
    <w:rsid w:val="00F90DA4"/>
    <w:rsid w:val="00F90E97"/>
    <w:rsid w:val="00F90F26"/>
    <w:rsid w:val="00F90F46"/>
    <w:rsid w:val="00F90FA0"/>
    <w:rsid w:val="00F90FF4"/>
    <w:rsid w:val="00F9107E"/>
    <w:rsid w:val="00F910D6"/>
    <w:rsid w:val="00F911E5"/>
    <w:rsid w:val="00F9125C"/>
    <w:rsid w:val="00F9154D"/>
    <w:rsid w:val="00F91934"/>
    <w:rsid w:val="00F91967"/>
    <w:rsid w:val="00F9198C"/>
    <w:rsid w:val="00F91A8C"/>
    <w:rsid w:val="00F91CDC"/>
    <w:rsid w:val="00F91F18"/>
    <w:rsid w:val="00F91F58"/>
    <w:rsid w:val="00F92171"/>
    <w:rsid w:val="00F924ED"/>
    <w:rsid w:val="00F924FB"/>
    <w:rsid w:val="00F92663"/>
    <w:rsid w:val="00F927C0"/>
    <w:rsid w:val="00F9280D"/>
    <w:rsid w:val="00F929C4"/>
    <w:rsid w:val="00F92B97"/>
    <w:rsid w:val="00F92D86"/>
    <w:rsid w:val="00F92E2F"/>
    <w:rsid w:val="00F930CA"/>
    <w:rsid w:val="00F932C1"/>
    <w:rsid w:val="00F93658"/>
    <w:rsid w:val="00F937F5"/>
    <w:rsid w:val="00F93B9D"/>
    <w:rsid w:val="00F93CA8"/>
    <w:rsid w:val="00F93DBF"/>
    <w:rsid w:val="00F94160"/>
    <w:rsid w:val="00F94181"/>
    <w:rsid w:val="00F942B8"/>
    <w:rsid w:val="00F94365"/>
    <w:rsid w:val="00F943DB"/>
    <w:rsid w:val="00F9458A"/>
    <w:rsid w:val="00F94644"/>
    <w:rsid w:val="00F94943"/>
    <w:rsid w:val="00F94B1C"/>
    <w:rsid w:val="00F94B89"/>
    <w:rsid w:val="00F94C72"/>
    <w:rsid w:val="00F94F67"/>
    <w:rsid w:val="00F94FAE"/>
    <w:rsid w:val="00F95249"/>
    <w:rsid w:val="00F95322"/>
    <w:rsid w:val="00F9534E"/>
    <w:rsid w:val="00F957BB"/>
    <w:rsid w:val="00F95906"/>
    <w:rsid w:val="00F9596E"/>
    <w:rsid w:val="00F95D89"/>
    <w:rsid w:val="00F95EB6"/>
    <w:rsid w:val="00F95EF8"/>
    <w:rsid w:val="00F961BB"/>
    <w:rsid w:val="00F962DA"/>
    <w:rsid w:val="00F96312"/>
    <w:rsid w:val="00F964DE"/>
    <w:rsid w:val="00F966BE"/>
    <w:rsid w:val="00F96B22"/>
    <w:rsid w:val="00F96C4D"/>
    <w:rsid w:val="00F96EEB"/>
    <w:rsid w:val="00F97130"/>
    <w:rsid w:val="00F97351"/>
    <w:rsid w:val="00F97636"/>
    <w:rsid w:val="00F97850"/>
    <w:rsid w:val="00F97912"/>
    <w:rsid w:val="00F979C0"/>
    <w:rsid w:val="00F97E9F"/>
    <w:rsid w:val="00F97EF9"/>
    <w:rsid w:val="00FA0065"/>
    <w:rsid w:val="00FA029D"/>
    <w:rsid w:val="00FA0425"/>
    <w:rsid w:val="00FA08D6"/>
    <w:rsid w:val="00FA0983"/>
    <w:rsid w:val="00FA0A9D"/>
    <w:rsid w:val="00FA0C42"/>
    <w:rsid w:val="00FA0DB0"/>
    <w:rsid w:val="00FA0DFD"/>
    <w:rsid w:val="00FA1033"/>
    <w:rsid w:val="00FA103D"/>
    <w:rsid w:val="00FA118F"/>
    <w:rsid w:val="00FA1201"/>
    <w:rsid w:val="00FA1452"/>
    <w:rsid w:val="00FA14F6"/>
    <w:rsid w:val="00FA161C"/>
    <w:rsid w:val="00FA1743"/>
    <w:rsid w:val="00FA17B7"/>
    <w:rsid w:val="00FA17C0"/>
    <w:rsid w:val="00FA187F"/>
    <w:rsid w:val="00FA1939"/>
    <w:rsid w:val="00FA1A0F"/>
    <w:rsid w:val="00FA1E60"/>
    <w:rsid w:val="00FA1F1F"/>
    <w:rsid w:val="00FA202D"/>
    <w:rsid w:val="00FA218A"/>
    <w:rsid w:val="00FA23CE"/>
    <w:rsid w:val="00FA2D82"/>
    <w:rsid w:val="00FA305E"/>
    <w:rsid w:val="00FA309C"/>
    <w:rsid w:val="00FA3236"/>
    <w:rsid w:val="00FA335A"/>
    <w:rsid w:val="00FA3650"/>
    <w:rsid w:val="00FA370D"/>
    <w:rsid w:val="00FA3891"/>
    <w:rsid w:val="00FA3AD8"/>
    <w:rsid w:val="00FA3D32"/>
    <w:rsid w:val="00FA3E8C"/>
    <w:rsid w:val="00FA3EB0"/>
    <w:rsid w:val="00FA3ECA"/>
    <w:rsid w:val="00FA437D"/>
    <w:rsid w:val="00FA4391"/>
    <w:rsid w:val="00FA44E5"/>
    <w:rsid w:val="00FA46B8"/>
    <w:rsid w:val="00FA4775"/>
    <w:rsid w:val="00FA47B7"/>
    <w:rsid w:val="00FA4999"/>
    <w:rsid w:val="00FA4A4D"/>
    <w:rsid w:val="00FA4C2B"/>
    <w:rsid w:val="00FA4D26"/>
    <w:rsid w:val="00FA4D28"/>
    <w:rsid w:val="00FA4E88"/>
    <w:rsid w:val="00FA4F9A"/>
    <w:rsid w:val="00FA5078"/>
    <w:rsid w:val="00FA50AE"/>
    <w:rsid w:val="00FA5179"/>
    <w:rsid w:val="00FA5278"/>
    <w:rsid w:val="00FA5282"/>
    <w:rsid w:val="00FA550C"/>
    <w:rsid w:val="00FA5770"/>
    <w:rsid w:val="00FA594C"/>
    <w:rsid w:val="00FA5A1D"/>
    <w:rsid w:val="00FA5AD2"/>
    <w:rsid w:val="00FA5B18"/>
    <w:rsid w:val="00FA5ED4"/>
    <w:rsid w:val="00FA60E0"/>
    <w:rsid w:val="00FA6591"/>
    <w:rsid w:val="00FA660F"/>
    <w:rsid w:val="00FA6CBE"/>
    <w:rsid w:val="00FA74DD"/>
    <w:rsid w:val="00FA7557"/>
    <w:rsid w:val="00FA7A95"/>
    <w:rsid w:val="00FB0070"/>
    <w:rsid w:val="00FB0106"/>
    <w:rsid w:val="00FB011A"/>
    <w:rsid w:val="00FB0258"/>
    <w:rsid w:val="00FB0298"/>
    <w:rsid w:val="00FB0487"/>
    <w:rsid w:val="00FB0562"/>
    <w:rsid w:val="00FB0672"/>
    <w:rsid w:val="00FB0B0A"/>
    <w:rsid w:val="00FB0EE1"/>
    <w:rsid w:val="00FB0F0E"/>
    <w:rsid w:val="00FB1102"/>
    <w:rsid w:val="00FB17AC"/>
    <w:rsid w:val="00FB19C9"/>
    <w:rsid w:val="00FB1A00"/>
    <w:rsid w:val="00FB1BD7"/>
    <w:rsid w:val="00FB1C0D"/>
    <w:rsid w:val="00FB1C66"/>
    <w:rsid w:val="00FB1CD6"/>
    <w:rsid w:val="00FB1E0E"/>
    <w:rsid w:val="00FB202A"/>
    <w:rsid w:val="00FB20EB"/>
    <w:rsid w:val="00FB21AA"/>
    <w:rsid w:val="00FB22EA"/>
    <w:rsid w:val="00FB2344"/>
    <w:rsid w:val="00FB23D8"/>
    <w:rsid w:val="00FB2579"/>
    <w:rsid w:val="00FB25F0"/>
    <w:rsid w:val="00FB2C11"/>
    <w:rsid w:val="00FB2C72"/>
    <w:rsid w:val="00FB2D35"/>
    <w:rsid w:val="00FB2E58"/>
    <w:rsid w:val="00FB3307"/>
    <w:rsid w:val="00FB3470"/>
    <w:rsid w:val="00FB3C10"/>
    <w:rsid w:val="00FB3C2C"/>
    <w:rsid w:val="00FB3D56"/>
    <w:rsid w:val="00FB4585"/>
    <w:rsid w:val="00FB4691"/>
    <w:rsid w:val="00FB4798"/>
    <w:rsid w:val="00FB47A2"/>
    <w:rsid w:val="00FB482D"/>
    <w:rsid w:val="00FB490D"/>
    <w:rsid w:val="00FB4B3D"/>
    <w:rsid w:val="00FB4D39"/>
    <w:rsid w:val="00FB4ECB"/>
    <w:rsid w:val="00FB5325"/>
    <w:rsid w:val="00FB5625"/>
    <w:rsid w:val="00FB56C6"/>
    <w:rsid w:val="00FB5704"/>
    <w:rsid w:val="00FB57CC"/>
    <w:rsid w:val="00FB589A"/>
    <w:rsid w:val="00FB59F7"/>
    <w:rsid w:val="00FB5AD9"/>
    <w:rsid w:val="00FB626C"/>
    <w:rsid w:val="00FB65A3"/>
    <w:rsid w:val="00FB65E7"/>
    <w:rsid w:val="00FB678D"/>
    <w:rsid w:val="00FB6878"/>
    <w:rsid w:val="00FB6A4B"/>
    <w:rsid w:val="00FB6AA6"/>
    <w:rsid w:val="00FB6EF2"/>
    <w:rsid w:val="00FB6FAB"/>
    <w:rsid w:val="00FB70A1"/>
    <w:rsid w:val="00FB74BD"/>
    <w:rsid w:val="00FB750B"/>
    <w:rsid w:val="00FB75E5"/>
    <w:rsid w:val="00FB762B"/>
    <w:rsid w:val="00FB7720"/>
    <w:rsid w:val="00FC00C6"/>
    <w:rsid w:val="00FC02DB"/>
    <w:rsid w:val="00FC0424"/>
    <w:rsid w:val="00FC04B4"/>
    <w:rsid w:val="00FC0519"/>
    <w:rsid w:val="00FC058A"/>
    <w:rsid w:val="00FC061D"/>
    <w:rsid w:val="00FC09A0"/>
    <w:rsid w:val="00FC0D2F"/>
    <w:rsid w:val="00FC0DB6"/>
    <w:rsid w:val="00FC13EC"/>
    <w:rsid w:val="00FC1475"/>
    <w:rsid w:val="00FC147D"/>
    <w:rsid w:val="00FC16BA"/>
    <w:rsid w:val="00FC1867"/>
    <w:rsid w:val="00FC1868"/>
    <w:rsid w:val="00FC1A3D"/>
    <w:rsid w:val="00FC1BF0"/>
    <w:rsid w:val="00FC1D6E"/>
    <w:rsid w:val="00FC2175"/>
    <w:rsid w:val="00FC2263"/>
    <w:rsid w:val="00FC2299"/>
    <w:rsid w:val="00FC253A"/>
    <w:rsid w:val="00FC25FB"/>
    <w:rsid w:val="00FC2796"/>
    <w:rsid w:val="00FC2806"/>
    <w:rsid w:val="00FC2896"/>
    <w:rsid w:val="00FC29AA"/>
    <w:rsid w:val="00FC2C2E"/>
    <w:rsid w:val="00FC2C88"/>
    <w:rsid w:val="00FC2EBF"/>
    <w:rsid w:val="00FC2F6D"/>
    <w:rsid w:val="00FC2F77"/>
    <w:rsid w:val="00FC3188"/>
    <w:rsid w:val="00FC32B0"/>
    <w:rsid w:val="00FC330E"/>
    <w:rsid w:val="00FC336F"/>
    <w:rsid w:val="00FC34F2"/>
    <w:rsid w:val="00FC3593"/>
    <w:rsid w:val="00FC37C0"/>
    <w:rsid w:val="00FC39A5"/>
    <w:rsid w:val="00FC3A94"/>
    <w:rsid w:val="00FC3E1F"/>
    <w:rsid w:val="00FC40B7"/>
    <w:rsid w:val="00FC442B"/>
    <w:rsid w:val="00FC4621"/>
    <w:rsid w:val="00FC491E"/>
    <w:rsid w:val="00FC4A09"/>
    <w:rsid w:val="00FC4ADA"/>
    <w:rsid w:val="00FC4B0C"/>
    <w:rsid w:val="00FC4C4C"/>
    <w:rsid w:val="00FC4D2E"/>
    <w:rsid w:val="00FC4FB8"/>
    <w:rsid w:val="00FC4FC5"/>
    <w:rsid w:val="00FC51BA"/>
    <w:rsid w:val="00FC51DE"/>
    <w:rsid w:val="00FC524C"/>
    <w:rsid w:val="00FC53B6"/>
    <w:rsid w:val="00FC54D0"/>
    <w:rsid w:val="00FC58EB"/>
    <w:rsid w:val="00FC58F3"/>
    <w:rsid w:val="00FC595B"/>
    <w:rsid w:val="00FC59E1"/>
    <w:rsid w:val="00FC5A0F"/>
    <w:rsid w:val="00FC5C2F"/>
    <w:rsid w:val="00FC5C30"/>
    <w:rsid w:val="00FC6559"/>
    <w:rsid w:val="00FC6620"/>
    <w:rsid w:val="00FC66C7"/>
    <w:rsid w:val="00FC69B8"/>
    <w:rsid w:val="00FC6AFE"/>
    <w:rsid w:val="00FC6F37"/>
    <w:rsid w:val="00FC6F85"/>
    <w:rsid w:val="00FC6FA1"/>
    <w:rsid w:val="00FC727D"/>
    <w:rsid w:val="00FC7490"/>
    <w:rsid w:val="00FC7534"/>
    <w:rsid w:val="00FC75F3"/>
    <w:rsid w:val="00FC795E"/>
    <w:rsid w:val="00FC798C"/>
    <w:rsid w:val="00FC7ACB"/>
    <w:rsid w:val="00FC7E05"/>
    <w:rsid w:val="00FC7E7B"/>
    <w:rsid w:val="00FC7F71"/>
    <w:rsid w:val="00FD002C"/>
    <w:rsid w:val="00FD0067"/>
    <w:rsid w:val="00FD0264"/>
    <w:rsid w:val="00FD0322"/>
    <w:rsid w:val="00FD0440"/>
    <w:rsid w:val="00FD0463"/>
    <w:rsid w:val="00FD0BD0"/>
    <w:rsid w:val="00FD0C6D"/>
    <w:rsid w:val="00FD0CAB"/>
    <w:rsid w:val="00FD0E4F"/>
    <w:rsid w:val="00FD0EA5"/>
    <w:rsid w:val="00FD0EF7"/>
    <w:rsid w:val="00FD11B0"/>
    <w:rsid w:val="00FD1268"/>
    <w:rsid w:val="00FD15F1"/>
    <w:rsid w:val="00FD17F9"/>
    <w:rsid w:val="00FD1957"/>
    <w:rsid w:val="00FD216A"/>
    <w:rsid w:val="00FD2412"/>
    <w:rsid w:val="00FD25A4"/>
    <w:rsid w:val="00FD27D8"/>
    <w:rsid w:val="00FD283B"/>
    <w:rsid w:val="00FD28D4"/>
    <w:rsid w:val="00FD28F0"/>
    <w:rsid w:val="00FD2A53"/>
    <w:rsid w:val="00FD2CD5"/>
    <w:rsid w:val="00FD2DE7"/>
    <w:rsid w:val="00FD2DED"/>
    <w:rsid w:val="00FD2E15"/>
    <w:rsid w:val="00FD3047"/>
    <w:rsid w:val="00FD314B"/>
    <w:rsid w:val="00FD3152"/>
    <w:rsid w:val="00FD325A"/>
    <w:rsid w:val="00FD33AB"/>
    <w:rsid w:val="00FD33BE"/>
    <w:rsid w:val="00FD34CE"/>
    <w:rsid w:val="00FD34CF"/>
    <w:rsid w:val="00FD3517"/>
    <w:rsid w:val="00FD3734"/>
    <w:rsid w:val="00FD389F"/>
    <w:rsid w:val="00FD3969"/>
    <w:rsid w:val="00FD3D59"/>
    <w:rsid w:val="00FD3F4D"/>
    <w:rsid w:val="00FD4189"/>
    <w:rsid w:val="00FD41F1"/>
    <w:rsid w:val="00FD4342"/>
    <w:rsid w:val="00FD4466"/>
    <w:rsid w:val="00FD4598"/>
    <w:rsid w:val="00FD4A46"/>
    <w:rsid w:val="00FD4C07"/>
    <w:rsid w:val="00FD4F89"/>
    <w:rsid w:val="00FD51B2"/>
    <w:rsid w:val="00FD5299"/>
    <w:rsid w:val="00FD5347"/>
    <w:rsid w:val="00FD53DA"/>
    <w:rsid w:val="00FD5578"/>
    <w:rsid w:val="00FD57B4"/>
    <w:rsid w:val="00FD5BF9"/>
    <w:rsid w:val="00FD5DDA"/>
    <w:rsid w:val="00FD5FC1"/>
    <w:rsid w:val="00FD5FDF"/>
    <w:rsid w:val="00FD610F"/>
    <w:rsid w:val="00FD65D8"/>
    <w:rsid w:val="00FD681C"/>
    <w:rsid w:val="00FD68D6"/>
    <w:rsid w:val="00FD6A3E"/>
    <w:rsid w:val="00FD6B02"/>
    <w:rsid w:val="00FD6EDC"/>
    <w:rsid w:val="00FD7297"/>
    <w:rsid w:val="00FD7328"/>
    <w:rsid w:val="00FD7984"/>
    <w:rsid w:val="00FD7A2F"/>
    <w:rsid w:val="00FD7B01"/>
    <w:rsid w:val="00FD7B61"/>
    <w:rsid w:val="00FD7CBE"/>
    <w:rsid w:val="00FD7D57"/>
    <w:rsid w:val="00FD7E8F"/>
    <w:rsid w:val="00FE0204"/>
    <w:rsid w:val="00FE02D4"/>
    <w:rsid w:val="00FE041B"/>
    <w:rsid w:val="00FE06CE"/>
    <w:rsid w:val="00FE0747"/>
    <w:rsid w:val="00FE07BC"/>
    <w:rsid w:val="00FE084C"/>
    <w:rsid w:val="00FE0903"/>
    <w:rsid w:val="00FE091D"/>
    <w:rsid w:val="00FE0B3D"/>
    <w:rsid w:val="00FE0C1E"/>
    <w:rsid w:val="00FE0D34"/>
    <w:rsid w:val="00FE0F69"/>
    <w:rsid w:val="00FE11C3"/>
    <w:rsid w:val="00FE11F9"/>
    <w:rsid w:val="00FE1521"/>
    <w:rsid w:val="00FE1588"/>
    <w:rsid w:val="00FE15F3"/>
    <w:rsid w:val="00FE161B"/>
    <w:rsid w:val="00FE18A0"/>
    <w:rsid w:val="00FE2177"/>
    <w:rsid w:val="00FE251A"/>
    <w:rsid w:val="00FE256A"/>
    <w:rsid w:val="00FE262E"/>
    <w:rsid w:val="00FE2888"/>
    <w:rsid w:val="00FE28AD"/>
    <w:rsid w:val="00FE2AE6"/>
    <w:rsid w:val="00FE3038"/>
    <w:rsid w:val="00FE3122"/>
    <w:rsid w:val="00FE3172"/>
    <w:rsid w:val="00FE32B6"/>
    <w:rsid w:val="00FE364F"/>
    <w:rsid w:val="00FE369A"/>
    <w:rsid w:val="00FE379F"/>
    <w:rsid w:val="00FE3829"/>
    <w:rsid w:val="00FE383B"/>
    <w:rsid w:val="00FE3950"/>
    <w:rsid w:val="00FE3F04"/>
    <w:rsid w:val="00FE4016"/>
    <w:rsid w:val="00FE4168"/>
    <w:rsid w:val="00FE4484"/>
    <w:rsid w:val="00FE4546"/>
    <w:rsid w:val="00FE4705"/>
    <w:rsid w:val="00FE4742"/>
    <w:rsid w:val="00FE4873"/>
    <w:rsid w:val="00FE499C"/>
    <w:rsid w:val="00FE49CA"/>
    <w:rsid w:val="00FE49D6"/>
    <w:rsid w:val="00FE4AFC"/>
    <w:rsid w:val="00FE4DDB"/>
    <w:rsid w:val="00FE4E83"/>
    <w:rsid w:val="00FE4F0B"/>
    <w:rsid w:val="00FE504F"/>
    <w:rsid w:val="00FE537B"/>
    <w:rsid w:val="00FE54F5"/>
    <w:rsid w:val="00FE5916"/>
    <w:rsid w:val="00FE5A93"/>
    <w:rsid w:val="00FE5AB7"/>
    <w:rsid w:val="00FE5EB9"/>
    <w:rsid w:val="00FE5F02"/>
    <w:rsid w:val="00FE5F2E"/>
    <w:rsid w:val="00FE601B"/>
    <w:rsid w:val="00FE62F9"/>
    <w:rsid w:val="00FE656E"/>
    <w:rsid w:val="00FE6A56"/>
    <w:rsid w:val="00FE6AE9"/>
    <w:rsid w:val="00FE6B81"/>
    <w:rsid w:val="00FE6D29"/>
    <w:rsid w:val="00FE7187"/>
    <w:rsid w:val="00FE72FD"/>
    <w:rsid w:val="00FE7486"/>
    <w:rsid w:val="00FE7647"/>
    <w:rsid w:val="00FE76AC"/>
    <w:rsid w:val="00FE76C3"/>
    <w:rsid w:val="00FE76C4"/>
    <w:rsid w:val="00FE7884"/>
    <w:rsid w:val="00FE7907"/>
    <w:rsid w:val="00FE795C"/>
    <w:rsid w:val="00FF04FB"/>
    <w:rsid w:val="00FF0885"/>
    <w:rsid w:val="00FF09DA"/>
    <w:rsid w:val="00FF0D25"/>
    <w:rsid w:val="00FF0E70"/>
    <w:rsid w:val="00FF0F2E"/>
    <w:rsid w:val="00FF11AA"/>
    <w:rsid w:val="00FF12AE"/>
    <w:rsid w:val="00FF1310"/>
    <w:rsid w:val="00FF1409"/>
    <w:rsid w:val="00FF149E"/>
    <w:rsid w:val="00FF14FA"/>
    <w:rsid w:val="00FF15B8"/>
    <w:rsid w:val="00FF1661"/>
    <w:rsid w:val="00FF1847"/>
    <w:rsid w:val="00FF1900"/>
    <w:rsid w:val="00FF1A49"/>
    <w:rsid w:val="00FF1A54"/>
    <w:rsid w:val="00FF1BD8"/>
    <w:rsid w:val="00FF2B36"/>
    <w:rsid w:val="00FF3084"/>
    <w:rsid w:val="00FF3289"/>
    <w:rsid w:val="00FF341F"/>
    <w:rsid w:val="00FF35F2"/>
    <w:rsid w:val="00FF3899"/>
    <w:rsid w:val="00FF3A03"/>
    <w:rsid w:val="00FF3A85"/>
    <w:rsid w:val="00FF3F47"/>
    <w:rsid w:val="00FF4025"/>
    <w:rsid w:val="00FF402F"/>
    <w:rsid w:val="00FF41C6"/>
    <w:rsid w:val="00FF44E4"/>
    <w:rsid w:val="00FF48DF"/>
    <w:rsid w:val="00FF4932"/>
    <w:rsid w:val="00FF4A27"/>
    <w:rsid w:val="00FF5259"/>
    <w:rsid w:val="00FF54A5"/>
    <w:rsid w:val="00FF573D"/>
    <w:rsid w:val="00FF5C25"/>
    <w:rsid w:val="00FF5F8B"/>
    <w:rsid w:val="00FF62E3"/>
    <w:rsid w:val="00FF6895"/>
    <w:rsid w:val="00FF6C42"/>
    <w:rsid w:val="00FF6D68"/>
    <w:rsid w:val="00FF6FB3"/>
    <w:rsid w:val="00FF70E3"/>
    <w:rsid w:val="00FF710F"/>
    <w:rsid w:val="00FF73D8"/>
    <w:rsid w:val="00FF7774"/>
    <w:rsid w:val="00FF7796"/>
    <w:rsid w:val="00FF77A7"/>
    <w:rsid w:val="00FF78D7"/>
    <w:rsid w:val="00FF7B49"/>
    <w:rsid w:val="00FF7C14"/>
    <w:rsid w:val="00FF7CCF"/>
    <w:rsid w:val="2D0122F2"/>
    <w:rsid w:val="2F0A1F10"/>
    <w:rsid w:val="335C4115"/>
    <w:rsid w:val="3E7B975F"/>
    <w:rsid w:val="4258D1B6"/>
    <w:rsid w:val="4E1E49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E108E"/>
  <w15:docId w15:val="{2EA738BC-4DB2-4978-A96F-5A33E5FE0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YInterstate Light" w:eastAsia="Times New Roman" w:hAnsi="EYInterstate Light"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822EB"/>
    <w:pPr>
      <w:autoSpaceDE w:val="0"/>
      <w:autoSpaceDN w:val="0"/>
      <w:adjustRightInd w:val="0"/>
    </w:pPr>
    <w:rPr>
      <w:lang w:val="en-AU"/>
    </w:rPr>
  </w:style>
  <w:style w:type="paragraph" w:styleId="Heading1">
    <w:name w:val="heading 1"/>
    <w:basedOn w:val="Normal"/>
    <w:next w:val="EYBodytextwithparaspace"/>
    <w:rsid w:val="00F84400"/>
    <w:pPr>
      <w:keepNext/>
      <w:tabs>
        <w:tab w:val="left" w:pos="720"/>
      </w:tabs>
      <w:spacing w:after="240"/>
      <w:outlineLvl w:val="0"/>
    </w:pPr>
    <w:rPr>
      <w:b/>
      <w:bCs/>
      <w:sz w:val="32"/>
      <w:szCs w:val="24"/>
    </w:rPr>
  </w:style>
  <w:style w:type="paragraph" w:styleId="Heading2">
    <w:name w:val="heading 2"/>
    <w:basedOn w:val="Normal"/>
    <w:next w:val="EYBodytextwithparaspace"/>
    <w:rsid w:val="00F84400"/>
    <w:pPr>
      <w:keepNext/>
      <w:spacing w:after="120"/>
      <w:outlineLvl w:val="1"/>
    </w:pPr>
    <w:rPr>
      <w:rFonts w:cs="Arial"/>
      <w:b/>
      <w:bCs/>
      <w:iCs/>
      <w:sz w:val="28"/>
    </w:rPr>
  </w:style>
  <w:style w:type="paragraph" w:styleId="Heading3">
    <w:name w:val="heading 3"/>
    <w:basedOn w:val="Normal"/>
    <w:next w:val="EYBodytextwithparaspace"/>
    <w:rsid w:val="00F84400"/>
    <w:pPr>
      <w:keepNext/>
      <w:spacing w:after="120"/>
      <w:outlineLvl w:val="2"/>
    </w:pPr>
    <w:rPr>
      <w:rFonts w:cs="Arial"/>
      <w:b/>
      <w:bCs/>
      <w:sz w:val="24"/>
    </w:rPr>
  </w:style>
  <w:style w:type="paragraph" w:styleId="Heading4">
    <w:name w:val="heading 4"/>
    <w:basedOn w:val="Normal"/>
    <w:next w:val="EYBodytextwithparaspace"/>
    <w:link w:val="Heading4Char"/>
    <w:rsid w:val="00F84400"/>
    <w:pPr>
      <w:spacing w:after="120"/>
      <w:outlineLvl w:val="3"/>
    </w:pPr>
    <w:rPr>
      <w:color w:val="000000"/>
      <w:sz w:val="24"/>
    </w:rPr>
  </w:style>
  <w:style w:type="paragraph" w:styleId="Heading5">
    <w:name w:val="heading 5"/>
    <w:basedOn w:val="Normal"/>
    <w:next w:val="EYBodytextwithparaspace"/>
    <w:link w:val="Heading5Char"/>
    <w:rsid w:val="00F84400"/>
    <w:pPr>
      <w:spacing w:after="120"/>
      <w:outlineLvl w:val="4"/>
    </w:pPr>
    <w:rPr>
      <w:b/>
      <w:sz w:val="22"/>
    </w:rPr>
  </w:style>
  <w:style w:type="paragraph" w:styleId="Heading6">
    <w:name w:val="heading 6"/>
    <w:basedOn w:val="Normal"/>
    <w:next w:val="EYBodytextwithparaspace"/>
    <w:link w:val="Heading6Char"/>
    <w:rsid w:val="00F84400"/>
    <w:pPr>
      <w:outlineLvl w:val="5"/>
    </w:pPr>
    <w:rPr>
      <w:sz w:val="22"/>
    </w:rPr>
  </w:style>
  <w:style w:type="paragraph" w:styleId="Heading7">
    <w:name w:val="heading 7"/>
    <w:basedOn w:val="Normal"/>
    <w:next w:val="EYBodytextwithparaspace"/>
    <w:link w:val="Heading7Char"/>
    <w:rsid w:val="00F84400"/>
    <w:pPr>
      <w:spacing w:after="120"/>
      <w:outlineLvl w:val="6"/>
    </w:pPr>
    <w:rPr>
      <w:b/>
    </w:rPr>
  </w:style>
  <w:style w:type="paragraph" w:styleId="Heading8">
    <w:name w:val="heading 8"/>
    <w:basedOn w:val="Normal"/>
    <w:next w:val="EYBodytextwithparaspace"/>
    <w:link w:val="Heading8Char"/>
    <w:rsid w:val="00F84400"/>
    <w:pPr>
      <w:spacing w:after="120"/>
      <w:outlineLvl w:val="7"/>
    </w:pPr>
  </w:style>
  <w:style w:type="paragraph" w:styleId="Heading9">
    <w:name w:val="heading 9"/>
    <w:basedOn w:val="Normal"/>
    <w:next w:val="EYBodytextwithparaspace"/>
    <w:link w:val="Heading9Char"/>
    <w:rsid w:val="00F84400"/>
    <w:pPr>
      <w:outlineLvl w:val="8"/>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YBodytextwithparaspace">
    <w:name w:val="EY Body text (with para space)"/>
    <w:basedOn w:val="EYLeader"/>
    <w:link w:val="EYBodytextwithparaspaceChar"/>
    <w:qFormat/>
    <w:rsid w:val="00A577AC"/>
    <w:pPr>
      <w:spacing w:after="120"/>
    </w:pPr>
    <w:rPr>
      <w:color w:val="000000" w:themeColor="background2"/>
      <w:sz w:val="20"/>
    </w:rPr>
  </w:style>
  <w:style w:type="paragraph" w:customStyle="1" w:styleId="EYBodytextwithoutparaspace">
    <w:name w:val="EY Body text (without para space)"/>
    <w:basedOn w:val="EYNormal"/>
    <w:qFormat/>
    <w:rsid w:val="00353B3B"/>
    <w:pPr>
      <w:spacing w:after="280"/>
    </w:pPr>
  </w:style>
  <w:style w:type="paragraph" w:styleId="Footer">
    <w:name w:val="footer"/>
    <w:aliases w:val="EY Footer"/>
    <w:basedOn w:val="EYNormal"/>
    <w:link w:val="FooterChar"/>
    <w:rsid w:val="00F84400"/>
    <w:pPr>
      <w:widowControl w:val="0"/>
      <w:tabs>
        <w:tab w:val="center" w:pos="4320"/>
        <w:tab w:val="right" w:pos="8640"/>
      </w:tabs>
    </w:pPr>
    <w:rPr>
      <w:sz w:val="16"/>
    </w:rPr>
  </w:style>
  <w:style w:type="character" w:customStyle="1" w:styleId="FooterChar">
    <w:name w:val="Footer Char"/>
    <w:aliases w:val="EY Footer Char"/>
    <w:basedOn w:val="DefaultParagraphFont"/>
    <w:link w:val="Footer"/>
    <w:rsid w:val="00F84400"/>
    <w:rPr>
      <w:rFonts w:ascii="EYInterstate Light" w:hAnsi="EYInterstate Light"/>
      <w:sz w:val="16"/>
      <w:lang w:val="en-AU"/>
    </w:rPr>
  </w:style>
  <w:style w:type="paragraph" w:customStyle="1" w:styleId="EYAppendix">
    <w:name w:val="EY Appendix"/>
    <w:basedOn w:val="EYNormal"/>
    <w:next w:val="EYBodytextwithparaspace"/>
    <w:qFormat/>
    <w:rsid w:val="00C3591C"/>
    <w:pPr>
      <w:numPr>
        <w:numId w:val="2"/>
      </w:numPr>
      <w:autoSpaceDE/>
      <w:autoSpaceDN/>
      <w:adjustRightInd/>
      <w:spacing w:after="360"/>
      <w:outlineLvl w:val="0"/>
    </w:pPr>
    <w:rPr>
      <w:b/>
      <w:color w:val="747480"/>
      <w:sz w:val="32"/>
      <w:szCs w:val="24"/>
    </w:rPr>
  </w:style>
  <w:style w:type="paragraph" w:styleId="Header">
    <w:name w:val="header"/>
    <w:basedOn w:val="EYNormal"/>
    <w:link w:val="HeaderChar"/>
    <w:rsid w:val="00F84400"/>
    <w:pPr>
      <w:tabs>
        <w:tab w:val="center" w:pos="4513"/>
        <w:tab w:val="right" w:pos="9026"/>
      </w:tabs>
    </w:pPr>
    <w:rPr>
      <w:sz w:val="16"/>
    </w:rPr>
  </w:style>
  <w:style w:type="character" w:customStyle="1" w:styleId="HeaderChar">
    <w:name w:val="Header Char"/>
    <w:basedOn w:val="DefaultParagraphFont"/>
    <w:link w:val="Header"/>
    <w:rsid w:val="00F84400"/>
    <w:rPr>
      <w:rFonts w:ascii="EYInterstate Light" w:hAnsi="EYInterstate Light"/>
      <w:sz w:val="16"/>
      <w:lang w:val="en-AU"/>
    </w:rPr>
  </w:style>
  <w:style w:type="paragraph" w:customStyle="1" w:styleId="EYContents">
    <w:name w:val="EY Contents"/>
    <w:basedOn w:val="EYNormal"/>
    <w:next w:val="EYBodytextwithparaspace"/>
    <w:rsid w:val="00F84400"/>
    <w:pPr>
      <w:keepNext/>
      <w:spacing w:after="240"/>
    </w:pPr>
    <w:rPr>
      <w:rFonts w:ascii="EYInterstate Regular" w:hAnsi="EYInterstate Regular"/>
      <w:color w:val="747480"/>
      <w:sz w:val="28"/>
      <w:szCs w:val="24"/>
    </w:rPr>
  </w:style>
  <w:style w:type="paragraph" w:customStyle="1" w:styleId="EYCoverTitle">
    <w:name w:val="EY Cover Title"/>
    <w:basedOn w:val="Normal"/>
    <w:rsid w:val="00F84400"/>
    <w:pPr>
      <w:tabs>
        <w:tab w:val="right" w:pos="6750"/>
      </w:tabs>
      <w:spacing w:after="120" w:line="560" w:lineRule="atLeast"/>
    </w:pPr>
    <w:rPr>
      <w:color w:val="2E2E38"/>
      <w:sz w:val="48"/>
      <w:szCs w:val="48"/>
    </w:rPr>
  </w:style>
  <w:style w:type="paragraph" w:customStyle="1" w:styleId="EYHeading4">
    <w:name w:val="EY Heading 4"/>
    <w:basedOn w:val="EYNormal"/>
    <w:next w:val="EYBodytextwithparaspace"/>
    <w:qFormat/>
    <w:rsid w:val="00F84400"/>
    <w:pPr>
      <w:keepNext/>
      <w:numPr>
        <w:ilvl w:val="3"/>
        <w:numId w:val="1"/>
      </w:numPr>
      <w:tabs>
        <w:tab w:val="clear" w:pos="0"/>
      </w:tabs>
      <w:spacing w:after="120"/>
      <w:outlineLvl w:val="3"/>
    </w:pPr>
    <w:rPr>
      <w:b/>
      <w:sz w:val="22"/>
      <w:szCs w:val="24"/>
    </w:rPr>
  </w:style>
  <w:style w:type="paragraph" w:customStyle="1" w:styleId="EYIndent1">
    <w:name w:val="EY Indent 1"/>
    <w:basedOn w:val="EYNormal"/>
    <w:qFormat/>
    <w:rsid w:val="00F84400"/>
    <w:pPr>
      <w:autoSpaceDE/>
      <w:autoSpaceDN/>
      <w:adjustRightInd/>
      <w:spacing w:after="240"/>
      <w:ind w:left="425"/>
    </w:pPr>
    <w:rPr>
      <w:kern w:val="12"/>
      <w:szCs w:val="24"/>
      <w:lang w:eastAsia="en-AU"/>
    </w:rPr>
  </w:style>
  <w:style w:type="paragraph" w:customStyle="1" w:styleId="EYSource">
    <w:name w:val="EY Source"/>
    <w:basedOn w:val="EYNormal"/>
    <w:next w:val="EYBodytextwithparaspace"/>
    <w:qFormat/>
    <w:rsid w:val="00F84400"/>
    <w:pPr>
      <w:autoSpaceDE/>
      <w:autoSpaceDN/>
      <w:adjustRightInd/>
      <w:spacing w:before="60" w:after="60"/>
    </w:pPr>
    <w:rPr>
      <w:i/>
      <w:sz w:val="16"/>
      <w:szCs w:val="24"/>
    </w:rPr>
  </w:style>
  <w:style w:type="paragraph" w:customStyle="1" w:styleId="EYTableText">
    <w:name w:val="EY Table Text"/>
    <w:basedOn w:val="EYTableNormal"/>
    <w:qFormat/>
    <w:rsid w:val="00F84400"/>
    <w:pPr>
      <w:spacing w:before="60" w:after="60"/>
    </w:pPr>
  </w:style>
  <w:style w:type="paragraph" w:customStyle="1" w:styleId="EYTableHeading">
    <w:name w:val="EY Table Heading"/>
    <w:basedOn w:val="EYTableNormal"/>
    <w:qFormat/>
    <w:rsid w:val="00F84400"/>
    <w:pPr>
      <w:spacing w:before="60" w:after="60"/>
    </w:pPr>
    <w:rPr>
      <w:b/>
      <w:color w:val="747480"/>
    </w:rPr>
  </w:style>
  <w:style w:type="paragraph" w:customStyle="1" w:styleId="EYTabletextbold">
    <w:name w:val="EY Table text bold"/>
    <w:basedOn w:val="EYTableNormal"/>
    <w:next w:val="EYTableText"/>
    <w:rsid w:val="00F84400"/>
    <w:pPr>
      <w:spacing w:before="60" w:after="60"/>
    </w:pPr>
    <w:rPr>
      <w:b/>
    </w:rPr>
  </w:style>
  <w:style w:type="character" w:styleId="Hyperlink">
    <w:name w:val="Hyperlink"/>
    <w:basedOn w:val="DefaultParagraphFont"/>
    <w:uiPriority w:val="99"/>
    <w:rsid w:val="001351DB"/>
    <w:rPr>
      <w:rFonts w:ascii="EYInterstate Light" w:hAnsi="EYInterstate Light"/>
      <w:color w:val="155CB4"/>
      <w:sz w:val="20"/>
      <w:u w:val="single"/>
    </w:rPr>
  </w:style>
  <w:style w:type="paragraph" w:styleId="TOC1">
    <w:name w:val="toc 1"/>
    <w:basedOn w:val="Normal"/>
    <w:next w:val="Normal"/>
    <w:uiPriority w:val="39"/>
    <w:rsid w:val="00F84400"/>
    <w:pPr>
      <w:tabs>
        <w:tab w:val="left" w:pos="600"/>
        <w:tab w:val="right" w:leader="dot" w:pos="13892"/>
      </w:tabs>
      <w:autoSpaceDE/>
      <w:autoSpaceDN/>
      <w:adjustRightInd/>
      <w:snapToGrid w:val="0"/>
      <w:spacing w:before="120"/>
    </w:pPr>
    <w:rPr>
      <w:rFonts w:cs="Arial"/>
      <w:noProof/>
      <w:szCs w:val="24"/>
      <w:lang w:eastAsia="en-GB"/>
    </w:rPr>
  </w:style>
  <w:style w:type="paragraph" w:styleId="TOC2">
    <w:name w:val="toc 2"/>
    <w:basedOn w:val="Normal"/>
    <w:next w:val="Normal"/>
    <w:uiPriority w:val="39"/>
    <w:rsid w:val="00F84400"/>
    <w:pPr>
      <w:tabs>
        <w:tab w:val="left" w:pos="960"/>
        <w:tab w:val="right" w:leader="dot" w:pos="13892"/>
      </w:tabs>
      <w:autoSpaceDE/>
      <w:autoSpaceDN/>
      <w:adjustRightInd/>
      <w:snapToGrid w:val="0"/>
      <w:spacing w:before="60"/>
      <w:ind w:left="198"/>
    </w:pPr>
    <w:rPr>
      <w:rFonts w:cs="Arial"/>
      <w:noProof/>
      <w:szCs w:val="24"/>
      <w:lang w:eastAsia="en-GB"/>
    </w:rPr>
  </w:style>
  <w:style w:type="paragraph" w:customStyle="1" w:styleId="EYTableHeadingWhite">
    <w:name w:val="EY Table Heading (White)"/>
    <w:basedOn w:val="EYTableNormal"/>
    <w:qFormat/>
    <w:rsid w:val="00F84400"/>
    <w:pPr>
      <w:spacing w:before="60" w:after="60"/>
    </w:pPr>
    <w:rPr>
      <w:b/>
      <w:bCs/>
      <w:color w:val="FFFFFF"/>
    </w:rPr>
  </w:style>
  <w:style w:type="paragraph" w:customStyle="1" w:styleId="EYCoverDate">
    <w:name w:val="EY Cover Date"/>
    <w:basedOn w:val="EYNormal"/>
    <w:rsid w:val="00F84400"/>
    <w:pPr>
      <w:autoSpaceDE/>
      <w:autoSpaceDN/>
      <w:adjustRightInd/>
      <w:spacing w:line="320" w:lineRule="atLeast"/>
    </w:pPr>
    <w:rPr>
      <w:b/>
      <w:color w:val="2E2E38"/>
      <w:sz w:val="24"/>
      <w:szCs w:val="24"/>
    </w:rPr>
  </w:style>
  <w:style w:type="paragraph" w:customStyle="1" w:styleId="EYCoverSubTitle">
    <w:name w:val="EY Cover SubTitle"/>
    <w:basedOn w:val="EYNormal"/>
    <w:rsid w:val="00F84400"/>
    <w:pPr>
      <w:spacing w:after="120" w:line="360" w:lineRule="atLeast"/>
    </w:pPr>
    <w:rPr>
      <w:rFonts w:ascii="EYInterstate Regular" w:hAnsi="EYInterstate Regular"/>
      <w:color w:val="2E2E38"/>
      <w:sz w:val="28"/>
      <w:szCs w:val="24"/>
    </w:rPr>
  </w:style>
  <w:style w:type="character" w:styleId="FootnoteReference">
    <w:name w:val="footnote reference"/>
    <w:aliases w:val="fr"/>
    <w:basedOn w:val="DefaultParagraphFont"/>
    <w:semiHidden/>
    <w:rsid w:val="00F84400"/>
    <w:rPr>
      <w:rFonts w:ascii="EYInterstate Light" w:hAnsi="EYInterstate Light"/>
      <w:position w:val="0"/>
      <w:sz w:val="20"/>
      <w:szCs w:val="20"/>
      <w:vertAlign w:val="superscript"/>
    </w:rPr>
  </w:style>
  <w:style w:type="character" w:customStyle="1" w:styleId="FootnoteTextChar">
    <w:name w:val="Footnote Text Char"/>
    <w:aliases w:val="fn Char,FT Char,ft Char,SD Footnote Text Char,Footnote Text AG Char"/>
    <w:basedOn w:val="DefaultParagraphFont"/>
    <w:link w:val="FootnoteText"/>
    <w:semiHidden/>
    <w:rsid w:val="00F84400"/>
    <w:rPr>
      <w:rFonts w:ascii="EYInterstate Light" w:hAnsi="EYInterstate Light"/>
      <w:sz w:val="16"/>
      <w:lang w:val="en-AU"/>
    </w:rPr>
  </w:style>
  <w:style w:type="paragraph" w:styleId="FootnoteText">
    <w:name w:val="footnote text"/>
    <w:aliases w:val="fn,FT,ft,SD Footnote Text,Footnote Text AG"/>
    <w:basedOn w:val="Normal"/>
    <w:link w:val="FootnoteTextChar"/>
    <w:semiHidden/>
    <w:rsid w:val="00F84400"/>
    <w:pPr>
      <w:keepNext/>
      <w:keepLines/>
    </w:pPr>
    <w:rPr>
      <w:sz w:val="16"/>
    </w:rPr>
  </w:style>
  <w:style w:type="character" w:customStyle="1" w:styleId="FootnoteTextChar1">
    <w:name w:val="Footnote Text Char1"/>
    <w:basedOn w:val="DefaultParagraphFont"/>
    <w:semiHidden/>
    <w:rsid w:val="00F84400"/>
    <w:rPr>
      <w:lang w:val="en-AU"/>
    </w:rPr>
  </w:style>
  <w:style w:type="paragraph" w:customStyle="1" w:styleId="EYBulletnoparaspace">
    <w:name w:val="EY Bullet (no para space)"/>
    <w:basedOn w:val="Normal"/>
    <w:qFormat/>
    <w:rsid w:val="000125A6"/>
    <w:pPr>
      <w:numPr>
        <w:numId w:val="40"/>
      </w:numPr>
      <w:autoSpaceDE/>
      <w:autoSpaceDN/>
      <w:adjustRightInd/>
      <w:spacing w:after="120"/>
    </w:pPr>
    <w:rPr>
      <w:szCs w:val="24"/>
    </w:rPr>
  </w:style>
  <w:style w:type="paragraph" w:customStyle="1" w:styleId="EYBulletedText1">
    <w:name w:val="EY Bulleted Text 1"/>
    <w:basedOn w:val="EYBulletnoparaspace"/>
    <w:link w:val="EYBulletedText1CharChar"/>
    <w:qFormat/>
    <w:rsid w:val="00D8078A"/>
  </w:style>
  <w:style w:type="paragraph" w:customStyle="1" w:styleId="EYBulletedText2">
    <w:name w:val="EY Bulleted Text 2"/>
    <w:basedOn w:val="EYNormal"/>
    <w:qFormat/>
    <w:rsid w:val="00F84400"/>
    <w:pPr>
      <w:numPr>
        <w:ilvl w:val="1"/>
        <w:numId w:val="5"/>
      </w:numPr>
      <w:suppressAutoHyphens/>
      <w:autoSpaceDE/>
      <w:autoSpaceDN/>
      <w:adjustRightInd/>
      <w:spacing w:after="240"/>
    </w:pPr>
    <w:rPr>
      <w:kern w:val="12"/>
      <w:szCs w:val="24"/>
    </w:rPr>
  </w:style>
  <w:style w:type="paragraph" w:customStyle="1" w:styleId="EYBulletedText3">
    <w:name w:val="EY Bulleted Text 3"/>
    <w:basedOn w:val="EYNormal"/>
    <w:qFormat/>
    <w:rsid w:val="00F84400"/>
    <w:pPr>
      <w:numPr>
        <w:ilvl w:val="2"/>
        <w:numId w:val="5"/>
      </w:numPr>
      <w:spacing w:after="240"/>
    </w:pPr>
    <w:rPr>
      <w:szCs w:val="24"/>
    </w:rPr>
  </w:style>
  <w:style w:type="paragraph" w:customStyle="1" w:styleId="EYLeader">
    <w:name w:val="EY Leader"/>
    <w:basedOn w:val="EYNormal"/>
    <w:next w:val="EYBodytextwithparaspace"/>
    <w:qFormat/>
    <w:rsid w:val="00F84400"/>
    <w:pPr>
      <w:spacing w:after="280" w:line="280" w:lineRule="atLeast"/>
    </w:pPr>
    <w:rPr>
      <w:color w:val="747480"/>
      <w:sz w:val="24"/>
    </w:rPr>
  </w:style>
  <w:style w:type="paragraph" w:customStyle="1" w:styleId="EY1Number">
    <w:name w:val="EY1 ( Number)"/>
    <w:basedOn w:val="EYNormal"/>
    <w:qFormat/>
    <w:rsid w:val="00F84400"/>
    <w:pPr>
      <w:numPr>
        <w:numId w:val="4"/>
      </w:numPr>
      <w:autoSpaceDE/>
      <w:autoSpaceDN/>
      <w:adjustRightInd/>
      <w:spacing w:after="240"/>
    </w:pPr>
    <w:rPr>
      <w:kern w:val="12"/>
      <w:szCs w:val="24"/>
      <w:lang w:eastAsia="en-AU"/>
    </w:rPr>
  </w:style>
  <w:style w:type="paragraph" w:customStyle="1" w:styleId="EY2Letter">
    <w:name w:val="EY2 ( Letter)"/>
    <w:basedOn w:val="EY1Number"/>
    <w:qFormat/>
    <w:rsid w:val="00F84400"/>
    <w:pPr>
      <w:numPr>
        <w:ilvl w:val="1"/>
      </w:numPr>
    </w:pPr>
  </w:style>
  <w:style w:type="paragraph" w:customStyle="1" w:styleId="EY3Roman">
    <w:name w:val="EY3 (Roman)"/>
    <w:basedOn w:val="EY1Number"/>
    <w:qFormat/>
    <w:rsid w:val="00F84400"/>
    <w:pPr>
      <w:numPr>
        <w:ilvl w:val="2"/>
      </w:numPr>
    </w:pPr>
  </w:style>
  <w:style w:type="numbering" w:customStyle="1" w:styleId="EYBulletList">
    <w:name w:val="EYBulletList"/>
    <w:uiPriority w:val="99"/>
    <w:rsid w:val="00F84400"/>
    <w:pPr>
      <w:numPr>
        <w:numId w:val="5"/>
      </w:numPr>
    </w:pPr>
  </w:style>
  <w:style w:type="numbering" w:customStyle="1" w:styleId="EYPlainBulletList">
    <w:name w:val="EYPlainBulletList"/>
    <w:uiPriority w:val="99"/>
    <w:rsid w:val="00F84400"/>
    <w:pPr>
      <w:numPr>
        <w:numId w:val="6"/>
      </w:numPr>
    </w:pPr>
  </w:style>
  <w:style w:type="numbering" w:customStyle="1" w:styleId="EYAlphaNumList">
    <w:name w:val="EYAlphaNumList"/>
    <w:uiPriority w:val="99"/>
    <w:rsid w:val="00F84400"/>
    <w:pPr>
      <w:numPr>
        <w:numId w:val="4"/>
      </w:numPr>
    </w:pPr>
  </w:style>
  <w:style w:type="character" w:customStyle="1" w:styleId="Heading4Char">
    <w:name w:val="Heading 4 Char"/>
    <w:basedOn w:val="DefaultParagraphFont"/>
    <w:link w:val="Heading4"/>
    <w:rsid w:val="00F84400"/>
    <w:rPr>
      <w:rFonts w:ascii="EYInterstate Light" w:hAnsi="EYInterstate Light"/>
      <w:color w:val="000000"/>
      <w:sz w:val="24"/>
      <w:lang w:val="en-AU"/>
    </w:rPr>
  </w:style>
  <w:style w:type="character" w:customStyle="1" w:styleId="Heading5Char">
    <w:name w:val="Heading 5 Char"/>
    <w:basedOn w:val="DefaultParagraphFont"/>
    <w:link w:val="Heading5"/>
    <w:rsid w:val="00F84400"/>
    <w:rPr>
      <w:rFonts w:ascii="EYInterstate Light" w:hAnsi="EYInterstate Light"/>
      <w:b/>
      <w:sz w:val="22"/>
      <w:lang w:val="en-AU"/>
    </w:rPr>
  </w:style>
  <w:style w:type="character" w:customStyle="1" w:styleId="Heading6Char">
    <w:name w:val="Heading 6 Char"/>
    <w:basedOn w:val="DefaultParagraphFont"/>
    <w:link w:val="Heading6"/>
    <w:rsid w:val="00F84400"/>
    <w:rPr>
      <w:rFonts w:ascii="EYInterstate Light" w:hAnsi="EYInterstate Light"/>
      <w:sz w:val="22"/>
      <w:lang w:val="en-AU"/>
    </w:rPr>
  </w:style>
  <w:style w:type="character" w:customStyle="1" w:styleId="Heading7Char">
    <w:name w:val="Heading 7 Char"/>
    <w:basedOn w:val="DefaultParagraphFont"/>
    <w:link w:val="Heading7"/>
    <w:rsid w:val="00F84400"/>
    <w:rPr>
      <w:rFonts w:ascii="EYInterstate Light" w:hAnsi="EYInterstate Light"/>
      <w:b/>
      <w:lang w:val="en-AU"/>
    </w:rPr>
  </w:style>
  <w:style w:type="character" w:customStyle="1" w:styleId="Heading8Char">
    <w:name w:val="Heading 8 Char"/>
    <w:basedOn w:val="DefaultParagraphFont"/>
    <w:link w:val="Heading8"/>
    <w:rsid w:val="00F84400"/>
    <w:rPr>
      <w:rFonts w:ascii="EYInterstate Light" w:hAnsi="EYInterstate Light"/>
      <w:lang w:val="en-AU"/>
    </w:rPr>
  </w:style>
  <w:style w:type="character" w:customStyle="1" w:styleId="Heading9Char">
    <w:name w:val="Heading 9 Char"/>
    <w:basedOn w:val="DefaultParagraphFont"/>
    <w:link w:val="Heading9"/>
    <w:rsid w:val="00F84400"/>
    <w:rPr>
      <w:rFonts w:ascii="EYInterstate Light" w:hAnsi="EYInterstate Light"/>
      <w:i/>
      <w:lang w:val="en-AU"/>
    </w:rPr>
  </w:style>
  <w:style w:type="paragraph" w:customStyle="1" w:styleId="EYNormal">
    <w:name w:val="EY Normal"/>
    <w:basedOn w:val="Normal"/>
    <w:rsid w:val="000822EB"/>
  </w:style>
  <w:style w:type="paragraph" w:customStyle="1" w:styleId="EYAppendixHeading2">
    <w:name w:val="EY Appendix Heading 2"/>
    <w:basedOn w:val="EYNormal"/>
    <w:next w:val="EYBodytextwithparaspace"/>
    <w:qFormat/>
    <w:rsid w:val="00F84400"/>
    <w:pPr>
      <w:keepNext/>
      <w:autoSpaceDE/>
      <w:autoSpaceDN/>
      <w:adjustRightInd/>
      <w:spacing w:after="120"/>
    </w:pPr>
    <w:rPr>
      <w:b/>
      <w:sz w:val="28"/>
      <w:szCs w:val="24"/>
    </w:rPr>
  </w:style>
  <w:style w:type="paragraph" w:customStyle="1" w:styleId="EYAppendixHeading3">
    <w:name w:val="EY Appendix Heading 3"/>
    <w:basedOn w:val="EYNormal"/>
    <w:next w:val="EYBodytextwithparaspace"/>
    <w:qFormat/>
    <w:rsid w:val="00F84400"/>
    <w:pPr>
      <w:keepNext/>
      <w:autoSpaceDE/>
      <w:autoSpaceDN/>
      <w:adjustRightInd/>
      <w:spacing w:after="120"/>
    </w:pPr>
    <w:rPr>
      <w:b/>
      <w:sz w:val="26"/>
      <w:szCs w:val="24"/>
    </w:rPr>
  </w:style>
  <w:style w:type="paragraph" w:customStyle="1" w:styleId="EYBusinessaddress">
    <w:name w:val="EY Business address"/>
    <w:basedOn w:val="Normal"/>
    <w:rsid w:val="00F84400"/>
    <w:pPr>
      <w:spacing w:line="170" w:lineRule="atLeast"/>
    </w:pPr>
    <w:rPr>
      <w:color w:val="666666"/>
      <w:sz w:val="15"/>
      <w:szCs w:val="24"/>
    </w:rPr>
  </w:style>
  <w:style w:type="paragraph" w:customStyle="1" w:styleId="EYBusinessaddressbold">
    <w:name w:val="EY Business address (bold)"/>
    <w:basedOn w:val="EYBusinessaddress"/>
    <w:next w:val="EYBusinessaddress"/>
    <w:rsid w:val="00F84400"/>
    <w:rPr>
      <w:b/>
    </w:rPr>
  </w:style>
  <w:style w:type="paragraph" w:customStyle="1" w:styleId="EYIndent2">
    <w:name w:val="EY Indent 2"/>
    <w:basedOn w:val="EYIndent1"/>
    <w:qFormat/>
    <w:rsid w:val="00F84400"/>
    <w:pPr>
      <w:ind w:left="851"/>
    </w:pPr>
  </w:style>
  <w:style w:type="paragraph" w:customStyle="1" w:styleId="EYIndent3">
    <w:name w:val="EY Indent 3"/>
    <w:basedOn w:val="EYIndent1"/>
    <w:qFormat/>
    <w:rsid w:val="00F84400"/>
    <w:pPr>
      <w:ind w:left="1276"/>
    </w:pPr>
  </w:style>
  <w:style w:type="paragraph" w:customStyle="1" w:styleId="EYSubheading">
    <w:name w:val="EY Subheading"/>
    <w:basedOn w:val="EYNormal"/>
    <w:next w:val="EYBodytextwithparaspace"/>
    <w:qFormat/>
    <w:rsid w:val="00F84400"/>
    <w:pPr>
      <w:keepNext/>
      <w:autoSpaceDE/>
      <w:autoSpaceDN/>
      <w:adjustRightInd/>
      <w:spacing w:after="120"/>
    </w:pPr>
    <w:rPr>
      <w:b/>
      <w:kern w:val="12"/>
      <w:szCs w:val="24"/>
      <w:lang w:eastAsia="en-AU"/>
    </w:rPr>
  </w:style>
  <w:style w:type="paragraph" w:customStyle="1" w:styleId="EYTableNormal">
    <w:name w:val="EY Table Normal"/>
    <w:basedOn w:val="Normal"/>
    <w:rsid w:val="00F84400"/>
    <w:pPr>
      <w:autoSpaceDE/>
      <w:autoSpaceDN/>
      <w:adjustRightInd/>
    </w:pPr>
    <w:rPr>
      <w:sz w:val="16"/>
      <w:szCs w:val="24"/>
    </w:rPr>
  </w:style>
  <w:style w:type="paragraph" w:customStyle="1" w:styleId="EYTablebullet1">
    <w:name w:val="EY Table bullet 1"/>
    <w:basedOn w:val="EYTableNormal"/>
    <w:qFormat/>
    <w:rsid w:val="00F84400"/>
    <w:pPr>
      <w:numPr>
        <w:numId w:val="3"/>
      </w:numPr>
      <w:spacing w:before="60" w:after="60"/>
    </w:pPr>
    <w:rPr>
      <w:lang w:eastAsia="en-AU"/>
    </w:rPr>
  </w:style>
  <w:style w:type="paragraph" w:customStyle="1" w:styleId="EYTablebullet2">
    <w:name w:val="EY Table bullet 2"/>
    <w:basedOn w:val="EYTableNormal"/>
    <w:qFormat/>
    <w:rsid w:val="00F84400"/>
    <w:pPr>
      <w:numPr>
        <w:ilvl w:val="1"/>
        <w:numId w:val="3"/>
      </w:numPr>
      <w:spacing w:before="60" w:after="60"/>
    </w:pPr>
  </w:style>
  <w:style w:type="paragraph" w:styleId="TOC3">
    <w:name w:val="toc 3"/>
    <w:basedOn w:val="Normal"/>
    <w:next w:val="Normal"/>
    <w:uiPriority w:val="39"/>
    <w:rsid w:val="00F84400"/>
    <w:pPr>
      <w:tabs>
        <w:tab w:val="left" w:pos="1200"/>
        <w:tab w:val="right" w:leader="dot" w:pos="13892"/>
      </w:tabs>
      <w:autoSpaceDE/>
      <w:autoSpaceDN/>
      <w:adjustRightInd/>
      <w:snapToGrid w:val="0"/>
      <w:spacing w:before="60"/>
      <w:ind w:left="403"/>
    </w:pPr>
    <w:rPr>
      <w:rFonts w:cs="Arial"/>
      <w:noProof/>
      <w:szCs w:val="24"/>
      <w:lang w:eastAsia="en-GB"/>
    </w:rPr>
  </w:style>
  <w:style w:type="paragraph" w:styleId="TOC4">
    <w:name w:val="toc 4"/>
    <w:basedOn w:val="Normal"/>
    <w:next w:val="Normal"/>
    <w:uiPriority w:val="39"/>
    <w:rsid w:val="00F84400"/>
    <w:pPr>
      <w:tabs>
        <w:tab w:val="left" w:pos="1680"/>
        <w:tab w:val="right" w:leader="dot" w:pos="13892"/>
      </w:tabs>
      <w:autoSpaceDE/>
      <w:autoSpaceDN/>
      <w:adjustRightInd/>
      <w:snapToGrid w:val="0"/>
      <w:spacing w:before="60"/>
      <w:ind w:left="601"/>
    </w:pPr>
    <w:rPr>
      <w:rFonts w:cs="Arial"/>
      <w:noProof/>
      <w:szCs w:val="24"/>
      <w:lang w:eastAsia="en-GB"/>
    </w:rPr>
  </w:style>
  <w:style w:type="paragraph" w:styleId="BalloonText">
    <w:name w:val="Balloon Text"/>
    <w:basedOn w:val="Normal"/>
    <w:link w:val="BalloonTextChar"/>
    <w:semiHidden/>
    <w:rsid w:val="00F84400"/>
    <w:rPr>
      <w:rFonts w:ascii="Tahoma" w:hAnsi="Tahoma" w:cs="Tahoma"/>
      <w:sz w:val="16"/>
      <w:szCs w:val="16"/>
    </w:rPr>
  </w:style>
  <w:style w:type="character" w:customStyle="1" w:styleId="BalloonTextChar">
    <w:name w:val="Balloon Text Char"/>
    <w:basedOn w:val="DefaultParagraphFont"/>
    <w:link w:val="BalloonText"/>
    <w:semiHidden/>
    <w:rsid w:val="00F84400"/>
    <w:rPr>
      <w:rFonts w:ascii="Tahoma" w:hAnsi="Tahoma" w:cs="Tahoma"/>
      <w:sz w:val="16"/>
      <w:szCs w:val="16"/>
      <w:lang w:val="en-AU"/>
    </w:rPr>
  </w:style>
  <w:style w:type="character" w:styleId="EndnoteReference">
    <w:name w:val="endnote reference"/>
    <w:basedOn w:val="DefaultParagraphFont"/>
    <w:semiHidden/>
    <w:rsid w:val="00F84400"/>
    <w:rPr>
      <w:vertAlign w:val="superscript"/>
    </w:rPr>
  </w:style>
  <w:style w:type="paragraph" w:styleId="EndnoteText">
    <w:name w:val="endnote text"/>
    <w:basedOn w:val="Normal"/>
    <w:link w:val="EndnoteTextChar"/>
    <w:semiHidden/>
    <w:rsid w:val="00F84400"/>
  </w:style>
  <w:style w:type="character" w:customStyle="1" w:styleId="EndnoteTextChar">
    <w:name w:val="Endnote Text Char"/>
    <w:basedOn w:val="DefaultParagraphFont"/>
    <w:link w:val="EndnoteText"/>
    <w:semiHidden/>
    <w:rsid w:val="00F84400"/>
    <w:rPr>
      <w:rFonts w:ascii="EYInterstate Light" w:hAnsi="EYInterstate Light"/>
      <w:lang w:val="en-AU"/>
    </w:rPr>
  </w:style>
  <w:style w:type="numbering" w:customStyle="1" w:styleId="StyleNumbered">
    <w:name w:val="Style Numbered"/>
    <w:basedOn w:val="NoList"/>
    <w:rsid w:val="00F84400"/>
    <w:pPr>
      <w:numPr>
        <w:numId w:val="7"/>
      </w:numPr>
    </w:pPr>
  </w:style>
  <w:style w:type="paragraph" w:styleId="Caption">
    <w:name w:val="caption"/>
    <w:basedOn w:val="Normal"/>
    <w:next w:val="Normal"/>
    <w:unhideWhenUsed/>
    <w:qFormat/>
    <w:rsid w:val="00F84400"/>
    <w:pPr>
      <w:spacing w:after="60"/>
    </w:pPr>
    <w:rPr>
      <w:b/>
      <w:bCs/>
      <w:color w:val="747480"/>
      <w:sz w:val="16"/>
      <w:szCs w:val="18"/>
    </w:rPr>
  </w:style>
  <w:style w:type="paragraph" w:customStyle="1" w:styleId="EYHeading1">
    <w:name w:val="EY Heading 1"/>
    <w:basedOn w:val="EYNormal"/>
    <w:next w:val="EYBodytextwithparaspace"/>
    <w:qFormat/>
    <w:rsid w:val="00F84400"/>
    <w:pPr>
      <w:pageBreakBefore/>
      <w:numPr>
        <w:numId w:val="1"/>
      </w:numPr>
      <w:autoSpaceDE/>
      <w:autoSpaceDN/>
      <w:adjustRightInd/>
      <w:spacing w:after="360"/>
      <w:outlineLvl w:val="0"/>
    </w:pPr>
    <w:rPr>
      <w:b/>
      <w:color w:val="747480"/>
      <w:sz w:val="32"/>
      <w:szCs w:val="24"/>
    </w:rPr>
  </w:style>
  <w:style w:type="paragraph" w:customStyle="1" w:styleId="EYHeading2">
    <w:name w:val="EY Heading 2"/>
    <w:basedOn w:val="EYNormal"/>
    <w:next w:val="EYBodytextwithparaspace"/>
    <w:qFormat/>
    <w:rsid w:val="00F84400"/>
    <w:pPr>
      <w:keepNext/>
      <w:numPr>
        <w:ilvl w:val="1"/>
        <w:numId w:val="1"/>
      </w:numPr>
      <w:spacing w:before="120" w:after="120"/>
      <w:outlineLvl w:val="1"/>
    </w:pPr>
    <w:rPr>
      <w:b/>
      <w:sz w:val="28"/>
      <w:szCs w:val="24"/>
    </w:rPr>
  </w:style>
  <w:style w:type="paragraph" w:customStyle="1" w:styleId="EYHeading3">
    <w:name w:val="EY Heading 3"/>
    <w:basedOn w:val="EYNormal"/>
    <w:next w:val="EYBodytextwithparaspace"/>
    <w:qFormat/>
    <w:rsid w:val="00F84400"/>
    <w:pPr>
      <w:keepNext/>
      <w:numPr>
        <w:ilvl w:val="2"/>
        <w:numId w:val="1"/>
      </w:numPr>
      <w:spacing w:before="120" w:after="120"/>
      <w:outlineLvl w:val="2"/>
    </w:pPr>
    <w:rPr>
      <w:b/>
      <w:sz w:val="26"/>
      <w:szCs w:val="24"/>
    </w:rPr>
  </w:style>
  <w:style w:type="table" w:styleId="TableGrid">
    <w:name w:val="Table Grid"/>
    <w:basedOn w:val="TableNormal"/>
    <w:rsid w:val="00B634BB"/>
    <w:rPr>
      <w:rFonts w:ascii="Arial" w:eastAsia="Cambria" w:hAnsi="Arial"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701BB8"/>
    <w:rPr>
      <w:sz w:val="16"/>
      <w:szCs w:val="16"/>
    </w:rPr>
  </w:style>
  <w:style w:type="paragraph" w:styleId="CommentText">
    <w:name w:val="annotation text"/>
    <w:basedOn w:val="Normal"/>
    <w:link w:val="CommentTextChar"/>
    <w:unhideWhenUsed/>
    <w:rsid w:val="00701BB8"/>
    <w:rPr>
      <w:rFonts w:ascii="Arial" w:eastAsia="Cambria" w:hAnsi="Arial" w:cs="Cambria"/>
    </w:rPr>
  </w:style>
  <w:style w:type="character" w:customStyle="1" w:styleId="CommentTextChar">
    <w:name w:val="Comment Text Char"/>
    <w:basedOn w:val="DefaultParagraphFont"/>
    <w:link w:val="CommentText"/>
    <w:rsid w:val="00701BB8"/>
    <w:rPr>
      <w:rFonts w:ascii="Arial" w:eastAsia="Cambria" w:hAnsi="Arial" w:cs="Cambria"/>
      <w:lang w:val="en-AU"/>
    </w:rPr>
  </w:style>
  <w:style w:type="paragraph" w:styleId="CommentSubject">
    <w:name w:val="annotation subject"/>
    <w:basedOn w:val="CommentText"/>
    <w:next w:val="CommentText"/>
    <w:link w:val="CommentSubjectChar"/>
    <w:semiHidden/>
    <w:unhideWhenUsed/>
    <w:rsid w:val="004D718C"/>
    <w:rPr>
      <w:rFonts w:ascii="EYInterstate Light" w:eastAsia="Times New Roman" w:hAnsi="EYInterstate Light" w:cs="Times New Roman"/>
      <w:b/>
      <w:bCs/>
    </w:rPr>
  </w:style>
  <w:style w:type="character" w:customStyle="1" w:styleId="CommentSubjectChar">
    <w:name w:val="Comment Subject Char"/>
    <w:basedOn w:val="CommentTextChar"/>
    <w:link w:val="CommentSubject"/>
    <w:semiHidden/>
    <w:rsid w:val="004D718C"/>
    <w:rPr>
      <w:rFonts w:ascii="Arial" w:eastAsia="Cambria" w:hAnsi="Arial" w:cs="Cambria"/>
      <w:b/>
      <w:bCs/>
      <w:lang w:val="en-AU"/>
    </w:rPr>
  </w:style>
  <w:style w:type="character" w:customStyle="1" w:styleId="EYBodytextwithparaspaceChar">
    <w:name w:val="EY Body text (with para space) Char"/>
    <w:basedOn w:val="DefaultParagraphFont"/>
    <w:link w:val="EYBodytextwithparaspace"/>
    <w:rsid w:val="00A577AC"/>
    <w:rPr>
      <w:color w:val="000000" w:themeColor="background2"/>
      <w:lang w:val="en-AU"/>
    </w:rPr>
  </w:style>
  <w:style w:type="paragraph" w:styleId="ListParagraph">
    <w:name w:val="List Paragraph"/>
    <w:basedOn w:val="Normal"/>
    <w:uiPriority w:val="34"/>
    <w:qFormat/>
    <w:rsid w:val="00AB569B"/>
    <w:pPr>
      <w:ind w:left="720"/>
      <w:contextualSpacing/>
    </w:pPr>
  </w:style>
  <w:style w:type="character" w:styleId="UnresolvedMention">
    <w:name w:val="Unresolved Mention"/>
    <w:basedOn w:val="DefaultParagraphFont"/>
    <w:uiPriority w:val="99"/>
    <w:unhideWhenUsed/>
    <w:rsid w:val="007724C6"/>
    <w:rPr>
      <w:color w:val="605E5C"/>
      <w:shd w:val="clear" w:color="auto" w:fill="E1DFDD"/>
    </w:rPr>
  </w:style>
  <w:style w:type="character" w:styleId="Mention">
    <w:name w:val="Mention"/>
    <w:basedOn w:val="DefaultParagraphFont"/>
    <w:uiPriority w:val="99"/>
    <w:unhideWhenUsed/>
    <w:rsid w:val="007724C6"/>
    <w:rPr>
      <w:color w:val="2B579A"/>
      <w:shd w:val="clear" w:color="auto" w:fill="E1DFDD"/>
    </w:rPr>
  </w:style>
  <w:style w:type="paragraph" w:styleId="BodyText">
    <w:name w:val="Body Text"/>
    <w:basedOn w:val="Normal"/>
    <w:link w:val="BodyTextChar"/>
    <w:unhideWhenUsed/>
    <w:rsid w:val="00E210F2"/>
    <w:pPr>
      <w:spacing w:after="120"/>
    </w:pPr>
  </w:style>
  <w:style w:type="character" w:customStyle="1" w:styleId="BodyTextChar">
    <w:name w:val="Body Text Char"/>
    <w:basedOn w:val="DefaultParagraphFont"/>
    <w:link w:val="BodyText"/>
    <w:rsid w:val="00E210F2"/>
    <w:rPr>
      <w:lang w:val="en-AU"/>
    </w:rPr>
  </w:style>
  <w:style w:type="character" w:styleId="Strong">
    <w:name w:val="Strong"/>
    <w:basedOn w:val="DefaultParagraphFont"/>
    <w:uiPriority w:val="22"/>
    <w:qFormat/>
    <w:rsid w:val="00E86060"/>
    <w:rPr>
      <w:b/>
      <w:bCs/>
    </w:rPr>
  </w:style>
  <w:style w:type="character" w:customStyle="1" w:styleId="EYBulletedText1CharChar">
    <w:name w:val="EY Bulleted Text 1 Char Char"/>
    <w:link w:val="EYBulletedText1"/>
    <w:locked/>
    <w:rsid w:val="0088325D"/>
    <w:rPr>
      <w:szCs w:val="24"/>
      <w:lang w:val="en-AU"/>
    </w:rPr>
  </w:style>
  <w:style w:type="paragraph" w:styleId="Revision">
    <w:name w:val="Revision"/>
    <w:hidden/>
    <w:uiPriority w:val="99"/>
    <w:semiHidden/>
    <w:rsid w:val="00022699"/>
    <w:rPr>
      <w:lang w:val="en-AU"/>
    </w:rPr>
  </w:style>
  <w:style w:type="table" w:customStyle="1" w:styleId="TableGrid1">
    <w:name w:val="Table Grid1"/>
    <w:basedOn w:val="TableNormal"/>
    <w:next w:val="TableGrid"/>
    <w:uiPriority w:val="39"/>
    <w:rsid w:val="009C2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143B"/>
    <w:pPr>
      <w:autoSpaceDE/>
      <w:autoSpaceDN/>
      <w:adjustRightInd/>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81335">
      <w:bodyDiv w:val="1"/>
      <w:marLeft w:val="0"/>
      <w:marRight w:val="0"/>
      <w:marTop w:val="0"/>
      <w:marBottom w:val="0"/>
      <w:divBdr>
        <w:top w:val="none" w:sz="0" w:space="0" w:color="auto"/>
        <w:left w:val="none" w:sz="0" w:space="0" w:color="auto"/>
        <w:bottom w:val="none" w:sz="0" w:space="0" w:color="auto"/>
        <w:right w:val="none" w:sz="0" w:space="0" w:color="auto"/>
      </w:divBdr>
    </w:div>
    <w:div w:id="136457502">
      <w:bodyDiv w:val="1"/>
      <w:marLeft w:val="0"/>
      <w:marRight w:val="0"/>
      <w:marTop w:val="0"/>
      <w:marBottom w:val="0"/>
      <w:divBdr>
        <w:top w:val="none" w:sz="0" w:space="0" w:color="auto"/>
        <w:left w:val="none" w:sz="0" w:space="0" w:color="auto"/>
        <w:bottom w:val="none" w:sz="0" w:space="0" w:color="auto"/>
        <w:right w:val="none" w:sz="0" w:space="0" w:color="auto"/>
      </w:divBdr>
    </w:div>
    <w:div w:id="157111770">
      <w:bodyDiv w:val="1"/>
      <w:marLeft w:val="0"/>
      <w:marRight w:val="0"/>
      <w:marTop w:val="0"/>
      <w:marBottom w:val="0"/>
      <w:divBdr>
        <w:top w:val="none" w:sz="0" w:space="0" w:color="auto"/>
        <w:left w:val="none" w:sz="0" w:space="0" w:color="auto"/>
        <w:bottom w:val="none" w:sz="0" w:space="0" w:color="auto"/>
        <w:right w:val="none" w:sz="0" w:space="0" w:color="auto"/>
      </w:divBdr>
    </w:div>
    <w:div w:id="207226882">
      <w:bodyDiv w:val="1"/>
      <w:marLeft w:val="0"/>
      <w:marRight w:val="0"/>
      <w:marTop w:val="0"/>
      <w:marBottom w:val="0"/>
      <w:divBdr>
        <w:top w:val="none" w:sz="0" w:space="0" w:color="auto"/>
        <w:left w:val="none" w:sz="0" w:space="0" w:color="auto"/>
        <w:bottom w:val="none" w:sz="0" w:space="0" w:color="auto"/>
        <w:right w:val="none" w:sz="0" w:space="0" w:color="auto"/>
      </w:divBdr>
    </w:div>
    <w:div w:id="337732931">
      <w:bodyDiv w:val="1"/>
      <w:marLeft w:val="0"/>
      <w:marRight w:val="0"/>
      <w:marTop w:val="0"/>
      <w:marBottom w:val="0"/>
      <w:divBdr>
        <w:top w:val="none" w:sz="0" w:space="0" w:color="auto"/>
        <w:left w:val="none" w:sz="0" w:space="0" w:color="auto"/>
        <w:bottom w:val="none" w:sz="0" w:space="0" w:color="auto"/>
        <w:right w:val="none" w:sz="0" w:space="0" w:color="auto"/>
      </w:divBdr>
    </w:div>
    <w:div w:id="350029002">
      <w:bodyDiv w:val="1"/>
      <w:marLeft w:val="0"/>
      <w:marRight w:val="0"/>
      <w:marTop w:val="0"/>
      <w:marBottom w:val="0"/>
      <w:divBdr>
        <w:top w:val="none" w:sz="0" w:space="0" w:color="auto"/>
        <w:left w:val="none" w:sz="0" w:space="0" w:color="auto"/>
        <w:bottom w:val="none" w:sz="0" w:space="0" w:color="auto"/>
        <w:right w:val="none" w:sz="0" w:space="0" w:color="auto"/>
      </w:divBdr>
      <w:divsChild>
        <w:div w:id="631404788">
          <w:marLeft w:val="562"/>
          <w:marRight w:val="0"/>
          <w:marTop w:val="0"/>
          <w:marBottom w:val="120"/>
          <w:divBdr>
            <w:top w:val="none" w:sz="0" w:space="0" w:color="auto"/>
            <w:left w:val="none" w:sz="0" w:space="0" w:color="auto"/>
            <w:bottom w:val="none" w:sz="0" w:space="0" w:color="auto"/>
            <w:right w:val="none" w:sz="0" w:space="0" w:color="auto"/>
          </w:divBdr>
        </w:div>
        <w:div w:id="704908892">
          <w:marLeft w:val="562"/>
          <w:marRight w:val="0"/>
          <w:marTop w:val="0"/>
          <w:marBottom w:val="120"/>
          <w:divBdr>
            <w:top w:val="none" w:sz="0" w:space="0" w:color="auto"/>
            <w:left w:val="none" w:sz="0" w:space="0" w:color="auto"/>
            <w:bottom w:val="none" w:sz="0" w:space="0" w:color="auto"/>
            <w:right w:val="none" w:sz="0" w:space="0" w:color="auto"/>
          </w:divBdr>
        </w:div>
        <w:div w:id="1482577883">
          <w:marLeft w:val="562"/>
          <w:marRight w:val="0"/>
          <w:marTop w:val="0"/>
          <w:marBottom w:val="120"/>
          <w:divBdr>
            <w:top w:val="none" w:sz="0" w:space="0" w:color="auto"/>
            <w:left w:val="none" w:sz="0" w:space="0" w:color="auto"/>
            <w:bottom w:val="none" w:sz="0" w:space="0" w:color="auto"/>
            <w:right w:val="none" w:sz="0" w:space="0" w:color="auto"/>
          </w:divBdr>
        </w:div>
        <w:div w:id="1605185810">
          <w:marLeft w:val="562"/>
          <w:marRight w:val="0"/>
          <w:marTop w:val="0"/>
          <w:marBottom w:val="120"/>
          <w:divBdr>
            <w:top w:val="none" w:sz="0" w:space="0" w:color="auto"/>
            <w:left w:val="none" w:sz="0" w:space="0" w:color="auto"/>
            <w:bottom w:val="none" w:sz="0" w:space="0" w:color="auto"/>
            <w:right w:val="none" w:sz="0" w:space="0" w:color="auto"/>
          </w:divBdr>
        </w:div>
        <w:div w:id="1621688664">
          <w:marLeft w:val="562"/>
          <w:marRight w:val="0"/>
          <w:marTop w:val="0"/>
          <w:marBottom w:val="120"/>
          <w:divBdr>
            <w:top w:val="none" w:sz="0" w:space="0" w:color="auto"/>
            <w:left w:val="none" w:sz="0" w:space="0" w:color="auto"/>
            <w:bottom w:val="none" w:sz="0" w:space="0" w:color="auto"/>
            <w:right w:val="none" w:sz="0" w:space="0" w:color="auto"/>
          </w:divBdr>
        </w:div>
        <w:div w:id="1742868960">
          <w:marLeft w:val="562"/>
          <w:marRight w:val="0"/>
          <w:marTop w:val="0"/>
          <w:marBottom w:val="120"/>
          <w:divBdr>
            <w:top w:val="none" w:sz="0" w:space="0" w:color="auto"/>
            <w:left w:val="none" w:sz="0" w:space="0" w:color="auto"/>
            <w:bottom w:val="none" w:sz="0" w:space="0" w:color="auto"/>
            <w:right w:val="none" w:sz="0" w:space="0" w:color="auto"/>
          </w:divBdr>
        </w:div>
        <w:div w:id="2078480188">
          <w:marLeft w:val="562"/>
          <w:marRight w:val="0"/>
          <w:marTop w:val="0"/>
          <w:marBottom w:val="120"/>
          <w:divBdr>
            <w:top w:val="none" w:sz="0" w:space="0" w:color="auto"/>
            <w:left w:val="none" w:sz="0" w:space="0" w:color="auto"/>
            <w:bottom w:val="none" w:sz="0" w:space="0" w:color="auto"/>
            <w:right w:val="none" w:sz="0" w:space="0" w:color="auto"/>
          </w:divBdr>
        </w:div>
        <w:div w:id="2096708817">
          <w:marLeft w:val="562"/>
          <w:marRight w:val="0"/>
          <w:marTop w:val="0"/>
          <w:marBottom w:val="120"/>
          <w:divBdr>
            <w:top w:val="none" w:sz="0" w:space="0" w:color="auto"/>
            <w:left w:val="none" w:sz="0" w:space="0" w:color="auto"/>
            <w:bottom w:val="none" w:sz="0" w:space="0" w:color="auto"/>
            <w:right w:val="none" w:sz="0" w:space="0" w:color="auto"/>
          </w:divBdr>
        </w:div>
      </w:divsChild>
    </w:div>
    <w:div w:id="385763696">
      <w:bodyDiv w:val="1"/>
      <w:marLeft w:val="0"/>
      <w:marRight w:val="0"/>
      <w:marTop w:val="0"/>
      <w:marBottom w:val="0"/>
      <w:divBdr>
        <w:top w:val="none" w:sz="0" w:space="0" w:color="auto"/>
        <w:left w:val="none" w:sz="0" w:space="0" w:color="auto"/>
        <w:bottom w:val="none" w:sz="0" w:space="0" w:color="auto"/>
        <w:right w:val="none" w:sz="0" w:space="0" w:color="auto"/>
      </w:divBdr>
      <w:divsChild>
        <w:div w:id="296684118">
          <w:marLeft w:val="562"/>
          <w:marRight w:val="0"/>
          <w:marTop w:val="58"/>
          <w:marBottom w:val="0"/>
          <w:divBdr>
            <w:top w:val="none" w:sz="0" w:space="0" w:color="auto"/>
            <w:left w:val="none" w:sz="0" w:space="0" w:color="auto"/>
            <w:bottom w:val="none" w:sz="0" w:space="0" w:color="auto"/>
            <w:right w:val="none" w:sz="0" w:space="0" w:color="auto"/>
          </w:divBdr>
        </w:div>
        <w:div w:id="1057751403">
          <w:marLeft w:val="562"/>
          <w:marRight w:val="0"/>
          <w:marTop w:val="58"/>
          <w:marBottom w:val="0"/>
          <w:divBdr>
            <w:top w:val="none" w:sz="0" w:space="0" w:color="auto"/>
            <w:left w:val="none" w:sz="0" w:space="0" w:color="auto"/>
            <w:bottom w:val="none" w:sz="0" w:space="0" w:color="auto"/>
            <w:right w:val="none" w:sz="0" w:space="0" w:color="auto"/>
          </w:divBdr>
        </w:div>
        <w:div w:id="1223180754">
          <w:marLeft w:val="562"/>
          <w:marRight w:val="0"/>
          <w:marTop w:val="58"/>
          <w:marBottom w:val="0"/>
          <w:divBdr>
            <w:top w:val="none" w:sz="0" w:space="0" w:color="auto"/>
            <w:left w:val="none" w:sz="0" w:space="0" w:color="auto"/>
            <w:bottom w:val="none" w:sz="0" w:space="0" w:color="auto"/>
            <w:right w:val="none" w:sz="0" w:space="0" w:color="auto"/>
          </w:divBdr>
        </w:div>
        <w:div w:id="2014719987">
          <w:marLeft w:val="562"/>
          <w:marRight w:val="0"/>
          <w:marTop w:val="58"/>
          <w:marBottom w:val="0"/>
          <w:divBdr>
            <w:top w:val="none" w:sz="0" w:space="0" w:color="auto"/>
            <w:left w:val="none" w:sz="0" w:space="0" w:color="auto"/>
            <w:bottom w:val="none" w:sz="0" w:space="0" w:color="auto"/>
            <w:right w:val="none" w:sz="0" w:space="0" w:color="auto"/>
          </w:divBdr>
        </w:div>
      </w:divsChild>
    </w:div>
    <w:div w:id="455025909">
      <w:bodyDiv w:val="1"/>
      <w:marLeft w:val="0"/>
      <w:marRight w:val="0"/>
      <w:marTop w:val="0"/>
      <w:marBottom w:val="0"/>
      <w:divBdr>
        <w:top w:val="none" w:sz="0" w:space="0" w:color="auto"/>
        <w:left w:val="none" w:sz="0" w:space="0" w:color="auto"/>
        <w:bottom w:val="none" w:sz="0" w:space="0" w:color="auto"/>
        <w:right w:val="none" w:sz="0" w:space="0" w:color="auto"/>
      </w:divBdr>
      <w:divsChild>
        <w:div w:id="795104672">
          <w:marLeft w:val="562"/>
          <w:marRight w:val="0"/>
          <w:marTop w:val="58"/>
          <w:marBottom w:val="0"/>
          <w:divBdr>
            <w:top w:val="none" w:sz="0" w:space="0" w:color="auto"/>
            <w:left w:val="none" w:sz="0" w:space="0" w:color="auto"/>
            <w:bottom w:val="none" w:sz="0" w:space="0" w:color="auto"/>
            <w:right w:val="none" w:sz="0" w:space="0" w:color="auto"/>
          </w:divBdr>
        </w:div>
        <w:div w:id="1052997712">
          <w:marLeft w:val="562"/>
          <w:marRight w:val="0"/>
          <w:marTop w:val="58"/>
          <w:marBottom w:val="0"/>
          <w:divBdr>
            <w:top w:val="none" w:sz="0" w:space="0" w:color="auto"/>
            <w:left w:val="none" w:sz="0" w:space="0" w:color="auto"/>
            <w:bottom w:val="none" w:sz="0" w:space="0" w:color="auto"/>
            <w:right w:val="none" w:sz="0" w:space="0" w:color="auto"/>
          </w:divBdr>
        </w:div>
        <w:div w:id="1390225930">
          <w:marLeft w:val="562"/>
          <w:marRight w:val="0"/>
          <w:marTop w:val="58"/>
          <w:marBottom w:val="0"/>
          <w:divBdr>
            <w:top w:val="none" w:sz="0" w:space="0" w:color="auto"/>
            <w:left w:val="none" w:sz="0" w:space="0" w:color="auto"/>
            <w:bottom w:val="none" w:sz="0" w:space="0" w:color="auto"/>
            <w:right w:val="none" w:sz="0" w:space="0" w:color="auto"/>
          </w:divBdr>
        </w:div>
        <w:div w:id="1743214328">
          <w:marLeft w:val="562"/>
          <w:marRight w:val="0"/>
          <w:marTop w:val="58"/>
          <w:marBottom w:val="0"/>
          <w:divBdr>
            <w:top w:val="none" w:sz="0" w:space="0" w:color="auto"/>
            <w:left w:val="none" w:sz="0" w:space="0" w:color="auto"/>
            <w:bottom w:val="none" w:sz="0" w:space="0" w:color="auto"/>
            <w:right w:val="none" w:sz="0" w:space="0" w:color="auto"/>
          </w:divBdr>
        </w:div>
      </w:divsChild>
    </w:div>
    <w:div w:id="456023539">
      <w:bodyDiv w:val="1"/>
      <w:marLeft w:val="0"/>
      <w:marRight w:val="0"/>
      <w:marTop w:val="0"/>
      <w:marBottom w:val="0"/>
      <w:divBdr>
        <w:top w:val="none" w:sz="0" w:space="0" w:color="auto"/>
        <w:left w:val="none" w:sz="0" w:space="0" w:color="auto"/>
        <w:bottom w:val="none" w:sz="0" w:space="0" w:color="auto"/>
        <w:right w:val="none" w:sz="0" w:space="0" w:color="auto"/>
      </w:divBdr>
    </w:div>
    <w:div w:id="571041221">
      <w:bodyDiv w:val="1"/>
      <w:marLeft w:val="0"/>
      <w:marRight w:val="0"/>
      <w:marTop w:val="0"/>
      <w:marBottom w:val="0"/>
      <w:divBdr>
        <w:top w:val="none" w:sz="0" w:space="0" w:color="auto"/>
        <w:left w:val="none" w:sz="0" w:space="0" w:color="auto"/>
        <w:bottom w:val="none" w:sz="0" w:space="0" w:color="auto"/>
        <w:right w:val="none" w:sz="0" w:space="0" w:color="auto"/>
      </w:divBdr>
    </w:div>
    <w:div w:id="592982186">
      <w:bodyDiv w:val="1"/>
      <w:marLeft w:val="0"/>
      <w:marRight w:val="0"/>
      <w:marTop w:val="0"/>
      <w:marBottom w:val="0"/>
      <w:divBdr>
        <w:top w:val="none" w:sz="0" w:space="0" w:color="auto"/>
        <w:left w:val="none" w:sz="0" w:space="0" w:color="auto"/>
        <w:bottom w:val="none" w:sz="0" w:space="0" w:color="auto"/>
        <w:right w:val="none" w:sz="0" w:space="0" w:color="auto"/>
      </w:divBdr>
    </w:div>
    <w:div w:id="611791501">
      <w:bodyDiv w:val="1"/>
      <w:marLeft w:val="0"/>
      <w:marRight w:val="0"/>
      <w:marTop w:val="0"/>
      <w:marBottom w:val="0"/>
      <w:divBdr>
        <w:top w:val="none" w:sz="0" w:space="0" w:color="auto"/>
        <w:left w:val="none" w:sz="0" w:space="0" w:color="auto"/>
        <w:bottom w:val="none" w:sz="0" w:space="0" w:color="auto"/>
        <w:right w:val="none" w:sz="0" w:space="0" w:color="auto"/>
      </w:divBdr>
    </w:div>
    <w:div w:id="622881377">
      <w:bodyDiv w:val="1"/>
      <w:marLeft w:val="0"/>
      <w:marRight w:val="0"/>
      <w:marTop w:val="0"/>
      <w:marBottom w:val="0"/>
      <w:divBdr>
        <w:top w:val="none" w:sz="0" w:space="0" w:color="auto"/>
        <w:left w:val="none" w:sz="0" w:space="0" w:color="auto"/>
        <w:bottom w:val="none" w:sz="0" w:space="0" w:color="auto"/>
        <w:right w:val="none" w:sz="0" w:space="0" w:color="auto"/>
      </w:divBdr>
    </w:div>
    <w:div w:id="643896580">
      <w:bodyDiv w:val="1"/>
      <w:marLeft w:val="0"/>
      <w:marRight w:val="0"/>
      <w:marTop w:val="0"/>
      <w:marBottom w:val="0"/>
      <w:divBdr>
        <w:top w:val="none" w:sz="0" w:space="0" w:color="auto"/>
        <w:left w:val="none" w:sz="0" w:space="0" w:color="auto"/>
        <w:bottom w:val="none" w:sz="0" w:space="0" w:color="auto"/>
        <w:right w:val="none" w:sz="0" w:space="0" w:color="auto"/>
      </w:divBdr>
    </w:div>
    <w:div w:id="683898334">
      <w:bodyDiv w:val="1"/>
      <w:marLeft w:val="0"/>
      <w:marRight w:val="0"/>
      <w:marTop w:val="0"/>
      <w:marBottom w:val="0"/>
      <w:divBdr>
        <w:top w:val="none" w:sz="0" w:space="0" w:color="auto"/>
        <w:left w:val="none" w:sz="0" w:space="0" w:color="auto"/>
        <w:bottom w:val="none" w:sz="0" w:space="0" w:color="auto"/>
        <w:right w:val="none" w:sz="0" w:space="0" w:color="auto"/>
      </w:divBdr>
    </w:div>
    <w:div w:id="710495237">
      <w:bodyDiv w:val="1"/>
      <w:marLeft w:val="0"/>
      <w:marRight w:val="0"/>
      <w:marTop w:val="0"/>
      <w:marBottom w:val="0"/>
      <w:divBdr>
        <w:top w:val="none" w:sz="0" w:space="0" w:color="auto"/>
        <w:left w:val="none" w:sz="0" w:space="0" w:color="auto"/>
        <w:bottom w:val="none" w:sz="0" w:space="0" w:color="auto"/>
        <w:right w:val="none" w:sz="0" w:space="0" w:color="auto"/>
      </w:divBdr>
    </w:div>
    <w:div w:id="744300764">
      <w:bodyDiv w:val="1"/>
      <w:marLeft w:val="0"/>
      <w:marRight w:val="0"/>
      <w:marTop w:val="0"/>
      <w:marBottom w:val="0"/>
      <w:divBdr>
        <w:top w:val="none" w:sz="0" w:space="0" w:color="auto"/>
        <w:left w:val="none" w:sz="0" w:space="0" w:color="auto"/>
        <w:bottom w:val="none" w:sz="0" w:space="0" w:color="auto"/>
        <w:right w:val="none" w:sz="0" w:space="0" w:color="auto"/>
      </w:divBdr>
    </w:div>
    <w:div w:id="746658807">
      <w:bodyDiv w:val="1"/>
      <w:marLeft w:val="0"/>
      <w:marRight w:val="0"/>
      <w:marTop w:val="0"/>
      <w:marBottom w:val="0"/>
      <w:divBdr>
        <w:top w:val="none" w:sz="0" w:space="0" w:color="auto"/>
        <w:left w:val="none" w:sz="0" w:space="0" w:color="auto"/>
        <w:bottom w:val="none" w:sz="0" w:space="0" w:color="auto"/>
        <w:right w:val="none" w:sz="0" w:space="0" w:color="auto"/>
      </w:divBdr>
      <w:divsChild>
        <w:div w:id="431442533">
          <w:marLeft w:val="274"/>
          <w:marRight w:val="0"/>
          <w:marTop w:val="0"/>
          <w:marBottom w:val="240"/>
          <w:divBdr>
            <w:top w:val="none" w:sz="0" w:space="0" w:color="auto"/>
            <w:left w:val="none" w:sz="0" w:space="0" w:color="auto"/>
            <w:bottom w:val="none" w:sz="0" w:space="0" w:color="auto"/>
            <w:right w:val="none" w:sz="0" w:space="0" w:color="auto"/>
          </w:divBdr>
        </w:div>
      </w:divsChild>
    </w:div>
    <w:div w:id="814950528">
      <w:bodyDiv w:val="1"/>
      <w:marLeft w:val="0"/>
      <w:marRight w:val="0"/>
      <w:marTop w:val="0"/>
      <w:marBottom w:val="0"/>
      <w:divBdr>
        <w:top w:val="none" w:sz="0" w:space="0" w:color="auto"/>
        <w:left w:val="none" w:sz="0" w:space="0" w:color="auto"/>
        <w:bottom w:val="none" w:sz="0" w:space="0" w:color="auto"/>
        <w:right w:val="none" w:sz="0" w:space="0" w:color="auto"/>
      </w:divBdr>
    </w:div>
    <w:div w:id="843595954">
      <w:bodyDiv w:val="1"/>
      <w:marLeft w:val="0"/>
      <w:marRight w:val="0"/>
      <w:marTop w:val="0"/>
      <w:marBottom w:val="0"/>
      <w:divBdr>
        <w:top w:val="none" w:sz="0" w:space="0" w:color="auto"/>
        <w:left w:val="none" w:sz="0" w:space="0" w:color="auto"/>
        <w:bottom w:val="none" w:sz="0" w:space="0" w:color="auto"/>
        <w:right w:val="none" w:sz="0" w:space="0" w:color="auto"/>
      </w:divBdr>
    </w:div>
    <w:div w:id="849834491">
      <w:bodyDiv w:val="1"/>
      <w:marLeft w:val="0"/>
      <w:marRight w:val="0"/>
      <w:marTop w:val="0"/>
      <w:marBottom w:val="0"/>
      <w:divBdr>
        <w:top w:val="none" w:sz="0" w:space="0" w:color="auto"/>
        <w:left w:val="none" w:sz="0" w:space="0" w:color="auto"/>
        <w:bottom w:val="none" w:sz="0" w:space="0" w:color="auto"/>
        <w:right w:val="none" w:sz="0" w:space="0" w:color="auto"/>
      </w:divBdr>
    </w:div>
    <w:div w:id="864948251">
      <w:bodyDiv w:val="1"/>
      <w:marLeft w:val="0"/>
      <w:marRight w:val="0"/>
      <w:marTop w:val="0"/>
      <w:marBottom w:val="0"/>
      <w:divBdr>
        <w:top w:val="none" w:sz="0" w:space="0" w:color="auto"/>
        <w:left w:val="none" w:sz="0" w:space="0" w:color="auto"/>
        <w:bottom w:val="none" w:sz="0" w:space="0" w:color="auto"/>
        <w:right w:val="none" w:sz="0" w:space="0" w:color="auto"/>
      </w:divBdr>
    </w:div>
    <w:div w:id="917518112">
      <w:bodyDiv w:val="1"/>
      <w:marLeft w:val="0"/>
      <w:marRight w:val="0"/>
      <w:marTop w:val="0"/>
      <w:marBottom w:val="0"/>
      <w:divBdr>
        <w:top w:val="none" w:sz="0" w:space="0" w:color="auto"/>
        <w:left w:val="none" w:sz="0" w:space="0" w:color="auto"/>
        <w:bottom w:val="none" w:sz="0" w:space="0" w:color="auto"/>
        <w:right w:val="none" w:sz="0" w:space="0" w:color="auto"/>
      </w:divBdr>
    </w:div>
    <w:div w:id="936980771">
      <w:bodyDiv w:val="1"/>
      <w:marLeft w:val="0"/>
      <w:marRight w:val="0"/>
      <w:marTop w:val="0"/>
      <w:marBottom w:val="0"/>
      <w:divBdr>
        <w:top w:val="none" w:sz="0" w:space="0" w:color="auto"/>
        <w:left w:val="none" w:sz="0" w:space="0" w:color="auto"/>
        <w:bottom w:val="none" w:sz="0" w:space="0" w:color="auto"/>
        <w:right w:val="none" w:sz="0" w:space="0" w:color="auto"/>
      </w:divBdr>
    </w:div>
    <w:div w:id="1040206302">
      <w:bodyDiv w:val="1"/>
      <w:marLeft w:val="0"/>
      <w:marRight w:val="0"/>
      <w:marTop w:val="0"/>
      <w:marBottom w:val="0"/>
      <w:divBdr>
        <w:top w:val="none" w:sz="0" w:space="0" w:color="auto"/>
        <w:left w:val="none" w:sz="0" w:space="0" w:color="auto"/>
        <w:bottom w:val="none" w:sz="0" w:space="0" w:color="auto"/>
        <w:right w:val="none" w:sz="0" w:space="0" w:color="auto"/>
      </w:divBdr>
    </w:div>
    <w:div w:id="1042511796">
      <w:bodyDiv w:val="1"/>
      <w:marLeft w:val="0"/>
      <w:marRight w:val="0"/>
      <w:marTop w:val="0"/>
      <w:marBottom w:val="0"/>
      <w:divBdr>
        <w:top w:val="none" w:sz="0" w:space="0" w:color="auto"/>
        <w:left w:val="none" w:sz="0" w:space="0" w:color="auto"/>
        <w:bottom w:val="none" w:sz="0" w:space="0" w:color="auto"/>
        <w:right w:val="none" w:sz="0" w:space="0" w:color="auto"/>
      </w:divBdr>
    </w:div>
    <w:div w:id="1062216192">
      <w:bodyDiv w:val="1"/>
      <w:marLeft w:val="0"/>
      <w:marRight w:val="0"/>
      <w:marTop w:val="0"/>
      <w:marBottom w:val="0"/>
      <w:divBdr>
        <w:top w:val="none" w:sz="0" w:space="0" w:color="auto"/>
        <w:left w:val="none" w:sz="0" w:space="0" w:color="auto"/>
        <w:bottom w:val="none" w:sz="0" w:space="0" w:color="auto"/>
        <w:right w:val="none" w:sz="0" w:space="0" w:color="auto"/>
      </w:divBdr>
    </w:div>
    <w:div w:id="1063676472">
      <w:bodyDiv w:val="1"/>
      <w:marLeft w:val="0"/>
      <w:marRight w:val="0"/>
      <w:marTop w:val="0"/>
      <w:marBottom w:val="0"/>
      <w:divBdr>
        <w:top w:val="none" w:sz="0" w:space="0" w:color="auto"/>
        <w:left w:val="none" w:sz="0" w:space="0" w:color="auto"/>
        <w:bottom w:val="none" w:sz="0" w:space="0" w:color="auto"/>
        <w:right w:val="none" w:sz="0" w:space="0" w:color="auto"/>
      </w:divBdr>
      <w:divsChild>
        <w:div w:id="536042043">
          <w:marLeft w:val="274"/>
          <w:marRight w:val="0"/>
          <w:marTop w:val="0"/>
          <w:marBottom w:val="240"/>
          <w:divBdr>
            <w:top w:val="none" w:sz="0" w:space="0" w:color="auto"/>
            <w:left w:val="none" w:sz="0" w:space="0" w:color="auto"/>
            <w:bottom w:val="none" w:sz="0" w:space="0" w:color="auto"/>
            <w:right w:val="none" w:sz="0" w:space="0" w:color="auto"/>
          </w:divBdr>
        </w:div>
      </w:divsChild>
    </w:div>
    <w:div w:id="1073896407">
      <w:bodyDiv w:val="1"/>
      <w:marLeft w:val="0"/>
      <w:marRight w:val="0"/>
      <w:marTop w:val="0"/>
      <w:marBottom w:val="0"/>
      <w:divBdr>
        <w:top w:val="none" w:sz="0" w:space="0" w:color="auto"/>
        <w:left w:val="none" w:sz="0" w:space="0" w:color="auto"/>
        <w:bottom w:val="none" w:sz="0" w:space="0" w:color="auto"/>
        <w:right w:val="none" w:sz="0" w:space="0" w:color="auto"/>
      </w:divBdr>
    </w:div>
    <w:div w:id="1078789511">
      <w:bodyDiv w:val="1"/>
      <w:marLeft w:val="0"/>
      <w:marRight w:val="0"/>
      <w:marTop w:val="0"/>
      <w:marBottom w:val="0"/>
      <w:divBdr>
        <w:top w:val="none" w:sz="0" w:space="0" w:color="auto"/>
        <w:left w:val="none" w:sz="0" w:space="0" w:color="auto"/>
        <w:bottom w:val="none" w:sz="0" w:space="0" w:color="auto"/>
        <w:right w:val="none" w:sz="0" w:space="0" w:color="auto"/>
      </w:divBdr>
      <w:divsChild>
        <w:div w:id="136727359">
          <w:marLeft w:val="562"/>
          <w:marRight w:val="0"/>
          <w:marTop w:val="58"/>
          <w:marBottom w:val="0"/>
          <w:divBdr>
            <w:top w:val="none" w:sz="0" w:space="0" w:color="auto"/>
            <w:left w:val="none" w:sz="0" w:space="0" w:color="auto"/>
            <w:bottom w:val="none" w:sz="0" w:space="0" w:color="auto"/>
            <w:right w:val="none" w:sz="0" w:space="0" w:color="auto"/>
          </w:divBdr>
        </w:div>
        <w:div w:id="529219637">
          <w:marLeft w:val="562"/>
          <w:marRight w:val="0"/>
          <w:marTop w:val="58"/>
          <w:marBottom w:val="0"/>
          <w:divBdr>
            <w:top w:val="none" w:sz="0" w:space="0" w:color="auto"/>
            <w:left w:val="none" w:sz="0" w:space="0" w:color="auto"/>
            <w:bottom w:val="none" w:sz="0" w:space="0" w:color="auto"/>
            <w:right w:val="none" w:sz="0" w:space="0" w:color="auto"/>
          </w:divBdr>
        </w:div>
        <w:div w:id="1028411915">
          <w:marLeft w:val="562"/>
          <w:marRight w:val="0"/>
          <w:marTop w:val="58"/>
          <w:marBottom w:val="0"/>
          <w:divBdr>
            <w:top w:val="none" w:sz="0" w:space="0" w:color="auto"/>
            <w:left w:val="none" w:sz="0" w:space="0" w:color="auto"/>
            <w:bottom w:val="none" w:sz="0" w:space="0" w:color="auto"/>
            <w:right w:val="none" w:sz="0" w:space="0" w:color="auto"/>
          </w:divBdr>
        </w:div>
        <w:div w:id="1336415414">
          <w:marLeft w:val="562"/>
          <w:marRight w:val="0"/>
          <w:marTop w:val="58"/>
          <w:marBottom w:val="0"/>
          <w:divBdr>
            <w:top w:val="none" w:sz="0" w:space="0" w:color="auto"/>
            <w:left w:val="none" w:sz="0" w:space="0" w:color="auto"/>
            <w:bottom w:val="none" w:sz="0" w:space="0" w:color="auto"/>
            <w:right w:val="none" w:sz="0" w:space="0" w:color="auto"/>
          </w:divBdr>
        </w:div>
        <w:div w:id="2068413125">
          <w:marLeft w:val="562"/>
          <w:marRight w:val="0"/>
          <w:marTop w:val="58"/>
          <w:marBottom w:val="0"/>
          <w:divBdr>
            <w:top w:val="none" w:sz="0" w:space="0" w:color="auto"/>
            <w:left w:val="none" w:sz="0" w:space="0" w:color="auto"/>
            <w:bottom w:val="none" w:sz="0" w:space="0" w:color="auto"/>
            <w:right w:val="none" w:sz="0" w:space="0" w:color="auto"/>
          </w:divBdr>
        </w:div>
      </w:divsChild>
    </w:div>
    <w:div w:id="1124885273">
      <w:bodyDiv w:val="1"/>
      <w:marLeft w:val="0"/>
      <w:marRight w:val="0"/>
      <w:marTop w:val="0"/>
      <w:marBottom w:val="0"/>
      <w:divBdr>
        <w:top w:val="none" w:sz="0" w:space="0" w:color="auto"/>
        <w:left w:val="none" w:sz="0" w:space="0" w:color="auto"/>
        <w:bottom w:val="none" w:sz="0" w:space="0" w:color="auto"/>
        <w:right w:val="none" w:sz="0" w:space="0" w:color="auto"/>
      </w:divBdr>
      <w:divsChild>
        <w:div w:id="768738906">
          <w:marLeft w:val="562"/>
          <w:marRight w:val="0"/>
          <w:marTop w:val="58"/>
          <w:marBottom w:val="0"/>
          <w:divBdr>
            <w:top w:val="none" w:sz="0" w:space="0" w:color="auto"/>
            <w:left w:val="none" w:sz="0" w:space="0" w:color="auto"/>
            <w:bottom w:val="none" w:sz="0" w:space="0" w:color="auto"/>
            <w:right w:val="none" w:sz="0" w:space="0" w:color="auto"/>
          </w:divBdr>
        </w:div>
        <w:div w:id="1692489105">
          <w:marLeft w:val="562"/>
          <w:marRight w:val="0"/>
          <w:marTop w:val="58"/>
          <w:marBottom w:val="0"/>
          <w:divBdr>
            <w:top w:val="none" w:sz="0" w:space="0" w:color="auto"/>
            <w:left w:val="none" w:sz="0" w:space="0" w:color="auto"/>
            <w:bottom w:val="none" w:sz="0" w:space="0" w:color="auto"/>
            <w:right w:val="none" w:sz="0" w:space="0" w:color="auto"/>
          </w:divBdr>
        </w:div>
      </w:divsChild>
    </w:div>
    <w:div w:id="1207135699">
      <w:bodyDiv w:val="1"/>
      <w:marLeft w:val="0"/>
      <w:marRight w:val="0"/>
      <w:marTop w:val="0"/>
      <w:marBottom w:val="0"/>
      <w:divBdr>
        <w:top w:val="none" w:sz="0" w:space="0" w:color="auto"/>
        <w:left w:val="none" w:sz="0" w:space="0" w:color="auto"/>
        <w:bottom w:val="none" w:sz="0" w:space="0" w:color="auto"/>
        <w:right w:val="none" w:sz="0" w:space="0" w:color="auto"/>
      </w:divBdr>
    </w:div>
    <w:div w:id="1310745754">
      <w:bodyDiv w:val="1"/>
      <w:marLeft w:val="0"/>
      <w:marRight w:val="0"/>
      <w:marTop w:val="0"/>
      <w:marBottom w:val="0"/>
      <w:divBdr>
        <w:top w:val="none" w:sz="0" w:space="0" w:color="auto"/>
        <w:left w:val="none" w:sz="0" w:space="0" w:color="auto"/>
        <w:bottom w:val="none" w:sz="0" w:space="0" w:color="auto"/>
        <w:right w:val="none" w:sz="0" w:space="0" w:color="auto"/>
      </w:divBdr>
    </w:div>
    <w:div w:id="1310862198">
      <w:bodyDiv w:val="1"/>
      <w:marLeft w:val="0"/>
      <w:marRight w:val="0"/>
      <w:marTop w:val="0"/>
      <w:marBottom w:val="0"/>
      <w:divBdr>
        <w:top w:val="none" w:sz="0" w:space="0" w:color="auto"/>
        <w:left w:val="none" w:sz="0" w:space="0" w:color="auto"/>
        <w:bottom w:val="none" w:sz="0" w:space="0" w:color="auto"/>
        <w:right w:val="none" w:sz="0" w:space="0" w:color="auto"/>
      </w:divBdr>
      <w:divsChild>
        <w:div w:id="1351373008">
          <w:marLeft w:val="562"/>
          <w:marRight w:val="0"/>
          <w:marTop w:val="58"/>
          <w:marBottom w:val="0"/>
          <w:divBdr>
            <w:top w:val="none" w:sz="0" w:space="0" w:color="auto"/>
            <w:left w:val="none" w:sz="0" w:space="0" w:color="auto"/>
            <w:bottom w:val="none" w:sz="0" w:space="0" w:color="auto"/>
            <w:right w:val="none" w:sz="0" w:space="0" w:color="auto"/>
          </w:divBdr>
        </w:div>
        <w:div w:id="1667247306">
          <w:marLeft w:val="562"/>
          <w:marRight w:val="0"/>
          <w:marTop w:val="58"/>
          <w:marBottom w:val="0"/>
          <w:divBdr>
            <w:top w:val="none" w:sz="0" w:space="0" w:color="auto"/>
            <w:left w:val="none" w:sz="0" w:space="0" w:color="auto"/>
            <w:bottom w:val="none" w:sz="0" w:space="0" w:color="auto"/>
            <w:right w:val="none" w:sz="0" w:space="0" w:color="auto"/>
          </w:divBdr>
        </w:div>
      </w:divsChild>
    </w:div>
    <w:div w:id="1317998045">
      <w:bodyDiv w:val="1"/>
      <w:marLeft w:val="0"/>
      <w:marRight w:val="0"/>
      <w:marTop w:val="0"/>
      <w:marBottom w:val="0"/>
      <w:divBdr>
        <w:top w:val="none" w:sz="0" w:space="0" w:color="auto"/>
        <w:left w:val="none" w:sz="0" w:space="0" w:color="auto"/>
        <w:bottom w:val="none" w:sz="0" w:space="0" w:color="auto"/>
        <w:right w:val="none" w:sz="0" w:space="0" w:color="auto"/>
      </w:divBdr>
    </w:div>
    <w:div w:id="1372268918">
      <w:bodyDiv w:val="1"/>
      <w:marLeft w:val="0"/>
      <w:marRight w:val="0"/>
      <w:marTop w:val="0"/>
      <w:marBottom w:val="0"/>
      <w:divBdr>
        <w:top w:val="none" w:sz="0" w:space="0" w:color="auto"/>
        <w:left w:val="none" w:sz="0" w:space="0" w:color="auto"/>
        <w:bottom w:val="none" w:sz="0" w:space="0" w:color="auto"/>
        <w:right w:val="none" w:sz="0" w:space="0" w:color="auto"/>
      </w:divBdr>
    </w:div>
    <w:div w:id="1396201385">
      <w:bodyDiv w:val="1"/>
      <w:marLeft w:val="0"/>
      <w:marRight w:val="0"/>
      <w:marTop w:val="0"/>
      <w:marBottom w:val="0"/>
      <w:divBdr>
        <w:top w:val="none" w:sz="0" w:space="0" w:color="auto"/>
        <w:left w:val="none" w:sz="0" w:space="0" w:color="auto"/>
        <w:bottom w:val="none" w:sz="0" w:space="0" w:color="auto"/>
        <w:right w:val="none" w:sz="0" w:space="0" w:color="auto"/>
      </w:divBdr>
    </w:div>
    <w:div w:id="1466046245">
      <w:bodyDiv w:val="1"/>
      <w:marLeft w:val="0"/>
      <w:marRight w:val="0"/>
      <w:marTop w:val="0"/>
      <w:marBottom w:val="0"/>
      <w:divBdr>
        <w:top w:val="none" w:sz="0" w:space="0" w:color="auto"/>
        <w:left w:val="none" w:sz="0" w:space="0" w:color="auto"/>
        <w:bottom w:val="none" w:sz="0" w:space="0" w:color="auto"/>
        <w:right w:val="none" w:sz="0" w:space="0" w:color="auto"/>
      </w:divBdr>
      <w:divsChild>
        <w:div w:id="1827475169">
          <w:marLeft w:val="274"/>
          <w:marRight w:val="0"/>
          <w:marTop w:val="0"/>
          <w:marBottom w:val="240"/>
          <w:divBdr>
            <w:top w:val="none" w:sz="0" w:space="0" w:color="auto"/>
            <w:left w:val="none" w:sz="0" w:space="0" w:color="auto"/>
            <w:bottom w:val="none" w:sz="0" w:space="0" w:color="auto"/>
            <w:right w:val="none" w:sz="0" w:space="0" w:color="auto"/>
          </w:divBdr>
        </w:div>
      </w:divsChild>
    </w:div>
    <w:div w:id="1471286389">
      <w:bodyDiv w:val="1"/>
      <w:marLeft w:val="0"/>
      <w:marRight w:val="0"/>
      <w:marTop w:val="0"/>
      <w:marBottom w:val="0"/>
      <w:divBdr>
        <w:top w:val="none" w:sz="0" w:space="0" w:color="auto"/>
        <w:left w:val="none" w:sz="0" w:space="0" w:color="auto"/>
        <w:bottom w:val="none" w:sz="0" w:space="0" w:color="auto"/>
        <w:right w:val="none" w:sz="0" w:space="0" w:color="auto"/>
      </w:divBdr>
    </w:div>
    <w:div w:id="1523545684">
      <w:bodyDiv w:val="1"/>
      <w:marLeft w:val="0"/>
      <w:marRight w:val="0"/>
      <w:marTop w:val="0"/>
      <w:marBottom w:val="0"/>
      <w:divBdr>
        <w:top w:val="none" w:sz="0" w:space="0" w:color="auto"/>
        <w:left w:val="none" w:sz="0" w:space="0" w:color="auto"/>
        <w:bottom w:val="none" w:sz="0" w:space="0" w:color="auto"/>
        <w:right w:val="none" w:sz="0" w:space="0" w:color="auto"/>
      </w:divBdr>
    </w:div>
    <w:div w:id="1557201613">
      <w:bodyDiv w:val="1"/>
      <w:marLeft w:val="0"/>
      <w:marRight w:val="0"/>
      <w:marTop w:val="0"/>
      <w:marBottom w:val="0"/>
      <w:divBdr>
        <w:top w:val="none" w:sz="0" w:space="0" w:color="auto"/>
        <w:left w:val="none" w:sz="0" w:space="0" w:color="auto"/>
        <w:bottom w:val="none" w:sz="0" w:space="0" w:color="auto"/>
        <w:right w:val="none" w:sz="0" w:space="0" w:color="auto"/>
      </w:divBdr>
    </w:div>
    <w:div w:id="1609656251">
      <w:bodyDiv w:val="1"/>
      <w:marLeft w:val="0"/>
      <w:marRight w:val="0"/>
      <w:marTop w:val="0"/>
      <w:marBottom w:val="0"/>
      <w:divBdr>
        <w:top w:val="none" w:sz="0" w:space="0" w:color="auto"/>
        <w:left w:val="none" w:sz="0" w:space="0" w:color="auto"/>
        <w:bottom w:val="none" w:sz="0" w:space="0" w:color="auto"/>
        <w:right w:val="none" w:sz="0" w:space="0" w:color="auto"/>
      </w:divBdr>
      <w:divsChild>
        <w:div w:id="519899653">
          <w:marLeft w:val="562"/>
          <w:marRight w:val="0"/>
          <w:marTop w:val="58"/>
          <w:marBottom w:val="0"/>
          <w:divBdr>
            <w:top w:val="none" w:sz="0" w:space="0" w:color="auto"/>
            <w:left w:val="none" w:sz="0" w:space="0" w:color="auto"/>
            <w:bottom w:val="none" w:sz="0" w:space="0" w:color="auto"/>
            <w:right w:val="none" w:sz="0" w:space="0" w:color="auto"/>
          </w:divBdr>
        </w:div>
        <w:div w:id="763458381">
          <w:marLeft w:val="562"/>
          <w:marRight w:val="0"/>
          <w:marTop w:val="58"/>
          <w:marBottom w:val="0"/>
          <w:divBdr>
            <w:top w:val="none" w:sz="0" w:space="0" w:color="auto"/>
            <w:left w:val="none" w:sz="0" w:space="0" w:color="auto"/>
            <w:bottom w:val="none" w:sz="0" w:space="0" w:color="auto"/>
            <w:right w:val="none" w:sz="0" w:space="0" w:color="auto"/>
          </w:divBdr>
        </w:div>
        <w:div w:id="1251231334">
          <w:marLeft w:val="562"/>
          <w:marRight w:val="0"/>
          <w:marTop w:val="58"/>
          <w:marBottom w:val="0"/>
          <w:divBdr>
            <w:top w:val="none" w:sz="0" w:space="0" w:color="auto"/>
            <w:left w:val="none" w:sz="0" w:space="0" w:color="auto"/>
            <w:bottom w:val="none" w:sz="0" w:space="0" w:color="auto"/>
            <w:right w:val="none" w:sz="0" w:space="0" w:color="auto"/>
          </w:divBdr>
        </w:div>
      </w:divsChild>
    </w:div>
    <w:div w:id="1624068817">
      <w:bodyDiv w:val="1"/>
      <w:marLeft w:val="0"/>
      <w:marRight w:val="0"/>
      <w:marTop w:val="0"/>
      <w:marBottom w:val="0"/>
      <w:divBdr>
        <w:top w:val="none" w:sz="0" w:space="0" w:color="auto"/>
        <w:left w:val="none" w:sz="0" w:space="0" w:color="auto"/>
        <w:bottom w:val="none" w:sz="0" w:space="0" w:color="auto"/>
        <w:right w:val="none" w:sz="0" w:space="0" w:color="auto"/>
      </w:divBdr>
    </w:div>
    <w:div w:id="1638801389">
      <w:bodyDiv w:val="1"/>
      <w:marLeft w:val="0"/>
      <w:marRight w:val="0"/>
      <w:marTop w:val="0"/>
      <w:marBottom w:val="0"/>
      <w:divBdr>
        <w:top w:val="none" w:sz="0" w:space="0" w:color="auto"/>
        <w:left w:val="none" w:sz="0" w:space="0" w:color="auto"/>
        <w:bottom w:val="none" w:sz="0" w:space="0" w:color="auto"/>
        <w:right w:val="none" w:sz="0" w:space="0" w:color="auto"/>
      </w:divBdr>
      <w:divsChild>
        <w:div w:id="1479567748">
          <w:marLeft w:val="562"/>
          <w:marRight w:val="0"/>
          <w:marTop w:val="58"/>
          <w:marBottom w:val="0"/>
          <w:divBdr>
            <w:top w:val="none" w:sz="0" w:space="0" w:color="auto"/>
            <w:left w:val="none" w:sz="0" w:space="0" w:color="auto"/>
            <w:bottom w:val="none" w:sz="0" w:space="0" w:color="auto"/>
            <w:right w:val="none" w:sz="0" w:space="0" w:color="auto"/>
          </w:divBdr>
        </w:div>
        <w:div w:id="1717007070">
          <w:marLeft w:val="562"/>
          <w:marRight w:val="0"/>
          <w:marTop w:val="58"/>
          <w:marBottom w:val="0"/>
          <w:divBdr>
            <w:top w:val="none" w:sz="0" w:space="0" w:color="auto"/>
            <w:left w:val="none" w:sz="0" w:space="0" w:color="auto"/>
            <w:bottom w:val="none" w:sz="0" w:space="0" w:color="auto"/>
            <w:right w:val="none" w:sz="0" w:space="0" w:color="auto"/>
          </w:divBdr>
        </w:div>
      </w:divsChild>
    </w:div>
    <w:div w:id="1682899229">
      <w:bodyDiv w:val="1"/>
      <w:marLeft w:val="0"/>
      <w:marRight w:val="0"/>
      <w:marTop w:val="0"/>
      <w:marBottom w:val="0"/>
      <w:divBdr>
        <w:top w:val="none" w:sz="0" w:space="0" w:color="auto"/>
        <w:left w:val="none" w:sz="0" w:space="0" w:color="auto"/>
        <w:bottom w:val="none" w:sz="0" w:space="0" w:color="auto"/>
        <w:right w:val="none" w:sz="0" w:space="0" w:color="auto"/>
      </w:divBdr>
      <w:divsChild>
        <w:div w:id="456799424">
          <w:marLeft w:val="562"/>
          <w:marRight w:val="0"/>
          <w:marTop w:val="58"/>
          <w:marBottom w:val="0"/>
          <w:divBdr>
            <w:top w:val="none" w:sz="0" w:space="0" w:color="auto"/>
            <w:left w:val="none" w:sz="0" w:space="0" w:color="auto"/>
            <w:bottom w:val="none" w:sz="0" w:space="0" w:color="auto"/>
            <w:right w:val="none" w:sz="0" w:space="0" w:color="auto"/>
          </w:divBdr>
        </w:div>
        <w:div w:id="1175650794">
          <w:marLeft w:val="562"/>
          <w:marRight w:val="0"/>
          <w:marTop w:val="58"/>
          <w:marBottom w:val="0"/>
          <w:divBdr>
            <w:top w:val="none" w:sz="0" w:space="0" w:color="auto"/>
            <w:left w:val="none" w:sz="0" w:space="0" w:color="auto"/>
            <w:bottom w:val="none" w:sz="0" w:space="0" w:color="auto"/>
            <w:right w:val="none" w:sz="0" w:space="0" w:color="auto"/>
          </w:divBdr>
        </w:div>
      </w:divsChild>
    </w:div>
    <w:div w:id="1769622645">
      <w:bodyDiv w:val="1"/>
      <w:marLeft w:val="0"/>
      <w:marRight w:val="0"/>
      <w:marTop w:val="0"/>
      <w:marBottom w:val="0"/>
      <w:divBdr>
        <w:top w:val="none" w:sz="0" w:space="0" w:color="auto"/>
        <w:left w:val="none" w:sz="0" w:space="0" w:color="auto"/>
        <w:bottom w:val="none" w:sz="0" w:space="0" w:color="auto"/>
        <w:right w:val="none" w:sz="0" w:space="0" w:color="auto"/>
      </w:divBdr>
      <w:divsChild>
        <w:div w:id="220943314">
          <w:marLeft w:val="562"/>
          <w:marRight w:val="0"/>
          <w:marTop w:val="58"/>
          <w:marBottom w:val="0"/>
          <w:divBdr>
            <w:top w:val="none" w:sz="0" w:space="0" w:color="auto"/>
            <w:left w:val="none" w:sz="0" w:space="0" w:color="auto"/>
            <w:bottom w:val="none" w:sz="0" w:space="0" w:color="auto"/>
            <w:right w:val="none" w:sz="0" w:space="0" w:color="auto"/>
          </w:divBdr>
        </w:div>
        <w:div w:id="306133826">
          <w:marLeft w:val="562"/>
          <w:marRight w:val="0"/>
          <w:marTop w:val="58"/>
          <w:marBottom w:val="0"/>
          <w:divBdr>
            <w:top w:val="none" w:sz="0" w:space="0" w:color="auto"/>
            <w:left w:val="none" w:sz="0" w:space="0" w:color="auto"/>
            <w:bottom w:val="none" w:sz="0" w:space="0" w:color="auto"/>
            <w:right w:val="none" w:sz="0" w:space="0" w:color="auto"/>
          </w:divBdr>
        </w:div>
        <w:div w:id="481311120">
          <w:marLeft w:val="562"/>
          <w:marRight w:val="0"/>
          <w:marTop w:val="58"/>
          <w:marBottom w:val="0"/>
          <w:divBdr>
            <w:top w:val="none" w:sz="0" w:space="0" w:color="auto"/>
            <w:left w:val="none" w:sz="0" w:space="0" w:color="auto"/>
            <w:bottom w:val="none" w:sz="0" w:space="0" w:color="auto"/>
            <w:right w:val="none" w:sz="0" w:space="0" w:color="auto"/>
          </w:divBdr>
        </w:div>
      </w:divsChild>
    </w:div>
    <w:div w:id="1848054804">
      <w:bodyDiv w:val="1"/>
      <w:marLeft w:val="0"/>
      <w:marRight w:val="0"/>
      <w:marTop w:val="0"/>
      <w:marBottom w:val="0"/>
      <w:divBdr>
        <w:top w:val="none" w:sz="0" w:space="0" w:color="auto"/>
        <w:left w:val="none" w:sz="0" w:space="0" w:color="auto"/>
        <w:bottom w:val="none" w:sz="0" w:space="0" w:color="auto"/>
        <w:right w:val="none" w:sz="0" w:space="0" w:color="auto"/>
      </w:divBdr>
    </w:div>
    <w:div w:id="1856528537">
      <w:bodyDiv w:val="1"/>
      <w:marLeft w:val="0"/>
      <w:marRight w:val="0"/>
      <w:marTop w:val="0"/>
      <w:marBottom w:val="0"/>
      <w:divBdr>
        <w:top w:val="none" w:sz="0" w:space="0" w:color="auto"/>
        <w:left w:val="none" w:sz="0" w:space="0" w:color="auto"/>
        <w:bottom w:val="none" w:sz="0" w:space="0" w:color="auto"/>
        <w:right w:val="none" w:sz="0" w:space="0" w:color="auto"/>
      </w:divBdr>
    </w:div>
    <w:div w:id="1866479284">
      <w:bodyDiv w:val="1"/>
      <w:marLeft w:val="0"/>
      <w:marRight w:val="0"/>
      <w:marTop w:val="0"/>
      <w:marBottom w:val="0"/>
      <w:divBdr>
        <w:top w:val="none" w:sz="0" w:space="0" w:color="auto"/>
        <w:left w:val="none" w:sz="0" w:space="0" w:color="auto"/>
        <w:bottom w:val="none" w:sz="0" w:space="0" w:color="auto"/>
        <w:right w:val="none" w:sz="0" w:space="0" w:color="auto"/>
      </w:divBdr>
    </w:div>
    <w:div w:id="1878153417">
      <w:bodyDiv w:val="1"/>
      <w:marLeft w:val="0"/>
      <w:marRight w:val="0"/>
      <w:marTop w:val="0"/>
      <w:marBottom w:val="0"/>
      <w:divBdr>
        <w:top w:val="none" w:sz="0" w:space="0" w:color="auto"/>
        <w:left w:val="none" w:sz="0" w:space="0" w:color="auto"/>
        <w:bottom w:val="none" w:sz="0" w:space="0" w:color="auto"/>
        <w:right w:val="none" w:sz="0" w:space="0" w:color="auto"/>
      </w:divBdr>
    </w:div>
    <w:div w:id="1886143054">
      <w:bodyDiv w:val="1"/>
      <w:marLeft w:val="0"/>
      <w:marRight w:val="0"/>
      <w:marTop w:val="0"/>
      <w:marBottom w:val="0"/>
      <w:divBdr>
        <w:top w:val="none" w:sz="0" w:space="0" w:color="auto"/>
        <w:left w:val="none" w:sz="0" w:space="0" w:color="auto"/>
        <w:bottom w:val="none" w:sz="0" w:space="0" w:color="auto"/>
        <w:right w:val="none" w:sz="0" w:space="0" w:color="auto"/>
      </w:divBdr>
    </w:div>
    <w:div w:id="1963539123">
      <w:bodyDiv w:val="1"/>
      <w:marLeft w:val="0"/>
      <w:marRight w:val="0"/>
      <w:marTop w:val="0"/>
      <w:marBottom w:val="0"/>
      <w:divBdr>
        <w:top w:val="none" w:sz="0" w:space="0" w:color="auto"/>
        <w:left w:val="none" w:sz="0" w:space="0" w:color="auto"/>
        <w:bottom w:val="none" w:sz="0" w:space="0" w:color="auto"/>
        <w:right w:val="none" w:sz="0" w:space="0" w:color="auto"/>
      </w:divBdr>
    </w:div>
    <w:div w:id="1967353174">
      <w:bodyDiv w:val="1"/>
      <w:marLeft w:val="0"/>
      <w:marRight w:val="0"/>
      <w:marTop w:val="0"/>
      <w:marBottom w:val="0"/>
      <w:divBdr>
        <w:top w:val="none" w:sz="0" w:space="0" w:color="auto"/>
        <w:left w:val="none" w:sz="0" w:space="0" w:color="auto"/>
        <w:bottom w:val="none" w:sz="0" w:space="0" w:color="auto"/>
        <w:right w:val="none" w:sz="0" w:space="0" w:color="auto"/>
      </w:divBdr>
    </w:div>
    <w:div w:id="1968581828">
      <w:bodyDiv w:val="1"/>
      <w:marLeft w:val="0"/>
      <w:marRight w:val="0"/>
      <w:marTop w:val="0"/>
      <w:marBottom w:val="0"/>
      <w:divBdr>
        <w:top w:val="none" w:sz="0" w:space="0" w:color="auto"/>
        <w:left w:val="none" w:sz="0" w:space="0" w:color="auto"/>
        <w:bottom w:val="none" w:sz="0" w:space="0" w:color="auto"/>
        <w:right w:val="none" w:sz="0" w:space="0" w:color="auto"/>
      </w:divBdr>
    </w:div>
    <w:div w:id="2058430542">
      <w:bodyDiv w:val="1"/>
      <w:marLeft w:val="0"/>
      <w:marRight w:val="0"/>
      <w:marTop w:val="0"/>
      <w:marBottom w:val="0"/>
      <w:divBdr>
        <w:top w:val="none" w:sz="0" w:space="0" w:color="auto"/>
        <w:left w:val="none" w:sz="0" w:space="0" w:color="auto"/>
        <w:bottom w:val="none" w:sz="0" w:space="0" w:color="auto"/>
        <w:right w:val="none" w:sz="0" w:space="0" w:color="auto"/>
      </w:divBdr>
    </w:div>
    <w:div w:id="2131582764">
      <w:bodyDiv w:val="1"/>
      <w:marLeft w:val="0"/>
      <w:marRight w:val="0"/>
      <w:marTop w:val="0"/>
      <w:marBottom w:val="0"/>
      <w:divBdr>
        <w:top w:val="none" w:sz="0" w:space="0" w:color="auto"/>
        <w:left w:val="none" w:sz="0" w:space="0" w:color="auto"/>
        <w:bottom w:val="none" w:sz="0" w:space="0" w:color="auto"/>
        <w:right w:val="none" w:sz="0" w:space="0" w:color="auto"/>
      </w:divBdr>
      <w:divsChild>
        <w:div w:id="412354680">
          <w:marLeft w:val="562"/>
          <w:marRight w:val="0"/>
          <w:marTop w:val="58"/>
          <w:marBottom w:val="0"/>
          <w:divBdr>
            <w:top w:val="none" w:sz="0" w:space="0" w:color="auto"/>
            <w:left w:val="none" w:sz="0" w:space="0" w:color="auto"/>
            <w:bottom w:val="none" w:sz="0" w:space="0" w:color="auto"/>
            <w:right w:val="none" w:sz="0" w:space="0" w:color="auto"/>
          </w:divBdr>
        </w:div>
        <w:div w:id="579561536">
          <w:marLeft w:val="562"/>
          <w:marRight w:val="0"/>
          <w:marTop w:val="58"/>
          <w:marBottom w:val="0"/>
          <w:divBdr>
            <w:top w:val="none" w:sz="0" w:space="0" w:color="auto"/>
            <w:left w:val="none" w:sz="0" w:space="0" w:color="auto"/>
            <w:bottom w:val="none" w:sz="0" w:space="0" w:color="auto"/>
            <w:right w:val="none" w:sz="0" w:space="0" w:color="auto"/>
          </w:divBdr>
        </w:div>
        <w:div w:id="1572235979">
          <w:marLeft w:val="562"/>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5.emf"/><Relationship Id="rId39" Type="http://schemas.openxmlformats.org/officeDocument/2006/relationships/image" Target="media/image11.emf"/><Relationship Id="rId21" Type="http://schemas.openxmlformats.org/officeDocument/2006/relationships/image" Target="media/image2.png"/><Relationship Id="rId34" Type="http://schemas.openxmlformats.org/officeDocument/2006/relationships/image" Target="media/image9.emf"/><Relationship Id="rId42" Type="http://schemas.openxmlformats.org/officeDocument/2006/relationships/image" Target="media/image14.png"/><Relationship Id="rId47" Type="http://schemas.openxmlformats.org/officeDocument/2006/relationships/image" Target="media/image19.emf"/><Relationship Id="rId50" Type="http://schemas.openxmlformats.org/officeDocument/2006/relationships/image" Target="cid:image004.png@01DB142B.BFD81400" TargetMode="External"/><Relationship Id="rId55" Type="http://schemas.openxmlformats.org/officeDocument/2006/relationships/hyperlink" Target="https://eur01.safelinks.protection.outlook.com/?url=https%3A%2F%2Fcreativecommons.org%2Flicenses%2Fby%2F4.0%2F&amp;data=05%7C02%7CEmma.Gillingham%40au.ey.com%7Cb82293f4e48841b11e5e08dce1ef116b%7C5b973f9977df4bebb27daa0c70b8482c%7C0%7C0%7C638633664154789341%7CUnknown%7CTWFpbGZsb3d8eyJWIjoiMC4wLjAwMDAiLCJQIjoiV2luMzIiLCJBTiI6Ik1haWwiLCJXVCI6Mn0%3D%7C0%7C%7C%7C&amp;sdata=mJ%2Fd%2FVZ0Tabs%2Fe%2BUJl3jSIqXgD50F7%2FXqVWKH%2FVJLgo%3D&amp;reserved=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4.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8.png"/><Relationship Id="rId37" Type="http://schemas.openxmlformats.org/officeDocument/2006/relationships/chart" Target="charts/chart9.xml"/><Relationship Id="rId40" Type="http://schemas.openxmlformats.org/officeDocument/2006/relationships/image" Target="media/image12.png"/><Relationship Id="rId45" Type="http://schemas.openxmlformats.org/officeDocument/2006/relationships/image" Target="media/image17.emf"/><Relationship Id="rId53" Type="http://schemas.openxmlformats.org/officeDocument/2006/relationships/hyperlink" Target="https://eur01.safelinks.protection.outlook.com/?url=https%3A%2F%2Fcreativecommons.org%2Flicenses%2Fby%2F4.0%2Flegalcode&amp;data=05%7C02%7CEmma.Gillingham%40au.ey.com%7Cb82293f4e48841b11e5e08dce1ef116b%7C5b973f9977df4bebb27daa0c70b8482c%7C0%7C0%7C638633664154804447%7CUnknown%7CTWFpbGZsb3d8eyJWIjoiMC4wLjAwMDAiLCJQIjoiV2luMzIiLCJBTiI6Ik1haWwiLCJXVCI6Mn0%3D%7C0%7C%7C%7C&amp;sdata=eeSwb%2FUCEyZxxFnfudIeDPIMNysatRYBU8ctZhMPea0%3D&amp;reserved=0" TargetMode="External"/><Relationship Id="rId58" Type="http://schemas.openxmlformats.org/officeDocument/2006/relationships/footer" Target="footer6.xml"/><Relationship Id="rId5" Type="http://schemas.openxmlformats.org/officeDocument/2006/relationships/numbering" Target="numbering.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6.emf"/><Relationship Id="rId30" Type="http://schemas.openxmlformats.org/officeDocument/2006/relationships/chart" Target="charts/chart5.xml"/><Relationship Id="rId35" Type="http://schemas.openxmlformats.org/officeDocument/2006/relationships/chart" Target="charts/chart7.xml"/><Relationship Id="rId43" Type="http://schemas.openxmlformats.org/officeDocument/2006/relationships/image" Target="media/image15.png"/><Relationship Id="rId48" Type="http://schemas.openxmlformats.org/officeDocument/2006/relationships/image" Target="media/image20.emf"/><Relationship Id="rId56" Type="http://schemas.openxmlformats.org/officeDocument/2006/relationships/hyperlink" Target="https://eur01.safelinks.protection.outlook.com/?url=https%3A%2F%2Fcreativecommons.org%2Flicenses%2Fby%2F4.0%2Flegalcode&amp;data=05%7C02%7CEmma.Gillingham%40au.ey.com%7Cb82293f4e48841b11e5e08dce1ef116b%7C5b973f9977df4bebb27daa0c70b8482c%7C0%7C0%7C638633664154804447%7CUnknown%7CTWFpbGZsb3d8eyJWIjoiMC4wLjAwMDAiLCJQIjoiV2luMzIiLCJBTiI6Ik1haWwiLCJXVCI6Mn0%3D%7C0%7C%7C%7C&amp;sdata=eeSwb%2FUCEyZxxFnfudIeDPIMNysatRYBU8ctZhMPea0%3D&amp;reserved=0" TargetMode="External"/><Relationship Id="rId8" Type="http://schemas.openxmlformats.org/officeDocument/2006/relationships/webSettings" Target="webSettings.xml"/><Relationship Id="rId51" Type="http://schemas.openxmlformats.org/officeDocument/2006/relationships/hyperlink" Target="https://eur01.safelinks.protection.outlook.com/?url=http%3A%2F%2Fcreativecommons.org%2Flicenses%2Fby%2F4.0%2F&amp;data=05%7C02%7CEmma.Gillingham%40au.ey.com%7Cb82293f4e48841b11e5e08dce1ef116b%7C5b973f9977df4bebb27daa0c70b8482c%7C0%7C0%7C638633664154773920%7CUnknown%7CTWFpbGZsb3d8eyJWIjoiMC4wLjAwMDAiLCJQIjoiV2luMzIiLCJBTiI6Ik1haWwiLCJXVCI6Mn0%3D%7C0%7C%7C%7C&amp;sdata=YqPrpPgR80o3YA2PcGqbuMFUR0iX6%2BDwO1%2FL21AhTt8%3D&amp;reserved=0"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image" Target="media/image10.emf"/><Relationship Id="rId46" Type="http://schemas.openxmlformats.org/officeDocument/2006/relationships/image" Target="media/image18.png"/><Relationship Id="rId59"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image" Target="media/image13.png"/><Relationship Id="rId54" Type="http://schemas.openxmlformats.org/officeDocument/2006/relationships/hyperlink" Target="https://eur01.safelinks.protection.outlook.com/?url=http%3A%2F%2Fcreativecommons.org%2Flicenses%2Fby%2F4.0%2F&amp;data=05%7C02%7CEmma.Gillingham%40au.ey.com%7Cb82293f4e48841b11e5e08dce1ef116b%7C5b973f9977df4bebb27daa0c70b8482c%7C0%7C0%7C638633664154773920%7CUnknown%7CTWFpbGZsb3d8eyJWIjoiMC4wLjAwMDAiLCJQIjoiV2luMzIiLCJBTiI6Ik1haWwiLCJXVCI6Mn0%3D%7C0%7C%7C%7C&amp;sdata=YqPrpPgR80o3YA2PcGqbuMFUR0iX6%2BDwO1%2FL21AhTt8%3D&amp;reserved=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chart" Target="charts/chart3.xml"/><Relationship Id="rId36" Type="http://schemas.openxmlformats.org/officeDocument/2006/relationships/chart" Target="charts/chart8.xml"/><Relationship Id="rId49" Type="http://schemas.openxmlformats.org/officeDocument/2006/relationships/image" Target="media/image21.png"/><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hyperlink" Target="https://eur01.safelinks.protection.outlook.com/?url=https%3A%2F%2Fcreativecommons.org%2Flicenses%2Fby%2F4.0%2F&amp;data=05%7C02%7CEmma.Gillingham%40au.ey.com%7Cb82293f4e48841b11e5e08dce1ef116b%7C5b973f9977df4bebb27daa0c70b8482c%7C0%7C0%7C638633664154789341%7CUnknown%7CTWFpbGZsb3d8eyJWIjoiMC4wLjAwMDAiLCJQIjoiV2luMzIiLCJBTiI6Ik1haWwiLCJXVCI6Mn0%3D%7C0%7C%7C%7C&amp;sdata=mJ%2Fd%2FVZ0Tabs%2Fe%2BUJl3jSIqXgD50F7%2FXqVWKH%2FVJLgo%3D&amp;reserved=0"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cienceandtechnologyaustralia.org.au/australians-overwhelmingly-trust-in-scien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T711TS\AppData\Roaming\Microsoft\Templates\EYWord\Reports\AUS_EY_Report_Portrait_Cover_Include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eyaustralia.sharepoint.com/sites/ChiefScientist-OpenAccessAnalysis/Shared%20Documents/General/Modelling/Results%20combined%20copy.xlsm"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eyaustralia.sharepoint.com/sites/ChiefScientist-OpenAccessAnalysis/Shared%20Documents/General/Research/Data/Report%20visual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yaustralia.sharepoint.com/sites/ChiefScientist-OpenAccessAnalysis/Shared%20Documents/General/CAUL%20data/CAUL%20data%20combined.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https://eyaustralia.sharepoint.com/sites/ChiefScientist-OpenAccessAnalysis/Shared%20Documents/General/Data/CAUL%20data/CAUL%20data%20combined.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https://eyaustralia.sharepoint.com/sites/ChiefScientist-OpenAccessAnalysis/Shared%20Documents/General/JSON_COKI%20data.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oleObject" Target="https://eyaustralia.sharepoint.com/sites/ChiefScientist-OpenAccessAnalysis/Shared%20Documents/General/Research/Data/Report%20visual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yaustralia.sharepoint.com/sites/ChiefScientist-OpenAccessAnalysis/Shared%20Documents/General/Modelling/Results%20combined%20copy.xlsm"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3" Type="http://schemas.openxmlformats.org/officeDocument/2006/relationships/oleObject" Target="https://eyaustralia.sharepoint.com/sites/ChiefScientist-OpenAccessAnalysis/Shared%20Documents/General/Modelling/Results%20combined%20copy.xlsm"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_rels/chart9.xml.rels><?xml version="1.0" encoding="UTF-8" standalone="yes"?>
<Relationships xmlns="http://schemas.openxmlformats.org/package/2006/relationships"><Relationship Id="rId3" Type="http://schemas.openxmlformats.org/officeDocument/2006/relationships/oleObject" Target="https://eyaustralia.sharepoint.com/sites/ChiefScientist-OpenAccessAnalysis/Shared%20Documents/General/Modelling/Results%20combined%20copy.xlsm"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43276294373816"/>
          <c:y val="6.9491227284647905E-2"/>
          <c:w val="0.83062367483394184"/>
          <c:h val="0.75700090189782332"/>
        </c:manualLayout>
      </c:layout>
      <c:scatterChart>
        <c:scatterStyle val="lineMarker"/>
        <c:varyColors val="0"/>
        <c:ser>
          <c:idx val="0"/>
          <c:order val="0"/>
          <c:tx>
            <c:v>Low scenario</c:v>
          </c:tx>
          <c:spPr>
            <a:ln w="19050" cap="rnd">
              <a:solidFill>
                <a:srgbClr val="FFE600"/>
              </a:solidFill>
              <a:prstDash val="solid"/>
              <a:round/>
            </a:ln>
            <a:effectLst/>
          </c:spPr>
          <c:marker>
            <c:symbol val="circle"/>
            <c:size val="5"/>
            <c:spPr>
              <a:noFill/>
              <a:ln w="9525">
                <a:noFill/>
              </a:ln>
              <a:effectLst/>
            </c:spPr>
          </c:marker>
          <c:xVal>
            <c:numRef>
              <c:f>'Charts (emma)'!$D$28:$AE$28</c:f>
              <c:numCache>
                <c:formatCode>General</c:formatCode>
                <c:ptCount val="2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numCache>
            </c:numRef>
          </c:xVal>
          <c:yVal>
            <c:numRef>
              <c:f>'Charts (emma)'!$D$29:$AE$29</c:f>
              <c:numCache>
                <c:formatCode>_(* #,##0.00_);_(* \(#,##0.00\);_(* "-"??_);_(@_)</c:formatCode>
                <c:ptCount val="28"/>
                <c:pt idx="0">
                  <c:v>12.972826737677678</c:v>
                </c:pt>
                <c:pt idx="1">
                  <c:v>31.354297793237492</c:v>
                </c:pt>
                <c:pt idx="2">
                  <c:v>60.026853836141527</c:v>
                </c:pt>
                <c:pt idx="3">
                  <c:v>118.14258187543601</c:v>
                </c:pt>
                <c:pt idx="4">
                  <c:v>180.51342974603176</c:v>
                </c:pt>
                <c:pt idx="5">
                  <c:v>247.07547061517835</c:v>
                </c:pt>
                <c:pt idx="6">
                  <c:v>317.82871335977688</c:v>
                </c:pt>
                <c:pt idx="7">
                  <c:v>392.8508721315302</c:v>
                </c:pt>
                <c:pt idx="8">
                  <c:v>472.36855837050825</c:v>
                </c:pt>
                <c:pt idx="9">
                  <c:v>557.21504503209144</c:v>
                </c:pt>
                <c:pt idx="10">
                  <c:v>646.42196640372276</c:v>
                </c:pt>
                <c:pt idx="11">
                  <c:v>740.08888448309153</c:v>
                </c:pt>
                <c:pt idx="12">
                  <c:v>838.33508007694036</c:v>
                </c:pt>
                <c:pt idx="13">
                  <c:v>941.30167534016073</c:v>
                </c:pt>
                <c:pt idx="14">
                  <c:v>1049.1647280757315</c:v>
                </c:pt>
                <c:pt idx="15">
                  <c:v>1162.2214618539438</c:v>
                </c:pt>
                <c:pt idx="16">
                  <c:v>1280.4346505757421</c:v>
                </c:pt>
                <c:pt idx="17">
                  <c:v>1403.9729459173977</c:v>
                </c:pt>
                <c:pt idx="18">
                  <c:v>1533.0143245048821</c:v>
                </c:pt>
                <c:pt idx="19">
                  <c:v>1667.7456128448248</c:v>
                </c:pt>
                <c:pt idx="20">
                  <c:v>1808.3621542844921</c:v>
                </c:pt>
                <c:pt idx="21">
                  <c:v>1955.0675876475871</c:v>
                </c:pt>
                <c:pt idx="22">
                  <c:v>2108.0737172761001</c:v>
                </c:pt>
                <c:pt idx="23">
                  <c:v>2267.600455834996</c:v>
                </c:pt>
                <c:pt idx="24">
                  <c:v>2433.8758297003806</c:v>
                </c:pt>
                <c:pt idx="25">
                  <c:v>2607.1360322302207</c:v>
                </c:pt>
                <c:pt idx="26">
                  <c:v>2787.6255201129243</c:v>
                </c:pt>
                <c:pt idx="27">
                  <c:v>2887.9424384967424</c:v>
                </c:pt>
              </c:numCache>
            </c:numRef>
          </c:yVal>
          <c:smooth val="0"/>
          <c:extLst>
            <c:ext xmlns:c16="http://schemas.microsoft.com/office/drawing/2014/chart" uri="{C3380CC4-5D6E-409C-BE32-E72D297353CC}">
              <c16:uniqueId val="{00000000-B930-43CD-912A-43D89BC990B5}"/>
            </c:ext>
          </c:extLst>
        </c:ser>
        <c:ser>
          <c:idx val="1"/>
          <c:order val="1"/>
          <c:tx>
            <c:v>High scenario</c:v>
          </c:tx>
          <c:spPr>
            <a:ln w="19050" cap="rnd">
              <a:solidFill>
                <a:srgbClr val="2E2E38"/>
              </a:solidFill>
              <a:prstDash val="solid"/>
              <a:round/>
            </a:ln>
            <a:effectLst/>
          </c:spPr>
          <c:marker>
            <c:symbol val="circle"/>
            <c:size val="5"/>
            <c:spPr>
              <a:noFill/>
              <a:ln w="9525">
                <a:noFill/>
              </a:ln>
              <a:effectLst/>
            </c:spPr>
          </c:marker>
          <c:xVal>
            <c:numRef>
              <c:f>'Charts (emma)'!$D$28:$AE$28</c:f>
              <c:numCache>
                <c:formatCode>General</c:formatCode>
                <c:ptCount val="2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numCache>
            </c:numRef>
          </c:xVal>
          <c:yVal>
            <c:numRef>
              <c:f>'Charts (emma)'!$D$30:$AE$30</c:f>
              <c:numCache>
                <c:formatCode>_(* #,##0.00_);_(* \(#,##0.00\);_(* "-"??_);_(@_)</c:formatCode>
                <c:ptCount val="28"/>
                <c:pt idx="0">
                  <c:v>25.945514999795705</c:v>
                </c:pt>
                <c:pt idx="1">
                  <c:v>62.708482930669561</c:v>
                </c:pt>
                <c:pt idx="2">
                  <c:v>120.05407380545512</c:v>
                </c:pt>
                <c:pt idx="3">
                  <c:v>236.28809620067477</c:v>
                </c:pt>
                <c:pt idx="4">
                  <c:v>361.03456300403923</c:v>
                </c:pt>
                <c:pt idx="5">
                  <c:v>494.16557826148346</c:v>
                </c:pt>
                <c:pt idx="6">
                  <c:v>635.68125713709742</c:v>
                </c:pt>
                <c:pt idx="7">
                  <c:v>785.73720892006531</c:v>
                </c:pt>
                <c:pt idx="8">
                  <c:v>944.78689843975008</c:v>
                </c:pt>
                <c:pt idx="9">
                  <c:v>1114.4972206694074</c:v>
                </c:pt>
                <c:pt idx="10">
                  <c:v>1292.931608483661</c:v>
                </c:pt>
                <c:pt idx="11">
                  <c:v>1480.2894633449614</c:v>
                </c:pt>
                <c:pt idx="12">
                  <c:v>1676.8096333383583</c:v>
                </c:pt>
                <c:pt idx="13">
                  <c:v>1882.7746614268981</c:v>
                </c:pt>
                <c:pt idx="14">
                  <c:v>2098.536973293405</c:v>
                </c:pt>
                <c:pt idx="15">
                  <c:v>2324.6913537401706</c:v>
                </c:pt>
                <c:pt idx="16">
                  <c:v>2561.1636483366601</c:v>
                </c:pt>
                <c:pt idx="17">
                  <c:v>2808.2914968486875</c:v>
                </c:pt>
                <c:pt idx="18">
                  <c:v>3066.4312009289861</c:v>
                </c:pt>
                <c:pt idx="19">
                  <c:v>3335.9567751907744</c:v>
                </c:pt>
                <c:pt idx="20">
                  <c:v>3617.2592822685838</c:v>
                </c:pt>
                <c:pt idx="21">
                  <c:v>3910.7463912810199</c:v>
                </c:pt>
                <c:pt idx="22">
                  <c:v>4216.8421175251715</c:v>
                </c:pt>
                <c:pt idx="23">
                  <c:v>4535.986711631529</c:v>
                </c:pt>
                <c:pt idx="24">
                  <c:v>4868.6366686685942</c:v>
                </c:pt>
                <c:pt idx="25">
                  <c:v>5215.2648373642005</c:v>
                </c:pt>
                <c:pt idx="26">
                  <c:v>5576.3606132646091</c:v>
                </c:pt>
                <c:pt idx="27">
                  <c:v>5777.079039376229</c:v>
                </c:pt>
              </c:numCache>
            </c:numRef>
          </c:yVal>
          <c:smooth val="0"/>
          <c:extLst>
            <c:ext xmlns:c16="http://schemas.microsoft.com/office/drawing/2014/chart" uri="{C3380CC4-5D6E-409C-BE32-E72D297353CC}">
              <c16:uniqueId val="{00000001-B930-43CD-912A-43D89BC990B5}"/>
            </c:ext>
          </c:extLst>
        </c:ser>
        <c:dLbls>
          <c:showLegendKey val="0"/>
          <c:showVal val="0"/>
          <c:showCatName val="0"/>
          <c:showSerName val="0"/>
          <c:showPercent val="0"/>
          <c:showBubbleSize val="0"/>
        </c:dLbls>
        <c:axId val="553244720"/>
        <c:axId val="553248328"/>
      </c:scatterChart>
      <c:valAx>
        <c:axId val="553244720"/>
        <c:scaling>
          <c:orientation val="minMax"/>
          <c:max val="2050"/>
        </c:scaling>
        <c:delete val="0"/>
        <c:axPos val="b"/>
        <c:numFmt formatCode="General" sourceLinked="1"/>
        <c:majorTickMark val="none"/>
        <c:minorTickMark val="none"/>
        <c:tickLblPos val="nextTo"/>
        <c:spPr>
          <a:noFill/>
          <a:ln w="9525" cap="flat" cmpd="sng" algn="ctr">
            <a:no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endParaRPr lang="en-US"/>
          </a:p>
        </c:txPr>
        <c:crossAx val="553248328"/>
        <c:crosses val="autoZero"/>
        <c:crossBetween val="midCat"/>
      </c:valAx>
      <c:valAx>
        <c:axId val="553248328"/>
        <c:scaling>
          <c:orientation val="minMax"/>
        </c:scaling>
        <c:delete val="0"/>
        <c:axPos val="l"/>
        <c:majorGridlines>
          <c:spPr>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r>
                  <a:rPr lang="en-AU"/>
                  <a:t>Economic output (GDP $ millions)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endParaRPr lang="en-US"/>
            </a:p>
          </c:txPr>
        </c:title>
        <c:numFmt formatCode="_(* #,##0_);_(* \(#,##0\);_(* &quot;-&quot;_);_(@_)"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endParaRPr lang="en-US"/>
          </a:p>
        </c:txPr>
        <c:crossAx val="553244720"/>
        <c:crosses val="autoZero"/>
        <c:crossBetween val="midCat"/>
      </c:valAx>
      <c:spPr>
        <a:noFill/>
        <a:ln w="25400">
          <a:noFill/>
        </a:ln>
        <a:effectLst/>
      </c:spPr>
    </c:plotArea>
    <c:legend>
      <c:legendPos val="b"/>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c:spPr>
  <c:txPr>
    <a:bodyPr/>
    <a:lstStyle/>
    <a:p>
      <a:pPr>
        <a:defRPr sz="800">
          <a:latin typeface="EYInterstate Light" panose="02000506000000020004" pitchFamily="2" charset="0"/>
          <a:ea typeface="Arial"/>
          <a:cs typeface="Arial"/>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solidFill>
            <a:ln>
              <a:noFill/>
            </a:ln>
            <a:effectLst/>
          </c:spPr>
          <c:invertIfNegative val="0"/>
          <c:cat>
            <c:numRef>
              <c:f>GovExpend_SRI!$C$37:$M$37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GovExpend_SRI!$C$38:$M$38</c:f>
              <c:numCache>
                <c:formatCode>_-"$"* #,##0_-;\-"$"* #,##0_-;_-"$"* "-"??_-;_-@_-</c:formatCode>
                <c:ptCount val="11"/>
                <c:pt idx="0">
                  <c:v>8872.9602730000006</c:v>
                </c:pt>
                <c:pt idx="1">
                  <c:v>10046.059719000001</c:v>
                </c:pt>
                <c:pt idx="2">
                  <c:v>9844.1569399999989</c:v>
                </c:pt>
                <c:pt idx="3">
                  <c:v>9838.0300079999997</c:v>
                </c:pt>
                <c:pt idx="4">
                  <c:v>9781.2213994100002</c:v>
                </c:pt>
                <c:pt idx="5">
                  <c:v>9593.2249567800009</c:v>
                </c:pt>
                <c:pt idx="6">
                  <c:v>9517.3426506900014</c:v>
                </c:pt>
                <c:pt idx="7">
                  <c:v>10255.864576320002</c:v>
                </c:pt>
                <c:pt idx="8">
                  <c:v>9968.15100145</c:v>
                </c:pt>
                <c:pt idx="9">
                  <c:v>10321.292000000001</c:v>
                </c:pt>
                <c:pt idx="10">
                  <c:v>12016.023117999999</c:v>
                </c:pt>
              </c:numCache>
            </c:numRef>
          </c:val>
          <c:extLst>
            <c:ext xmlns:c16="http://schemas.microsoft.com/office/drawing/2014/chart" uri="{C3380CC4-5D6E-409C-BE32-E72D297353CC}">
              <c16:uniqueId val="{00000000-F9A5-41B9-97B5-1E2FD85038CD}"/>
            </c:ext>
          </c:extLst>
        </c:ser>
        <c:dLbls>
          <c:showLegendKey val="0"/>
          <c:showVal val="0"/>
          <c:showCatName val="0"/>
          <c:showSerName val="0"/>
          <c:showPercent val="0"/>
          <c:showBubbleSize val="0"/>
        </c:dLbls>
        <c:gapWidth val="150"/>
        <c:axId val="1028771936"/>
        <c:axId val="1146244448"/>
      </c:barChart>
      <c:catAx>
        <c:axId val="102877193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bg2"/>
                </a:solidFill>
                <a:latin typeface="EYInterstate Light" panose="02000506000000020004" pitchFamily="2" charset="0"/>
                <a:ea typeface="+mn-ea"/>
                <a:cs typeface="+mn-cs"/>
              </a:defRPr>
            </a:pPr>
            <a:endParaRPr lang="en-US"/>
          </a:p>
        </c:txPr>
        <c:crossAx val="1146244448"/>
        <c:crosses val="autoZero"/>
        <c:auto val="1"/>
        <c:lblAlgn val="ctr"/>
        <c:lblOffset val="100"/>
        <c:noMultiLvlLbl val="0"/>
      </c:catAx>
      <c:valAx>
        <c:axId val="11462444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bg2"/>
                    </a:solidFill>
                    <a:latin typeface="EYInterstate Light" panose="02000506000000020004" pitchFamily="2" charset="0"/>
                    <a:ea typeface="+mn-ea"/>
                    <a:cs typeface="+mn-cs"/>
                  </a:defRPr>
                </a:pPr>
                <a:r>
                  <a:rPr lang="en-AU"/>
                  <a:t>Investment ($billions)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bg2"/>
                  </a:solidFill>
                  <a:latin typeface="EYInterstate Light" panose="02000506000000020004" pitchFamily="2" charset="0"/>
                  <a:ea typeface="+mn-ea"/>
                  <a:cs typeface="+mn-cs"/>
                </a:defRPr>
              </a:pPr>
              <a:endParaRPr lang="en-US"/>
            </a:p>
          </c:txPr>
        </c:title>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solidFill>
                <a:latin typeface="EYInterstate Light" panose="02000506000000020004" pitchFamily="2" charset="0"/>
                <a:ea typeface="+mn-ea"/>
                <a:cs typeface="+mn-cs"/>
              </a:defRPr>
            </a:pPr>
            <a:endParaRPr lang="en-US"/>
          </a:p>
        </c:txPr>
        <c:crossAx val="1028771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bg2"/>
          </a:solidFill>
          <a:latin typeface="EYInterstate Light" panose="02000506000000020004"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60627177700348"/>
          <c:y val="3.1463030938647087E-2"/>
          <c:w val="0.72848432055749124"/>
          <c:h val="0.76037763895139732"/>
        </c:manualLayout>
      </c:layout>
      <c:barChart>
        <c:barDir val="col"/>
        <c:grouping val="clustered"/>
        <c:varyColors val="0"/>
        <c:ser>
          <c:idx val="0"/>
          <c:order val="0"/>
          <c:tx>
            <c:strRef>
              <c:f>Summary!$C$21</c:f>
              <c:strCache>
                <c:ptCount val="1"/>
                <c:pt idx="0">
                  <c:v>Library expenditure</c:v>
                </c:pt>
              </c:strCache>
            </c:strRef>
          </c:tx>
          <c:spPr>
            <a:solidFill>
              <a:srgbClr val="FFE600"/>
            </a:solidFill>
            <a:ln>
              <a:noFill/>
            </a:ln>
            <a:effectLst/>
          </c:spPr>
          <c:invertIfNegative val="0"/>
          <c:cat>
            <c:numRef>
              <c:f>Summary!$D$20:$N$20</c:f>
              <c:numCache>
                <c:formatCode>General</c:formatCode>
                <c:ptCount val="9"/>
                <c:pt idx="0">
                  <c:v>2012</c:v>
                </c:pt>
                <c:pt idx="1">
                  <c:v>2013</c:v>
                </c:pt>
                <c:pt idx="2">
                  <c:v>2014</c:v>
                </c:pt>
                <c:pt idx="3">
                  <c:v>2015</c:v>
                </c:pt>
                <c:pt idx="4">
                  <c:v>2016</c:v>
                </c:pt>
                <c:pt idx="5">
                  <c:v>2017</c:v>
                </c:pt>
                <c:pt idx="6">
                  <c:v>2018</c:v>
                </c:pt>
                <c:pt idx="7">
                  <c:v>2019</c:v>
                </c:pt>
                <c:pt idx="8">
                  <c:v>2020</c:v>
                </c:pt>
              </c:numCache>
              <c:extLst/>
            </c:numRef>
          </c:cat>
          <c:val>
            <c:numRef>
              <c:f>Summary!$D$21:$N$21</c:f>
              <c:numCache>
                <c:formatCode>_-"$"* #,##0_-;\-"$"* #,##0_-;_-"$"* "-"??_-;_-@_-</c:formatCode>
                <c:ptCount val="9"/>
                <c:pt idx="0">
                  <c:v>667.65216499999997</c:v>
                </c:pt>
                <c:pt idx="1">
                  <c:v>663.38643209000008</c:v>
                </c:pt>
                <c:pt idx="2">
                  <c:v>698.52539899999999</c:v>
                </c:pt>
                <c:pt idx="3">
                  <c:v>696.841722</c:v>
                </c:pt>
                <c:pt idx="4">
                  <c:v>739.390266</c:v>
                </c:pt>
                <c:pt idx="5">
                  <c:v>756.59670842000003</c:v>
                </c:pt>
                <c:pt idx="6">
                  <c:v>782.72367199999997</c:v>
                </c:pt>
                <c:pt idx="7">
                  <c:v>793.36926647000007</c:v>
                </c:pt>
                <c:pt idx="8">
                  <c:v>744.08004999000002</c:v>
                </c:pt>
              </c:numCache>
              <c:extLst/>
            </c:numRef>
          </c:val>
          <c:extLst>
            <c:ext xmlns:c16="http://schemas.microsoft.com/office/drawing/2014/chart" uri="{C3380CC4-5D6E-409C-BE32-E72D297353CC}">
              <c16:uniqueId val="{00000000-CAEB-4445-8853-557BA588BDE9}"/>
            </c:ext>
          </c:extLst>
        </c:ser>
        <c:dLbls>
          <c:showLegendKey val="0"/>
          <c:showVal val="0"/>
          <c:showCatName val="0"/>
          <c:showSerName val="0"/>
          <c:showPercent val="0"/>
          <c:showBubbleSize val="0"/>
        </c:dLbls>
        <c:gapWidth val="219"/>
        <c:overlap val="-27"/>
        <c:axId val="1217304744"/>
        <c:axId val="1217301136"/>
        <c:extLst/>
      </c:barChart>
      <c:lineChart>
        <c:grouping val="standard"/>
        <c:varyColors val="0"/>
        <c:ser>
          <c:idx val="2"/>
          <c:order val="1"/>
          <c:tx>
            <c:strRef>
              <c:f>Summary!$C$26</c:f>
              <c:strCache>
                <c:ptCount val="1"/>
                <c:pt idx="0">
                  <c:v>Inflation</c:v>
                </c:pt>
              </c:strCache>
            </c:strRef>
          </c:tx>
          <c:spPr>
            <a:ln w="28575" cap="rnd">
              <a:solidFill>
                <a:srgbClr val="44454D"/>
              </a:solidFill>
              <a:prstDash val="solid"/>
              <a:round/>
            </a:ln>
            <a:effectLst/>
          </c:spPr>
          <c:marker>
            <c:symbol val="none"/>
          </c:marker>
          <c:cat>
            <c:numRef>
              <c:f>Summary!$D$20:$N$20</c:f>
              <c:numCache>
                <c:formatCode>General</c:formatCode>
                <c:ptCount val="9"/>
                <c:pt idx="0">
                  <c:v>2012</c:v>
                </c:pt>
                <c:pt idx="1">
                  <c:v>2013</c:v>
                </c:pt>
                <c:pt idx="2">
                  <c:v>2014</c:v>
                </c:pt>
                <c:pt idx="3">
                  <c:v>2015</c:v>
                </c:pt>
                <c:pt idx="4">
                  <c:v>2016</c:v>
                </c:pt>
                <c:pt idx="5">
                  <c:v>2017</c:v>
                </c:pt>
                <c:pt idx="6">
                  <c:v>2018</c:v>
                </c:pt>
                <c:pt idx="7">
                  <c:v>2019</c:v>
                </c:pt>
                <c:pt idx="8">
                  <c:v>2020</c:v>
                </c:pt>
              </c:numCache>
              <c:extLst/>
            </c:numRef>
          </c:cat>
          <c:val>
            <c:numRef>
              <c:f>Summary!$D$27:$N$27</c:f>
              <c:numCache>
                <c:formatCode>General</c:formatCode>
                <c:ptCount val="9"/>
                <c:pt idx="0" formatCode="_-&quot;$&quot;* #,##0_-;\-&quot;$&quot;* #,##0_-;_-&quot;$&quot;* &quot;-&quot;??_-;_-@_-">
                  <c:v>667.65216499999997</c:v>
                </c:pt>
                <c:pt idx="1">
                  <c:v>684.34346912499996</c:v>
                </c:pt>
                <c:pt idx="2">
                  <c:v>704.18942972962486</c:v>
                </c:pt>
                <c:pt idx="3">
                  <c:v>713.34389231610987</c:v>
                </c:pt>
                <c:pt idx="4">
                  <c:v>722.61736291621924</c:v>
                </c:pt>
                <c:pt idx="5">
                  <c:v>737.79232753745976</c:v>
                </c:pt>
                <c:pt idx="6">
                  <c:v>751.81038176067148</c:v>
                </c:pt>
                <c:pt idx="7">
                  <c:v>761.58391672356015</c:v>
                </c:pt>
                <c:pt idx="8">
                  <c:v>778.3387628914785</c:v>
                </c:pt>
              </c:numCache>
              <c:extLst/>
            </c:numRef>
          </c:val>
          <c:smooth val="0"/>
          <c:extLst>
            <c:ext xmlns:c16="http://schemas.microsoft.com/office/drawing/2014/chart" uri="{C3380CC4-5D6E-409C-BE32-E72D297353CC}">
              <c16:uniqueId val="{00000001-CAEB-4445-8853-557BA588BDE9}"/>
            </c:ext>
          </c:extLst>
        </c:ser>
        <c:dLbls>
          <c:showLegendKey val="0"/>
          <c:showVal val="0"/>
          <c:showCatName val="0"/>
          <c:showSerName val="0"/>
          <c:showPercent val="0"/>
          <c:showBubbleSize val="0"/>
        </c:dLbls>
        <c:marker val="1"/>
        <c:smooth val="0"/>
        <c:axId val="1217304744"/>
        <c:axId val="1217301136"/>
      </c:lineChart>
      <c:catAx>
        <c:axId val="1217304744"/>
        <c:scaling>
          <c:orientation val="minMax"/>
        </c:scaling>
        <c:delete val="0"/>
        <c:axPos val="b"/>
        <c:numFmt formatCode="General" sourceLinked="1"/>
        <c:majorTickMark val="none"/>
        <c:minorTickMark val="none"/>
        <c:tickLblPos val="nextTo"/>
        <c:spPr>
          <a:noFill/>
          <a:ln w="9525" cap="flat" cmpd="sng" algn="ctr">
            <a:no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00" b="0" i="0" u="none" strike="noStrike" kern="1200" baseline="0">
                <a:solidFill>
                  <a:sysClr val="windowText" lastClr="000000"/>
                </a:solidFill>
                <a:latin typeface="EYInterstate Light" panose="02000506000000020004" pitchFamily="2" charset="0"/>
                <a:ea typeface="Arial"/>
                <a:cs typeface="Arial"/>
              </a:defRPr>
            </a:pPr>
            <a:endParaRPr lang="en-US"/>
          </a:p>
        </c:txPr>
        <c:crossAx val="1217301136"/>
        <c:crosses val="autoZero"/>
        <c:auto val="1"/>
        <c:lblAlgn val="ctr"/>
        <c:lblOffset val="100"/>
        <c:noMultiLvlLbl val="0"/>
      </c:catAx>
      <c:valAx>
        <c:axId val="1217301136"/>
        <c:scaling>
          <c:orientation val="minMax"/>
          <c:max val="800"/>
          <c:min val="650"/>
        </c:scaling>
        <c:delete val="0"/>
        <c:axPos val="l"/>
        <c:majorGridlines>
          <c:spPr>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EYInterstate Light" panose="02000506000000020004" pitchFamily="2" charset="0"/>
                    <a:ea typeface="Arial"/>
                    <a:cs typeface="Arial"/>
                  </a:defRPr>
                </a:pPr>
                <a:r>
                  <a:rPr lang="en-AU"/>
                  <a:t>Library expenditure ($ millions)</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EYInterstate Light" panose="02000506000000020004" pitchFamily="2" charset="0"/>
                  <a:ea typeface="Arial"/>
                  <a:cs typeface="Arial"/>
                </a:defRPr>
              </a:pPr>
              <a:endParaRPr lang="en-US"/>
            </a:p>
          </c:txPr>
        </c:title>
        <c:numFmt formatCode="_-&quot;$&quot;* #,##0_-;\-&quot;$&quot;* #,##0_-;_-&quot;$&quot;* &quot;-&quot;??_-;_-@_-" sourceLinked="1"/>
        <c:majorTickMark val="none"/>
        <c:minorTickMark val="none"/>
        <c:tickLblPos val="nextTo"/>
        <c:spPr>
          <a:noFill/>
          <a:ln w="9525">
            <a:no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00" b="0" i="0" u="none" strike="noStrike" kern="1200" baseline="0">
                <a:solidFill>
                  <a:sysClr val="windowText" lastClr="000000"/>
                </a:solidFill>
                <a:latin typeface="EYInterstate Light" panose="02000506000000020004" pitchFamily="2" charset="0"/>
                <a:ea typeface="Arial"/>
                <a:cs typeface="Arial"/>
              </a:defRPr>
            </a:pPr>
            <a:endParaRPr lang="en-US"/>
          </a:p>
        </c:txPr>
        <c:crossAx val="1217304744"/>
        <c:crosses val="autoZero"/>
        <c:crossBetween val="between"/>
        <c:majorUnit val="25"/>
      </c:valAx>
      <c:spPr>
        <a:noFill/>
        <a:ln w="25400">
          <a:noFill/>
        </a:ln>
        <a:effectLst/>
      </c:spPr>
    </c:plotArea>
    <c:legend>
      <c:legendPos val="b"/>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700" b="0" i="0" u="none" strike="noStrike" kern="1200" baseline="0">
              <a:solidFill>
                <a:sysClr val="windowText" lastClr="000000"/>
              </a:solidFill>
              <a:latin typeface="EYInterstate Light" panose="02000506000000020004" pitchFamily="2" charset="0"/>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c:spPr>
  <c:txPr>
    <a:bodyPr/>
    <a:lstStyle/>
    <a:p>
      <a:pPr>
        <a:defRPr sz="700">
          <a:solidFill>
            <a:sysClr val="windowText" lastClr="000000"/>
          </a:solidFill>
          <a:latin typeface="EYInterstate Light" panose="02000506000000020004" pitchFamily="2" charset="0"/>
          <a:ea typeface="Arial"/>
          <a:cs typeface="Arial"/>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63644948064212"/>
          <c:y val="2.998036211669974E-2"/>
          <c:w val="0.5637393767705382"/>
          <c:h val="0.68372780259002108"/>
        </c:manualLayout>
      </c:layout>
      <c:barChart>
        <c:barDir val="col"/>
        <c:grouping val="clustered"/>
        <c:varyColors val="0"/>
        <c:ser>
          <c:idx val="1"/>
          <c:order val="1"/>
          <c:tx>
            <c:strRef>
              <c:f>Summary!$C$29</c:f>
              <c:strCache>
                <c:ptCount val="1"/>
                <c:pt idx="0">
                  <c:v>Journal expenditure</c:v>
                </c:pt>
              </c:strCache>
            </c:strRef>
          </c:tx>
          <c:spPr>
            <a:solidFill>
              <a:schemeClr val="tx2"/>
            </a:solidFill>
            <a:ln>
              <a:noFill/>
            </a:ln>
            <a:effectLst/>
          </c:spPr>
          <c:invertIfNegative val="0"/>
          <c:cat>
            <c:numRef>
              <c:f>Summary!$D$20:$N$20</c:f>
              <c:numCache>
                <c:formatCode>General</c:formatCode>
                <c:ptCount val="3"/>
                <c:pt idx="0">
                  <c:v>2018</c:v>
                </c:pt>
                <c:pt idx="1">
                  <c:v>2019</c:v>
                </c:pt>
                <c:pt idx="2">
                  <c:v>2020</c:v>
                </c:pt>
              </c:numCache>
              <c:extLst/>
            </c:numRef>
          </c:cat>
          <c:val>
            <c:numRef>
              <c:f>Summary!$D$29:$N$29</c:f>
              <c:numCache>
                <c:formatCode>_-"$"* #,##0_-;\-"$"* #,##0_-;_-"$"* "-"??_-;_-@_-</c:formatCode>
                <c:ptCount val="3"/>
                <c:pt idx="0">
                  <c:v>249.96553900000001</c:v>
                </c:pt>
                <c:pt idx="1">
                  <c:v>273.67995991000004</c:v>
                </c:pt>
                <c:pt idx="2">
                  <c:v>281.83314654000003</c:v>
                </c:pt>
              </c:numCache>
              <c:extLst/>
            </c:numRef>
          </c:val>
          <c:extLst>
            <c:ext xmlns:c16="http://schemas.microsoft.com/office/drawing/2014/chart" uri="{C3380CC4-5D6E-409C-BE32-E72D297353CC}">
              <c16:uniqueId val="{00000000-EBB3-4905-98A5-3137CB718A36}"/>
            </c:ext>
          </c:extLst>
        </c:ser>
        <c:dLbls>
          <c:showLegendKey val="0"/>
          <c:showVal val="0"/>
          <c:showCatName val="0"/>
          <c:showSerName val="0"/>
          <c:showPercent val="0"/>
          <c:showBubbleSize val="0"/>
        </c:dLbls>
        <c:gapWidth val="219"/>
        <c:axId val="1254189448"/>
        <c:axId val="1254193384"/>
      </c:barChart>
      <c:lineChart>
        <c:grouping val="standard"/>
        <c:varyColors val="0"/>
        <c:ser>
          <c:idx val="2"/>
          <c:order val="2"/>
          <c:tx>
            <c:strRef>
              <c:f>Summary!$C$30</c:f>
              <c:strCache>
                <c:ptCount val="1"/>
                <c:pt idx="0">
                  <c:v>Inflation</c:v>
                </c:pt>
              </c:strCache>
            </c:strRef>
          </c:tx>
          <c:spPr>
            <a:ln w="28575" cap="rnd">
              <a:solidFill>
                <a:srgbClr val="44454D"/>
              </a:solidFill>
              <a:prstDash val="solid"/>
              <a:round/>
            </a:ln>
            <a:effectLst/>
          </c:spPr>
          <c:marker>
            <c:symbol val="none"/>
          </c:marker>
          <c:cat>
            <c:numRef>
              <c:f>Summary!$D$20:$N$20</c:f>
              <c:numCache>
                <c:formatCode>General</c:formatCode>
                <c:ptCount val="3"/>
                <c:pt idx="0">
                  <c:v>2018</c:v>
                </c:pt>
                <c:pt idx="1">
                  <c:v>2019</c:v>
                </c:pt>
                <c:pt idx="2">
                  <c:v>2020</c:v>
                </c:pt>
              </c:numCache>
              <c:extLst/>
            </c:numRef>
          </c:cat>
          <c:val>
            <c:numRef>
              <c:f>Summary!$D$30:$N$30</c:f>
              <c:numCache>
                <c:formatCode>_("$"* #,##0.00_);_("$"* \(#,##0.00\);_("$"* "-"??_);_(@_)</c:formatCode>
                <c:ptCount val="3"/>
                <c:pt idx="0" formatCode="_-&quot;$&quot;* #,##0_-;\-&quot;$&quot;* #,##0_-;_-&quot;$&quot;* &quot;-&quot;??_-;_-@_-">
                  <c:v>249.96553900000001</c:v>
                </c:pt>
                <c:pt idx="1">
                  <c:v>253.21509100699998</c:v>
                </c:pt>
                <c:pt idx="2">
                  <c:v>258.785823009154</c:v>
                </c:pt>
              </c:numCache>
              <c:extLst/>
            </c:numRef>
          </c:val>
          <c:smooth val="0"/>
          <c:extLst>
            <c:ext xmlns:c16="http://schemas.microsoft.com/office/drawing/2014/chart" uri="{C3380CC4-5D6E-409C-BE32-E72D297353CC}">
              <c16:uniqueId val="{00000001-EBB3-4905-98A5-3137CB718A36}"/>
            </c:ext>
          </c:extLst>
        </c:ser>
        <c:dLbls>
          <c:showLegendKey val="0"/>
          <c:showVal val="0"/>
          <c:showCatName val="0"/>
          <c:showSerName val="0"/>
          <c:showPercent val="0"/>
          <c:showBubbleSize val="0"/>
        </c:dLbls>
        <c:marker val="1"/>
        <c:smooth val="0"/>
        <c:axId val="1254189448"/>
        <c:axId val="1254193384"/>
      </c:lineChart>
      <c:lineChart>
        <c:grouping val="standard"/>
        <c:varyColors val="0"/>
        <c:ser>
          <c:idx val="0"/>
          <c:order val="0"/>
          <c:tx>
            <c:strRef>
              <c:f>Summary!$C$28</c:f>
              <c:strCache>
                <c:ptCount val="1"/>
                <c:pt idx="0">
                  <c:v>Journal expenditure % of total library expenditure (RHS)</c:v>
                </c:pt>
              </c:strCache>
            </c:strRef>
          </c:tx>
          <c:spPr>
            <a:ln w="28575" cap="rnd">
              <a:solidFill>
                <a:schemeClr val="tx1">
                  <a:lumMod val="60000"/>
                  <a:lumOff val="40000"/>
                </a:schemeClr>
              </a:solidFill>
              <a:prstDash val="solid"/>
              <a:round/>
            </a:ln>
            <a:effectLst/>
          </c:spPr>
          <c:marker>
            <c:symbol val="none"/>
          </c:marker>
          <c:cat>
            <c:numRef>
              <c:f>Summary!$D$20:$N$20</c:f>
              <c:numCache>
                <c:formatCode>General</c:formatCode>
                <c:ptCount val="3"/>
                <c:pt idx="0">
                  <c:v>2018</c:v>
                </c:pt>
                <c:pt idx="1">
                  <c:v>2019</c:v>
                </c:pt>
                <c:pt idx="2">
                  <c:v>2020</c:v>
                </c:pt>
              </c:numCache>
              <c:extLst/>
            </c:numRef>
          </c:cat>
          <c:val>
            <c:numRef>
              <c:f>Summary!$D$28:$N$28</c:f>
              <c:numCache>
                <c:formatCode>0%</c:formatCode>
                <c:ptCount val="3"/>
                <c:pt idx="0">
                  <c:v>0.31935349337435143</c:v>
                </c:pt>
                <c:pt idx="1">
                  <c:v>0.34495911484913661</c:v>
                </c:pt>
                <c:pt idx="2">
                  <c:v>0.37876723955142688</c:v>
                </c:pt>
              </c:numCache>
              <c:extLst/>
            </c:numRef>
          </c:val>
          <c:smooth val="0"/>
          <c:extLst>
            <c:ext xmlns:c16="http://schemas.microsoft.com/office/drawing/2014/chart" uri="{C3380CC4-5D6E-409C-BE32-E72D297353CC}">
              <c16:uniqueId val="{00000002-EBB3-4905-98A5-3137CB718A36}"/>
            </c:ext>
          </c:extLst>
        </c:ser>
        <c:dLbls>
          <c:showLegendKey val="0"/>
          <c:showVal val="0"/>
          <c:showCatName val="0"/>
          <c:showSerName val="0"/>
          <c:showPercent val="0"/>
          <c:showBubbleSize val="0"/>
        </c:dLbls>
        <c:marker val="1"/>
        <c:smooth val="0"/>
        <c:axId val="1254200272"/>
        <c:axId val="1254203552"/>
      </c:lineChart>
      <c:catAx>
        <c:axId val="1254189448"/>
        <c:scaling>
          <c:orientation val="minMax"/>
        </c:scaling>
        <c:delete val="0"/>
        <c:axPos val="b"/>
        <c:numFmt formatCode="General" sourceLinked="1"/>
        <c:majorTickMark val="none"/>
        <c:minorTickMark val="none"/>
        <c:tickLblPos val="nextTo"/>
        <c:spPr>
          <a:noFill/>
          <a:ln w="9525" cap="flat" cmpd="sng" algn="ctr">
            <a:no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00" b="0" i="0" u="none" strike="noStrike" kern="1200" baseline="0">
                <a:solidFill>
                  <a:sysClr val="windowText" lastClr="000000"/>
                </a:solidFill>
                <a:latin typeface="EYInterstate Light" panose="02000506000000020004" pitchFamily="2" charset="0"/>
                <a:ea typeface="Arial"/>
                <a:cs typeface="Arial"/>
              </a:defRPr>
            </a:pPr>
            <a:endParaRPr lang="en-US"/>
          </a:p>
        </c:txPr>
        <c:crossAx val="1254193384"/>
        <c:crosses val="autoZero"/>
        <c:auto val="1"/>
        <c:lblAlgn val="ctr"/>
        <c:lblOffset val="100"/>
        <c:noMultiLvlLbl val="0"/>
      </c:catAx>
      <c:valAx>
        <c:axId val="1254193384"/>
        <c:scaling>
          <c:orientation val="minMax"/>
        </c:scaling>
        <c:delete val="0"/>
        <c:axPos val="l"/>
        <c:majorGridlines>
          <c:spPr>
            <a:ln w="9525" cap="flat" cmpd="sng" algn="ctr">
              <a:noFill/>
              <a:round/>
            </a:ln>
            <a:effectLst/>
            <a:extLst>
              <a:ext uri="{91240B29-F687-4F45-9708-019B960494DF}">
                <a14:hiddenLine xmlns:a14="http://schemas.microsoft.com/office/drawing/2010/main" w="9525" cap="flat" cmpd="sng" algn="ctr">
                  <a:solidFill>
                    <a:srgbClr val="2E2E38">
                      <a:lumMod val="15000"/>
                      <a:lumOff val="85000"/>
                    </a:srgbClr>
                  </a:solidFill>
                  <a:round/>
                </a14:hiddenLine>
              </a:ext>
            </a:ex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EYInterstate Light" panose="02000506000000020004" pitchFamily="2" charset="0"/>
                    <a:ea typeface="Arial"/>
                    <a:cs typeface="Arial"/>
                  </a:defRPr>
                </a:pPr>
                <a:r>
                  <a:rPr lang="en-AU"/>
                  <a:t>Journal expenditure ($ millions)</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EYInterstate Light" panose="02000506000000020004" pitchFamily="2" charset="0"/>
                  <a:ea typeface="Arial"/>
                  <a:cs typeface="Arial"/>
                </a:defRPr>
              </a:pPr>
              <a:endParaRPr lang="en-US"/>
            </a:p>
          </c:txPr>
        </c:title>
        <c:numFmt formatCode="_-&quot;$&quot;* #,##0_-;\-&quot;$&quot;* #,##0_-;_-&quot;$&quot;* &quot;-&quot;??_-;_-@_-" sourceLinked="1"/>
        <c:majorTickMark val="none"/>
        <c:minorTickMark val="none"/>
        <c:tickLblPos val="nextTo"/>
        <c:spPr>
          <a:noFill/>
          <a:ln w="9525">
            <a:no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00" b="0" i="0" u="none" strike="noStrike" kern="1200" baseline="0">
                <a:solidFill>
                  <a:sysClr val="windowText" lastClr="000000"/>
                </a:solidFill>
                <a:latin typeface="EYInterstate Light" panose="02000506000000020004" pitchFamily="2" charset="0"/>
                <a:ea typeface="Arial"/>
                <a:cs typeface="Arial"/>
              </a:defRPr>
            </a:pPr>
            <a:endParaRPr lang="en-US"/>
          </a:p>
        </c:txPr>
        <c:crossAx val="1254189448"/>
        <c:crosses val="autoZero"/>
        <c:crossBetween val="between"/>
      </c:valAx>
      <c:valAx>
        <c:axId val="1254203552"/>
        <c:scaling>
          <c:orientation val="minMax"/>
        </c:scaling>
        <c:delete val="0"/>
        <c:axPos val="r"/>
        <c:title>
          <c:tx>
            <c:rich>
              <a:bodyPr rot="-5400000" spcFirstLastPara="1" vertOverflow="ellipsis" vert="horz" wrap="square" anchor="ctr" anchorCtr="1"/>
              <a:lstStyle/>
              <a:p>
                <a:pPr>
                  <a:defRPr sz="700" b="0" i="0" u="none" strike="noStrike" kern="1200" baseline="0">
                    <a:solidFill>
                      <a:sysClr val="windowText" lastClr="000000"/>
                    </a:solidFill>
                    <a:latin typeface="EYInterstate Light" panose="02000506000000020004" pitchFamily="2" charset="0"/>
                    <a:ea typeface="Arial"/>
                    <a:cs typeface="Arial"/>
                  </a:defRPr>
                </a:pPr>
                <a:r>
                  <a:rPr lang="en-AU"/>
                  <a:t>Journal expenditure as % of total library expenditure </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EYInterstate Light" panose="02000506000000020004" pitchFamily="2" charset="0"/>
                  <a:ea typeface="Arial"/>
                  <a:cs typeface="Arial"/>
                </a:defRPr>
              </a:pPr>
              <a:endParaRPr lang="en-US"/>
            </a:p>
          </c:txPr>
        </c:title>
        <c:numFmt formatCode="0%" sourceLinked="1"/>
        <c:majorTickMark val="none"/>
        <c:minorTickMark val="none"/>
        <c:tickLblPos val="nextTo"/>
        <c:spPr>
          <a:noFill/>
          <a:ln w="9525">
            <a:no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00" b="0" i="0" u="none" strike="noStrike" kern="1200" baseline="0">
                <a:solidFill>
                  <a:sysClr val="windowText" lastClr="000000"/>
                </a:solidFill>
                <a:latin typeface="EYInterstate Light" panose="02000506000000020004" pitchFamily="2" charset="0"/>
                <a:ea typeface="Arial"/>
                <a:cs typeface="Arial"/>
              </a:defRPr>
            </a:pPr>
            <a:endParaRPr lang="en-US"/>
          </a:p>
        </c:txPr>
        <c:crossAx val="1254200272"/>
        <c:crosses val="max"/>
        <c:crossBetween val="between"/>
      </c:valAx>
      <c:catAx>
        <c:axId val="1254200272"/>
        <c:scaling>
          <c:orientation val="minMax"/>
        </c:scaling>
        <c:delete val="1"/>
        <c:axPos val="b"/>
        <c:numFmt formatCode="General" sourceLinked="1"/>
        <c:majorTickMark val="out"/>
        <c:minorTickMark val="none"/>
        <c:tickLblPos val="nextTo"/>
        <c:crossAx val="1254203552"/>
        <c:crosses val="autoZero"/>
        <c:auto val="1"/>
        <c:lblAlgn val="ctr"/>
        <c:lblOffset val="100"/>
        <c:noMultiLvlLbl val="0"/>
      </c:catAx>
      <c:spPr>
        <a:noFill/>
        <a:ln w="25400">
          <a:noFill/>
        </a:ln>
        <a:effectLst/>
      </c:spPr>
    </c:plotArea>
    <c:legend>
      <c:legendPos val="b"/>
      <c:layout>
        <c:manualLayout>
          <c:xMode val="edge"/>
          <c:yMode val="edge"/>
          <c:x val="8.2647424029503418E-3"/>
          <c:y val="0.79214584428755375"/>
          <c:w val="0.99010692006275425"/>
          <c:h val="0.20785415571244625"/>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700" b="0" i="0" u="none" strike="noStrike" kern="1200" baseline="0">
              <a:solidFill>
                <a:sysClr val="windowText" lastClr="000000"/>
              </a:solidFill>
              <a:latin typeface="EYInterstate Light" panose="02000506000000020004" pitchFamily="2" charset="0"/>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c:spPr>
  <c:txPr>
    <a:bodyPr/>
    <a:lstStyle/>
    <a:p>
      <a:pPr>
        <a:defRPr sz="700">
          <a:solidFill>
            <a:sysClr val="windowText" lastClr="000000"/>
          </a:solidFill>
          <a:latin typeface="EYInterstate Light" panose="02000506000000020004" pitchFamily="2" charset="0"/>
          <a:ea typeface="Arial"/>
          <a:cs typeface="Arial"/>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3"/>
          <c:order val="3"/>
          <c:tx>
            <c:strRef>
              <c:f>'Australia only'!$A$10</c:f>
              <c:strCache>
                <c:ptCount val="1"/>
                <c:pt idx="0">
                  <c:v>Publisher open access</c:v>
                </c:pt>
              </c:strCache>
            </c:strRef>
          </c:tx>
          <c:spPr>
            <a:solidFill>
              <a:srgbClr val="002060"/>
            </a:solidFill>
            <a:ln>
              <a:noFill/>
            </a:ln>
            <a:effectLst/>
          </c:spPr>
          <c:invertIfNegative val="0"/>
          <c:cat>
            <c:numRef>
              <c:f>'Australia only'!$E$3:$AK$3</c:f>
              <c:numCache>
                <c:formatCode>General</c:formatCode>
                <c:ptCount val="3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numCache>
            </c:numRef>
          </c:cat>
          <c:val>
            <c:numRef>
              <c:f>'Australia only'!$E$10:$AK$10</c:f>
              <c:numCache>
                <c:formatCode>_-* #,##0_-;\-* #,##0_-;_-* "-"??_-;_-@_-</c:formatCode>
                <c:ptCount val="33"/>
                <c:pt idx="0">
                  <c:v>2330</c:v>
                </c:pt>
                <c:pt idx="1">
                  <c:v>2417</c:v>
                </c:pt>
                <c:pt idx="2">
                  <c:v>2648</c:v>
                </c:pt>
                <c:pt idx="3">
                  <c:v>2869</c:v>
                </c:pt>
                <c:pt idx="4">
                  <c:v>3190</c:v>
                </c:pt>
                <c:pt idx="5">
                  <c:v>3347</c:v>
                </c:pt>
                <c:pt idx="6">
                  <c:v>3880</c:v>
                </c:pt>
                <c:pt idx="7">
                  <c:v>3856</c:v>
                </c:pt>
                <c:pt idx="8">
                  <c:v>4095</c:v>
                </c:pt>
                <c:pt idx="9">
                  <c:v>4535</c:v>
                </c:pt>
                <c:pt idx="10">
                  <c:v>5101</c:v>
                </c:pt>
                <c:pt idx="11">
                  <c:v>5346</c:v>
                </c:pt>
                <c:pt idx="12">
                  <c:v>5972</c:v>
                </c:pt>
                <c:pt idx="13">
                  <c:v>6670</c:v>
                </c:pt>
                <c:pt idx="14">
                  <c:v>7106</c:v>
                </c:pt>
                <c:pt idx="15">
                  <c:v>8295</c:v>
                </c:pt>
                <c:pt idx="16">
                  <c:v>8989</c:v>
                </c:pt>
                <c:pt idx="17">
                  <c:v>9040</c:v>
                </c:pt>
                <c:pt idx="18">
                  <c:v>9584</c:v>
                </c:pt>
                <c:pt idx="19">
                  <c:v>11061</c:v>
                </c:pt>
                <c:pt idx="20">
                  <c:v>12308</c:v>
                </c:pt>
                <c:pt idx="21">
                  <c:v>12354</c:v>
                </c:pt>
                <c:pt idx="22">
                  <c:v>13565.233638106745</c:v>
                </c:pt>
                <c:pt idx="23">
                  <c:v>15060.863757319963</c:v>
                </c:pt>
                <c:pt idx="24">
                  <c:v>16710.142363755382</c:v>
                </c:pt>
                <c:pt idx="25">
                  <c:v>18528.019208009675</c:v>
                </c:pt>
                <c:pt idx="26">
                  <c:v>20452.284423200636</c:v>
                </c:pt>
                <c:pt idx="27">
                  <c:v>22603.594997421758</c:v>
                </c:pt>
                <c:pt idx="28">
                  <c:v>24941.488716244643</c:v>
                </c:pt>
                <c:pt idx="29">
                  <c:v>27594.634765042403</c:v>
                </c:pt>
                <c:pt idx="30">
                  <c:v>30439.237060964319</c:v>
                </c:pt>
                <c:pt idx="31">
                  <c:v>33579.665287072166</c:v>
                </c:pt>
                <c:pt idx="32">
                  <c:v>37023.889637179462</c:v>
                </c:pt>
              </c:numCache>
            </c:numRef>
          </c:val>
          <c:extLst>
            <c:ext xmlns:c16="http://schemas.microsoft.com/office/drawing/2014/chart" uri="{C3380CC4-5D6E-409C-BE32-E72D297353CC}">
              <c16:uniqueId val="{00000000-FA52-47A8-82A7-FC9A3E39D355}"/>
            </c:ext>
          </c:extLst>
        </c:ser>
        <c:ser>
          <c:idx val="4"/>
          <c:order val="4"/>
          <c:tx>
            <c:strRef>
              <c:f>'Australia only'!$A$11</c:f>
              <c:strCache>
                <c:ptCount val="1"/>
                <c:pt idx="0">
                  <c:v>Both</c:v>
                </c:pt>
              </c:strCache>
            </c:strRef>
          </c:tx>
          <c:spPr>
            <a:solidFill>
              <a:srgbClr val="C00000"/>
            </a:solidFill>
            <a:ln>
              <a:noFill/>
            </a:ln>
            <a:effectLst/>
          </c:spPr>
          <c:invertIfNegative val="0"/>
          <c:cat>
            <c:numRef>
              <c:f>'Australia only'!$E$3:$AK$3</c:f>
              <c:numCache>
                <c:formatCode>General</c:formatCode>
                <c:ptCount val="3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numCache>
            </c:numRef>
          </c:cat>
          <c:val>
            <c:numRef>
              <c:f>'Australia only'!$E$11:$AK$11</c:f>
              <c:numCache>
                <c:formatCode>_-* #,##0_-;\-* #,##0_-;_-* "-"??_-;_-@_-</c:formatCode>
                <c:ptCount val="33"/>
                <c:pt idx="0">
                  <c:v>729</c:v>
                </c:pt>
                <c:pt idx="1">
                  <c:v>899</c:v>
                </c:pt>
                <c:pt idx="2">
                  <c:v>1061</c:v>
                </c:pt>
                <c:pt idx="3">
                  <c:v>1332</c:v>
                </c:pt>
                <c:pt idx="4">
                  <c:v>1571</c:v>
                </c:pt>
                <c:pt idx="5">
                  <c:v>1885</c:v>
                </c:pt>
                <c:pt idx="6">
                  <c:v>2178</c:v>
                </c:pt>
                <c:pt idx="7">
                  <c:v>2515</c:v>
                </c:pt>
                <c:pt idx="8">
                  <c:v>3545</c:v>
                </c:pt>
                <c:pt idx="9">
                  <c:v>4263</c:v>
                </c:pt>
                <c:pt idx="10">
                  <c:v>5186</c:v>
                </c:pt>
                <c:pt idx="11">
                  <c:v>6932</c:v>
                </c:pt>
                <c:pt idx="12">
                  <c:v>9532</c:v>
                </c:pt>
                <c:pt idx="13">
                  <c:v>11907</c:v>
                </c:pt>
                <c:pt idx="14">
                  <c:v>14016</c:v>
                </c:pt>
                <c:pt idx="15">
                  <c:v>16343</c:v>
                </c:pt>
                <c:pt idx="16">
                  <c:v>18634</c:v>
                </c:pt>
                <c:pt idx="17">
                  <c:v>20498</c:v>
                </c:pt>
                <c:pt idx="18">
                  <c:v>22237</c:v>
                </c:pt>
                <c:pt idx="19">
                  <c:v>24712</c:v>
                </c:pt>
                <c:pt idx="20">
                  <c:v>30268</c:v>
                </c:pt>
                <c:pt idx="21">
                  <c:v>29889</c:v>
                </c:pt>
                <c:pt idx="22">
                  <c:v>33961.204038896307</c:v>
                </c:pt>
                <c:pt idx="23">
                  <c:v>38485.386488364878</c:v>
                </c:pt>
                <c:pt idx="24">
                  <c:v>43513.718231051738</c:v>
                </c:pt>
                <c:pt idx="25">
                  <c:v>49097.709786818188</c:v>
                </c:pt>
                <c:pt idx="26">
                  <c:v>55191.200595704635</c:v>
                </c:pt>
                <c:pt idx="27">
                  <c:v>61953.955024524497</c:v>
                </c:pt>
                <c:pt idx="28">
                  <c:v>69422.138109497944</c:v>
                </c:pt>
                <c:pt idx="29">
                  <c:v>77749.097317972759</c:v>
                </c:pt>
                <c:pt idx="30">
                  <c:v>86974.977188322708</c:v>
                </c:pt>
                <c:pt idx="31">
                  <c:v>96957.698535856936</c:v>
                </c:pt>
                <c:pt idx="32">
                  <c:v>108144.202431536</c:v>
                </c:pt>
              </c:numCache>
            </c:numRef>
          </c:val>
          <c:extLst>
            <c:ext xmlns:c16="http://schemas.microsoft.com/office/drawing/2014/chart" uri="{C3380CC4-5D6E-409C-BE32-E72D297353CC}">
              <c16:uniqueId val="{00000001-FA52-47A8-82A7-FC9A3E39D355}"/>
            </c:ext>
          </c:extLst>
        </c:ser>
        <c:ser>
          <c:idx val="6"/>
          <c:order val="6"/>
          <c:tx>
            <c:strRef>
              <c:f>'Australia only'!$A$13</c:f>
              <c:strCache>
                <c:ptCount val="1"/>
                <c:pt idx="0">
                  <c:v>Other platform open access</c:v>
                </c:pt>
              </c:strCache>
            </c:strRef>
          </c:tx>
          <c:spPr>
            <a:solidFill>
              <a:schemeClr val="accent6">
                <a:lumMod val="75000"/>
              </a:schemeClr>
            </a:solidFill>
            <a:ln>
              <a:noFill/>
            </a:ln>
            <a:effectLst/>
          </c:spPr>
          <c:invertIfNegative val="0"/>
          <c:cat>
            <c:numRef>
              <c:f>'Australia only'!$E$3:$AK$3</c:f>
              <c:numCache>
                <c:formatCode>General</c:formatCode>
                <c:ptCount val="3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numCache>
            </c:numRef>
          </c:cat>
          <c:val>
            <c:numRef>
              <c:f>'Australia only'!$E$13:$AK$13</c:f>
              <c:numCache>
                <c:formatCode>_-* #,##0_-;\-* #,##0_-;_-* "-"??_-;_-@_-</c:formatCode>
                <c:ptCount val="33"/>
                <c:pt idx="0">
                  <c:v>1332</c:v>
                </c:pt>
                <c:pt idx="1">
                  <c:v>1557</c:v>
                </c:pt>
                <c:pt idx="2">
                  <c:v>1940</c:v>
                </c:pt>
                <c:pt idx="3">
                  <c:v>2435</c:v>
                </c:pt>
                <c:pt idx="4">
                  <c:v>2817</c:v>
                </c:pt>
                <c:pt idx="5">
                  <c:v>3693</c:v>
                </c:pt>
                <c:pt idx="6">
                  <c:v>4882</c:v>
                </c:pt>
                <c:pt idx="7">
                  <c:v>5484</c:v>
                </c:pt>
                <c:pt idx="8">
                  <c:v>6263</c:v>
                </c:pt>
                <c:pt idx="9">
                  <c:v>6970</c:v>
                </c:pt>
                <c:pt idx="10">
                  <c:v>7504</c:v>
                </c:pt>
                <c:pt idx="11">
                  <c:v>7768</c:v>
                </c:pt>
                <c:pt idx="12">
                  <c:v>8979</c:v>
                </c:pt>
                <c:pt idx="13">
                  <c:v>11349</c:v>
                </c:pt>
                <c:pt idx="14">
                  <c:v>12274</c:v>
                </c:pt>
                <c:pt idx="15">
                  <c:v>12915</c:v>
                </c:pt>
                <c:pt idx="16">
                  <c:v>14890</c:v>
                </c:pt>
                <c:pt idx="17">
                  <c:v>15918</c:v>
                </c:pt>
                <c:pt idx="18">
                  <c:v>17083</c:v>
                </c:pt>
                <c:pt idx="19">
                  <c:v>17732</c:v>
                </c:pt>
                <c:pt idx="20">
                  <c:v>17340</c:v>
                </c:pt>
                <c:pt idx="21">
                  <c:v>12495</c:v>
                </c:pt>
                <c:pt idx="22">
                  <c:v>13971.861496156906</c:v>
                </c:pt>
                <c:pt idx="23">
                  <c:v>15529.909980830149</c:v>
                </c:pt>
                <c:pt idx="24">
                  <c:v>17180.000521243383</c:v>
                </c:pt>
                <c:pt idx="25">
                  <c:v>18937.673754516403</c:v>
                </c:pt>
                <c:pt idx="26">
                  <c:v>20818.160958852721</c:v>
                </c:pt>
                <c:pt idx="27">
                  <c:v>22836.760882468257</c:v>
                </c:pt>
                <c:pt idx="28">
                  <c:v>18914.989209782783</c:v>
                </c:pt>
                <c:pt idx="29">
                  <c:v>19464.440989596023</c:v>
                </c:pt>
                <c:pt idx="30">
                  <c:v>21270.687577385645</c:v>
                </c:pt>
                <c:pt idx="31">
                  <c:v>23174.124389267748</c:v>
                </c:pt>
                <c:pt idx="32">
                  <c:v>25186.214046390065</c:v>
                </c:pt>
              </c:numCache>
            </c:numRef>
          </c:val>
          <c:extLst>
            <c:ext xmlns:c16="http://schemas.microsoft.com/office/drawing/2014/chart" uri="{C3380CC4-5D6E-409C-BE32-E72D297353CC}">
              <c16:uniqueId val="{00000002-FA52-47A8-82A7-FC9A3E39D355}"/>
            </c:ext>
          </c:extLst>
        </c:ser>
        <c:ser>
          <c:idx val="7"/>
          <c:order val="7"/>
          <c:tx>
            <c:strRef>
              <c:f>'Australia only'!$A$14</c:f>
              <c:strCache>
                <c:ptCount val="1"/>
                <c:pt idx="0">
                  <c:v>Closed</c:v>
                </c:pt>
              </c:strCache>
            </c:strRef>
          </c:tx>
          <c:spPr>
            <a:solidFill>
              <a:schemeClr val="accent6"/>
            </a:solidFill>
            <a:ln>
              <a:noFill/>
            </a:ln>
            <a:effectLst/>
          </c:spPr>
          <c:invertIfNegative val="0"/>
          <c:cat>
            <c:numRef>
              <c:f>'Australia only'!$E$3:$AK$3</c:f>
              <c:numCache>
                <c:formatCode>General</c:formatCode>
                <c:ptCount val="3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numCache>
            </c:numRef>
          </c:cat>
          <c:val>
            <c:numRef>
              <c:f>'Australia only'!$E$14:$AK$14</c:f>
              <c:numCache>
                <c:formatCode>_-* #,##0_-;\-* #,##0_-;_-* "-"??_-;_-@_-</c:formatCode>
                <c:ptCount val="33"/>
                <c:pt idx="0">
                  <c:v>17582</c:v>
                </c:pt>
                <c:pt idx="1">
                  <c:v>18291</c:v>
                </c:pt>
                <c:pt idx="2">
                  <c:v>19026</c:v>
                </c:pt>
                <c:pt idx="3">
                  <c:v>20547</c:v>
                </c:pt>
                <c:pt idx="4">
                  <c:v>22084</c:v>
                </c:pt>
                <c:pt idx="5">
                  <c:v>24398</c:v>
                </c:pt>
                <c:pt idx="6">
                  <c:v>28382</c:v>
                </c:pt>
                <c:pt idx="7">
                  <c:v>30264</c:v>
                </c:pt>
                <c:pt idx="8">
                  <c:v>32018</c:v>
                </c:pt>
                <c:pt idx="9">
                  <c:v>36706</c:v>
                </c:pt>
                <c:pt idx="10">
                  <c:v>40013</c:v>
                </c:pt>
                <c:pt idx="11">
                  <c:v>41089</c:v>
                </c:pt>
                <c:pt idx="12">
                  <c:v>43531</c:v>
                </c:pt>
                <c:pt idx="13">
                  <c:v>48281</c:v>
                </c:pt>
                <c:pt idx="14">
                  <c:v>48626</c:v>
                </c:pt>
                <c:pt idx="15">
                  <c:v>50057</c:v>
                </c:pt>
                <c:pt idx="16">
                  <c:v>50646</c:v>
                </c:pt>
                <c:pt idx="17">
                  <c:v>49392</c:v>
                </c:pt>
                <c:pt idx="18">
                  <c:v>50167</c:v>
                </c:pt>
                <c:pt idx="19">
                  <c:v>53246</c:v>
                </c:pt>
                <c:pt idx="20">
                  <c:v>56295</c:v>
                </c:pt>
                <c:pt idx="21">
                  <c:v>56676</c:v>
                </c:pt>
                <c:pt idx="22">
                  <c:v>60404.962402982608</c:v>
                </c:pt>
                <c:pt idx="23">
                  <c:v>64379.190572370615</c:v>
                </c:pt>
                <c:pt idx="24">
                  <c:v>67239.236511258874</c:v>
                </c:pt>
                <c:pt idx="25">
                  <c:v>70347.644169801919</c:v>
                </c:pt>
                <c:pt idx="26">
                  <c:v>73550.076133921291</c:v>
                </c:pt>
                <c:pt idx="27">
                  <c:v>75247.254441524012</c:v>
                </c:pt>
                <c:pt idx="28">
                  <c:v>76306.231076575714</c:v>
                </c:pt>
                <c:pt idx="29">
                  <c:v>79370.591128664906</c:v>
                </c:pt>
                <c:pt idx="30">
                  <c:v>82189.746643073406</c:v>
                </c:pt>
                <c:pt idx="31">
                  <c:v>83616.347519960502</c:v>
                </c:pt>
                <c:pt idx="32">
                  <c:v>86716.245475740681</c:v>
                </c:pt>
              </c:numCache>
            </c:numRef>
          </c:val>
          <c:extLst>
            <c:ext xmlns:c16="http://schemas.microsoft.com/office/drawing/2014/chart" uri="{C3380CC4-5D6E-409C-BE32-E72D297353CC}">
              <c16:uniqueId val="{00000003-FA52-47A8-82A7-FC9A3E39D355}"/>
            </c:ext>
          </c:extLst>
        </c:ser>
        <c:dLbls>
          <c:showLegendKey val="0"/>
          <c:showVal val="0"/>
          <c:showCatName val="0"/>
          <c:showSerName val="0"/>
          <c:showPercent val="0"/>
          <c:showBubbleSize val="0"/>
        </c:dLbls>
        <c:gapWidth val="150"/>
        <c:overlap val="100"/>
        <c:axId val="1208456544"/>
        <c:axId val="1208461792"/>
        <c:extLst>
          <c:ext xmlns:c15="http://schemas.microsoft.com/office/drawing/2012/chart" uri="{02D57815-91ED-43cb-92C2-25804820EDAC}">
            <c15:filteredBarSeries>
              <c15:ser>
                <c:idx val="0"/>
                <c:order val="0"/>
                <c:tx>
                  <c:strRef>
                    <c:extLst>
                      <c:ext uri="{02D57815-91ED-43cb-92C2-25804820EDAC}">
                        <c15:formulaRef>
                          <c15:sqref>'Australia only'!$A$6</c15:sqref>
                        </c15:formulaRef>
                      </c:ext>
                    </c:extLst>
                    <c:strCache>
                      <c:ptCount val="1"/>
                      <c:pt idx="0">
                        <c:v>Total published</c:v>
                      </c:pt>
                    </c:strCache>
                  </c:strRef>
                </c:tx>
                <c:spPr>
                  <a:solidFill>
                    <a:schemeClr val="accent6"/>
                  </a:solidFill>
                  <a:ln>
                    <a:noFill/>
                  </a:ln>
                  <a:effectLst/>
                </c:spPr>
                <c:invertIfNegative val="0"/>
                <c:cat>
                  <c:numRef>
                    <c:extLst>
                      <c:ext uri="{02D57815-91ED-43cb-92C2-25804820EDAC}">
                        <c15:formulaRef>
                          <c15:sqref>'Australia only'!$E$3:$AK$3</c15:sqref>
                        </c15:formulaRef>
                      </c:ext>
                    </c:extLst>
                    <c:numCache>
                      <c:formatCode>General</c:formatCode>
                      <c:ptCount val="3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numCache>
                  </c:numRef>
                </c:cat>
                <c:val>
                  <c:numRef>
                    <c:extLst>
                      <c:ext uri="{02D57815-91ED-43cb-92C2-25804820EDAC}">
                        <c15:formulaRef>
                          <c15:sqref>'Australia only'!$E$6:$Z$6</c15:sqref>
                        </c15:formulaRef>
                      </c:ext>
                    </c:extLst>
                    <c:numCache>
                      <c:formatCode>_-* #,##0_-;\-* #,##0_-;_-* "-"??_-;_-@_-</c:formatCode>
                      <c:ptCount val="22"/>
                      <c:pt idx="0">
                        <c:v>21973</c:v>
                      </c:pt>
                      <c:pt idx="1">
                        <c:v>23164</c:v>
                      </c:pt>
                      <c:pt idx="2">
                        <c:v>24675</c:v>
                      </c:pt>
                      <c:pt idx="3">
                        <c:v>27183</c:v>
                      </c:pt>
                      <c:pt idx="4">
                        <c:v>29662</c:v>
                      </c:pt>
                      <c:pt idx="5">
                        <c:v>33323</c:v>
                      </c:pt>
                      <c:pt idx="6">
                        <c:v>39322</c:v>
                      </c:pt>
                      <c:pt idx="7">
                        <c:v>42119</c:v>
                      </c:pt>
                      <c:pt idx="8">
                        <c:v>45921</c:v>
                      </c:pt>
                      <c:pt idx="9">
                        <c:v>52474</c:v>
                      </c:pt>
                      <c:pt idx="10">
                        <c:v>57804</c:v>
                      </c:pt>
                      <c:pt idx="11">
                        <c:v>61135</c:v>
                      </c:pt>
                      <c:pt idx="12">
                        <c:v>68014</c:v>
                      </c:pt>
                      <c:pt idx="13">
                        <c:v>78207</c:v>
                      </c:pt>
                      <c:pt idx="14">
                        <c:v>82022</c:v>
                      </c:pt>
                      <c:pt idx="15">
                        <c:v>87610</c:v>
                      </c:pt>
                      <c:pt idx="16">
                        <c:v>93159</c:v>
                      </c:pt>
                      <c:pt idx="17">
                        <c:v>94848</c:v>
                      </c:pt>
                      <c:pt idx="18">
                        <c:v>99071</c:v>
                      </c:pt>
                      <c:pt idx="19">
                        <c:v>106751</c:v>
                      </c:pt>
                      <c:pt idx="20">
                        <c:v>116211</c:v>
                      </c:pt>
                      <c:pt idx="21">
                        <c:v>111414</c:v>
                      </c:pt>
                    </c:numCache>
                  </c:numRef>
                </c:val>
                <c:extLst>
                  <c:ext xmlns:c16="http://schemas.microsoft.com/office/drawing/2014/chart" uri="{C3380CC4-5D6E-409C-BE32-E72D297353CC}">
                    <c16:uniqueId val="{00000004-FA52-47A8-82A7-FC9A3E39D35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'Australia only'!$A$8</c15:sqref>
                        </c15:formulaRef>
                      </c:ext>
                    </c:extLst>
                    <c:strCache>
                      <c:ptCount val="1"/>
                      <c:pt idx="0">
                        <c:v>Open</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'Australia only'!$E$3:$AK$3</c15:sqref>
                        </c15:formulaRef>
                      </c:ext>
                    </c:extLst>
                    <c:numCache>
                      <c:formatCode>General</c:formatCode>
                      <c:ptCount val="3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numCache>
                  </c:numRef>
                </c:cat>
                <c:val>
                  <c:numRef>
                    <c:extLst xmlns:c15="http://schemas.microsoft.com/office/drawing/2012/chart">
                      <c:ext xmlns:c15="http://schemas.microsoft.com/office/drawing/2012/chart" uri="{02D57815-91ED-43cb-92C2-25804820EDAC}">
                        <c15:formulaRef>
                          <c15:sqref>'Australia only'!$E$8:$Z$8</c15:sqref>
                        </c15:formulaRef>
                      </c:ext>
                    </c:extLst>
                    <c:numCache>
                      <c:formatCode>_-* #,##0_-;\-* #,##0_-;_-* "-"??_-;_-@_-</c:formatCode>
                      <c:ptCount val="22"/>
                      <c:pt idx="0">
                        <c:v>4391</c:v>
                      </c:pt>
                      <c:pt idx="1">
                        <c:v>4873</c:v>
                      </c:pt>
                      <c:pt idx="2">
                        <c:v>5649</c:v>
                      </c:pt>
                      <c:pt idx="3">
                        <c:v>6636</c:v>
                      </c:pt>
                      <c:pt idx="4">
                        <c:v>7578</c:v>
                      </c:pt>
                      <c:pt idx="5">
                        <c:v>8925</c:v>
                      </c:pt>
                      <c:pt idx="6">
                        <c:v>10940</c:v>
                      </c:pt>
                      <c:pt idx="7">
                        <c:v>11855</c:v>
                      </c:pt>
                      <c:pt idx="8">
                        <c:v>13903</c:v>
                      </c:pt>
                      <c:pt idx="9">
                        <c:v>15768</c:v>
                      </c:pt>
                      <c:pt idx="10">
                        <c:v>17791</c:v>
                      </c:pt>
                      <c:pt idx="11">
                        <c:v>20046</c:v>
                      </c:pt>
                      <c:pt idx="12">
                        <c:v>24483</c:v>
                      </c:pt>
                      <c:pt idx="13">
                        <c:v>29926</c:v>
                      </c:pt>
                      <c:pt idx="14">
                        <c:v>33396</c:v>
                      </c:pt>
                      <c:pt idx="15">
                        <c:v>37553</c:v>
                      </c:pt>
                      <c:pt idx="16">
                        <c:v>42513</c:v>
                      </c:pt>
                      <c:pt idx="17">
                        <c:v>45456</c:v>
                      </c:pt>
                      <c:pt idx="18">
                        <c:v>48904</c:v>
                      </c:pt>
                      <c:pt idx="19">
                        <c:v>53505</c:v>
                      </c:pt>
                      <c:pt idx="20">
                        <c:v>59916</c:v>
                      </c:pt>
                      <c:pt idx="21">
                        <c:v>54738</c:v>
                      </c:pt>
                    </c:numCache>
                  </c:numRef>
                </c:val>
                <c:extLst xmlns:c15="http://schemas.microsoft.com/office/drawing/2012/chart">
                  <c:ext xmlns:c16="http://schemas.microsoft.com/office/drawing/2014/chart" uri="{C3380CC4-5D6E-409C-BE32-E72D297353CC}">
                    <c16:uniqueId val="{00000005-FA52-47A8-82A7-FC9A3E39D35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'Australia only'!$A$9</c15:sqref>
                        </c15:formulaRef>
                      </c:ext>
                    </c:extLst>
                    <c:strCache>
                      <c:ptCount val="1"/>
                      <c:pt idx="0">
                        <c:v>publisher open</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'Australia only'!$E$3:$AK$3</c15:sqref>
                        </c15:formulaRef>
                      </c:ext>
                    </c:extLst>
                    <c:numCache>
                      <c:formatCode>General</c:formatCode>
                      <c:ptCount val="3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numCache>
                  </c:numRef>
                </c:cat>
                <c:val>
                  <c:numRef>
                    <c:extLst xmlns:c15="http://schemas.microsoft.com/office/drawing/2012/chart">
                      <c:ext xmlns:c15="http://schemas.microsoft.com/office/drawing/2012/chart" uri="{02D57815-91ED-43cb-92C2-25804820EDAC}">
                        <c15:formulaRef>
                          <c15:sqref>'Australia only'!$E$9:$Z$9</c15:sqref>
                        </c15:formulaRef>
                      </c:ext>
                    </c:extLst>
                    <c:numCache>
                      <c:formatCode>_-* #,##0_-;\-* #,##0_-;_-* "-"??_-;_-@_-</c:formatCode>
                      <c:ptCount val="22"/>
                      <c:pt idx="0">
                        <c:v>3059</c:v>
                      </c:pt>
                      <c:pt idx="1">
                        <c:v>3316</c:v>
                      </c:pt>
                      <c:pt idx="2">
                        <c:v>3709</c:v>
                      </c:pt>
                      <c:pt idx="3">
                        <c:v>4201</c:v>
                      </c:pt>
                      <c:pt idx="4">
                        <c:v>4761</c:v>
                      </c:pt>
                      <c:pt idx="5">
                        <c:v>5232</c:v>
                      </c:pt>
                      <c:pt idx="6">
                        <c:v>6058</c:v>
                      </c:pt>
                      <c:pt idx="7">
                        <c:v>6371</c:v>
                      </c:pt>
                      <c:pt idx="8">
                        <c:v>7640</c:v>
                      </c:pt>
                      <c:pt idx="9">
                        <c:v>8798</c:v>
                      </c:pt>
                      <c:pt idx="10">
                        <c:v>10287</c:v>
                      </c:pt>
                      <c:pt idx="11">
                        <c:v>12278</c:v>
                      </c:pt>
                      <c:pt idx="12">
                        <c:v>15504</c:v>
                      </c:pt>
                      <c:pt idx="13">
                        <c:v>18577</c:v>
                      </c:pt>
                      <c:pt idx="14">
                        <c:v>21122</c:v>
                      </c:pt>
                      <c:pt idx="15">
                        <c:v>24638</c:v>
                      </c:pt>
                      <c:pt idx="16">
                        <c:v>27623</c:v>
                      </c:pt>
                      <c:pt idx="17">
                        <c:v>29538</c:v>
                      </c:pt>
                      <c:pt idx="18">
                        <c:v>31821</c:v>
                      </c:pt>
                      <c:pt idx="19">
                        <c:v>35773</c:v>
                      </c:pt>
                      <c:pt idx="20">
                        <c:v>42576</c:v>
                      </c:pt>
                      <c:pt idx="21">
                        <c:v>42243</c:v>
                      </c:pt>
                    </c:numCache>
                  </c:numRef>
                </c:val>
                <c:extLst xmlns:c15="http://schemas.microsoft.com/office/drawing/2012/chart">
                  <c:ext xmlns:c16="http://schemas.microsoft.com/office/drawing/2014/chart" uri="{C3380CC4-5D6E-409C-BE32-E72D297353CC}">
                    <c16:uniqueId val="{00000006-FA52-47A8-82A7-FC9A3E39D35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'Australia only'!$A$12</c15:sqref>
                        </c15:formulaRef>
                      </c:ext>
                    </c:extLst>
                    <c:strCache>
                      <c:ptCount val="1"/>
                      <c:pt idx="0">
                        <c:v>other platform open</c:v>
                      </c:pt>
                    </c:strCache>
                  </c:strRef>
                </c:tx>
                <c:spPr>
                  <a:solidFill>
                    <a:schemeClr val="accent4">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'Australia only'!$E$3:$AK$3</c15:sqref>
                        </c15:formulaRef>
                      </c:ext>
                    </c:extLst>
                    <c:numCache>
                      <c:formatCode>General</c:formatCode>
                      <c:ptCount val="3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numCache>
                  </c:numRef>
                </c:cat>
                <c:val>
                  <c:numRef>
                    <c:extLst xmlns:c15="http://schemas.microsoft.com/office/drawing/2012/chart">
                      <c:ext xmlns:c15="http://schemas.microsoft.com/office/drawing/2012/chart" uri="{02D57815-91ED-43cb-92C2-25804820EDAC}">
                        <c15:formulaRef>
                          <c15:sqref>'Australia only'!$E$12:$Z$12</c15:sqref>
                        </c15:formulaRef>
                      </c:ext>
                    </c:extLst>
                    <c:numCache>
                      <c:formatCode>_-* #,##0_-;\-* #,##0_-;_-* "-"??_-;_-@_-</c:formatCode>
                      <c:ptCount val="22"/>
                      <c:pt idx="0">
                        <c:v>2061</c:v>
                      </c:pt>
                      <c:pt idx="1">
                        <c:v>2456</c:v>
                      </c:pt>
                      <c:pt idx="2">
                        <c:v>3001</c:v>
                      </c:pt>
                      <c:pt idx="3">
                        <c:v>3767</c:v>
                      </c:pt>
                      <c:pt idx="4">
                        <c:v>4388</c:v>
                      </c:pt>
                      <c:pt idx="5">
                        <c:v>5578</c:v>
                      </c:pt>
                      <c:pt idx="6">
                        <c:v>7060</c:v>
                      </c:pt>
                      <c:pt idx="7">
                        <c:v>7999</c:v>
                      </c:pt>
                      <c:pt idx="8">
                        <c:v>9808</c:v>
                      </c:pt>
                      <c:pt idx="9">
                        <c:v>11233</c:v>
                      </c:pt>
                      <c:pt idx="10">
                        <c:v>12690</c:v>
                      </c:pt>
                      <c:pt idx="11">
                        <c:v>14700</c:v>
                      </c:pt>
                      <c:pt idx="12">
                        <c:v>18511</c:v>
                      </c:pt>
                      <c:pt idx="13">
                        <c:v>23256</c:v>
                      </c:pt>
                      <c:pt idx="14">
                        <c:v>26290</c:v>
                      </c:pt>
                      <c:pt idx="15">
                        <c:v>29258</c:v>
                      </c:pt>
                      <c:pt idx="16">
                        <c:v>33524</c:v>
                      </c:pt>
                      <c:pt idx="17">
                        <c:v>36416</c:v>
                      </c:pt>
                      <c:pt idx="18">
                        <c:v>39320</c:v>
                      </c:pt>
                      <c:pt idx="19">
                        <c:v>42444</c:v>
                      </c:pt>
                      <c:pt idx="20">
                        <c:v>47608</c:v>
                      </c:pt>
                      <c:pt idx="21">
                        <c:v>42384</c:v>
                      </c:pt>
                    </c:numCache>
                  </c:numRef>
                </c:val>
                <c:extLst xmlns:c15="http://schemas.microsoft.com/office/drawing/2012/chart">
                  <c:ext xmlns:c16="http://schemas.microsoft.com/office/drawing/2014/chart" uri="{C3380CC4-5D6E-409C-BE32-E72D297353CC}">
                    <c16:uniqueId val="{00000007-FA52-47A8-82A7-FC9A3E39D355}"/>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'Australia only'!$A$15</c15:sqref>
                        </c15:formulaRef>
                      </c:ext>
                    </c:extLst>
                    <c:strCache>
                      <c:ptCount val="1"/>
                      <c:pt idx="0">
                        <c:v>oa journal</c:v>
                      </c:pt>
                    </c:strCache>
                  </c:strRef>
                </c:tx>
                <c:spPr>
                  <a:solidFill>
                    <a:schemeClr val="accent4">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'Australia only'!$E$3:$AK$3</c15:sqref>
                        </c15:formulaRef>
                      </c:ext>
                    </c:extLst>
                    <c:numCache>
                      <c:formatCode>General</c:formatCode>
                      <c:ptCount val="3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numCache>
                  </c:numRef>
                </c:cat>
                <c:val>
                  <c:numRef>
                    <c:extLst xmlns:c15="http://schemas.microsoft.com/office/drawing/2012/chart">
                      <c:ext xmlns:c15="http://schemas.microsoft.com/office/drawing/2012/chart" uri="{02D57815-91ED-43cb-92C2-25804820EDAC}">
                        <c15:formulaRef>
                          <c15:sqref>'Australia only'!$E$15:$Z$15</c15:sqref>
                        </c15:formulaRef>
                      </c:ext>
                    </c:extLst>
                    <c:numCache>
                      <c:formatCode>_-* #,##0_-;\-* #,##0_-;_-* "-"??_-;_-@_-</c:formatCode>
                      <c:ptCount val="22"/>
                      <c:pt idx="0">
                        <c:v>108</c:v>
                      </c:pt>
                      <c:pt idx="1">
                        <c:v>204</c:v>
                      </c:pt>
                      <c:pt idx="2">
                        <c:v>231</c:v>
                      </c:pt>
                      <c:pt idx="3">
                        <c:v>273</c:v>
                      </c:pt>
                      <c:pt idx="4">
                        <c:v>394</c:v>
                      </c:pt>
                      <c:pt idx="5">
                        <c:v>619</c:v>
                      </c:pt>
                      <c:pt idx="6">
                        <c:v>845</c:v>
                      </c:pt>
                      <c:pt idx="7">
                        <c:v>1055</c:v>
                      </c:pt>
                      <c:pt idx="8">
                        <c:v>1559</c:v>
                      </c:pt>
                      <c:pt idx="9">
                        <c:v>1869</c:v>
                      </c:pt>
                      <c:pt idx="10">
                        <c:v>2830</c:v>
                      </c:pt>
                      <c:pt idx="11">
                        <c:v>3782</c:v>
                      </c:pt>
                      <c:pt idx="12">
                        <c:v>5614</c:v>
                      </c:pt>
                      <c:pt idx="13">
                        <c:v>7353</c:v>
                      </c:pt>
                      <c:pt idx="14">
                        <c:v>8957</c:v>
                      </c:pt>
                      <c:pt idx="15">
                        <c:v>10688</c:v>
                      </c:pt>
                      <c:pt idx="16">
                        <c:v>12104</c:v>
                      </c:pt>
                      <c:pt idx="17">
                        <c:v>13594</c:v>
                      </c:pt>
                      <c:pt idx="18">
                        <c:v>15355</c:v>
                      </c:pt>
                      <c:pt idx="19">
                        <c:v>18108</c:v>
                      </c:pt>
                      <c:pt idx="20">
                        <c:v>22335</c:v>
                      </c:pt>
                      <c:pt idx="21">
                        <c:v>24432</c:v>
                      </c:pt>
                    </c:numCache>
                  </c:numRef>
                </c:val>
                <c:extLst xmlns:c15="http://schemas.microsoft.com/office/drawing/2012/chart">
                  <c:ext xmlns:c16="http://schemas.microsoft.com/office/drawing/2014/chart" uri="{C3380CC4-5D6E-409C-BE32-E72D297353CC}">
                    <c16:uniqueId val="{00000008-FA52-47A8-82A7-FC9A3E39D355}"/>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'Australia only'!$A$16</c15:sqref>
                        </c15:formulaRef>
                      </c:ext>
                    </c:extLst>
                    <c:strCache>
                      <c:ptCount val="1"/>
                      <c:pt idx="0">
                        <c:v>hybrid</c:v>
                      </c:pt>
                    </c:strCache>
                  </c:strRef>
                </c:tx>
                <c:spPr>
                  <a:solidFill>
                    <a:schemeClr val="accent6">
                      <a:lumMod val="80000"/>
                    </a:schemeClr>
                  </a:solidFill>
                  <a:ln>
                    <a:noFill/>
                  </a:ln>
                  <a:effectLst/>
                </c:spPr>
                <c:invertIfNegative val="0"/>
                <c:cat>
                  <c:numRef>
                    <c:extLst xmlns:c15="http://schemas.microsoft.com/office/drawing/2012/chart">
                      <c:ext xmlns:c15="http://schemas.microsoft.com/office/drawing/2012/chart" uri="{02D57815-91ED-43cb-92C2-25804820EDAC}">
                        <c15:formulaRef>
                          <c15:sqref>'Australia only'!$E$3:$AK$3</c15:sqref>
                        </c15:formulaRef>
                      </c:ext>
                    </c:extLst>
                    <c:numCache>
                      <c:formatCode>General</c:formatCode>
                      <c:ptCount val="3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numCache>
                  </c:numRef>
                </c:cat>
                <c:val>
                  <c:numRef>
                    <c:extLst xmlns:c15="http://schemas.microsoft.com/office/drawing/2012/chart">
                      <c:ext xmlns:c15="http://schemas.microsoft.com/office/drawing/2012/chart" uri="{02D57815-91ED-43cb-92C2-25804820EDAC}">
                        <c15:formulaRef>
                          <c15:sqref>'Australia only'!$E$16:$Z$16</c15:sqref>
                        </c15:formulaRef>
                      </c:ext>
                    </c:extLst>
                    <c:numCache>
                      <c:formatCode>_-* #,##0_-;\-* #,##0_-;_-* "-"??_-;_-@_-</c:formatCode>
                      <c:ptCount val="22"/>
                      <c:pt idx="0">
                        <c:v>605</c:v>
                      </c:pt>
                      <c:pt idx="1">
                        <c:v>696</c:v>
                      </c:pt>
                      <c:pt idx="2">
                        <c:v>662</c:v>
                      </c:pt>
                      <c:pt idx="3">
                        <c:v>744</c:v>
                      </c:pt>
                      <c:pt idx="4">
                        <c:v>833</c:v>
                      </c:pt>
                      <c:pt idx="5">
                        <c:v>798</c:v>
                      </c:pt>
                      <c:pt idx="6">
                        <c:v>1016</c:v>
                      </c:pt>
                      <c:pt idx="7">
                        <c:v>1232</c:v>
                      </c:pt>
                      <c:pt idx="8">
                        <c:v>1433</c:v>
                      </c:pt>
                      <c:pt idx="9">
                        <c:v>1769</c:v>
                      </c:pt>
                      <c:pt idx="10">
                        <c:v>1717</c:v>
                      </c:pt>
                      <c:pt idx="11">
                        <c:v>2250</c:v>
                      </c:pt>
                      <c:pt idx="12">
                        <c:v>3013</c:v>
                      </c:pt>
                      <c:pt idx="13">
                        <c:v>3564</c:v>
                      </c:pt>
                      <c:pt idx="14">
                        <c:v>4225</c:v>
                      </c:pt>
                      <c:pt idx="15">
                        <c:v>4991</c:v>
                      </c:pt>
                      <c:pt idx="16">
                        <c:v>6619</c:v>
                      </c:pt>
                      <c:pt idx="17">
                        <c:v>6980</c:v>
                      </c:pt>
                      <c:pt idx="18">
                        <c:v>6913</c:v>
                      </c:pt>
                      <c:pt idx="19">
                        <c:v>7723</c:v>
                      </c:pt>
                      <c:pt idx="20">
                        <c:v>9694</c:v>
                      </c:pt>
                      <c:pt idx="21">
                        <c:v>9479</c:v>
                      </c:pt>
                    </c:numCache>
                  </c:numRef>
                </c:val>
                <c:extLst xmlns:c15="http://schemas.microsoft.com/office/drawing/2012/chart">
                  <c:ext xmlns:c16="http://schemas.microsoft.com/office/drawing/2014/chart" uri="{C3380CC4-5D6E-409C-BE32-E72D297353CC}">
                    <c16:uniqueId val="{00000009-FA52-47A8-82A7-FC9A3E39D355}"/>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'Australia only'!$A$17</c15:sqref>
                        </c15:formulaRef>
                      </c:ext>
                    </c:extLst>
                    <c:strCache>
                      <c:ptCount val="1"/>
                      <c:pt idx="0">
                        <c:v>no guarantees</c:v>
                      </c:pt>
                    </c:strCache>
                  </c:strRef>
                </c:tx>
                <c:spPr>
                  <a:solidFill>
                    <a:schemeClr val="accent5">
                      <a:lumMod val="80000"/>
                    </a:schemeClr>
                  </a:solidFill>
                  <a:ln>
                    <a:noFill/>
                  </a:ln>
                  <a:effectLst/>
                </c:spPr>
                <c:invertIfNegative val="0"/>
                <c:cat>
                  <c:numRef>
                    <c:extLst xmlns:c15="http://schemas.microsoft.com/office/drawing/2012/chart">
                      <c:ext xmlns:c15="http://schemas.microsoft.com/office/drawing/2012/chart" uri="{02D57815-91ED-43cb-92C2-25804820EDAC}">
                        <c15:formulaRef>
                          <c15:sqref>'Australia only'!$E$3:$AK$3</c15:sqref>
                        </c15:formulaRef>
                      </c:ext>
                    </c:extLst>
                    <c:numCache>
                      <c:formatCode>General</c:formatCode>
                      <c:ptCount val="3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numCache>
                  </c:numRef>
                </c:cat>
                <c:val>
                  <c:numRef>
                    <c:extLst xmlns:c15="http://schemas.microsoft.com/office/drawing/2012/chart">
                      <c:ext xmlns:c15="http://schemas.microsoft.com/office/drawing/2012/chart" uri="{02D57815-91ED-43cb-92C2-25804820EDAC}">
                        <c15:formulaRef>
                          <c15:sqref>'Australia only'!$E$17:$Z$17</c15:sqref>
                        </c15:formulaRef>
                      </c:ext>
                    </c:extLst>
                    <c:numCache>
                      <c:formatCode>_-* #,##0_-;\-* #,##0_-;_-* "-"??_-;_-@_-</c:formatCode>
                      <c:ptCount val="22"/>
                      <c:pt idx="0">
                        <c:v>2346</c:v>
                      </c:pt>
                      <c:pt idx="1">
                        <c:v>2416</c:v>
                      </c:pt>
                      <c:pt idx="2">
                        <c:v>2816</c:v>
                      </c:pt>
                      <c:pt idx="3">
                        <c:v>3184</c:v>
                      </c:pt>
                      <c:pt idx="4">
                        <c:v>3534</c:v>
                      </c:pt>
                      <c:pt idx="5">
                        <c:v>3815</c:v>
                      </c:pt>
                      <c:pt idx="6">
                        <c:v>4197</c:v>
                      </c:pt>
                      <c:pt idx="7">
                        <c:v>4084</c:v>
                      </c:pt>
                      <c:pt idx="8">
                        <c:v>4648</c:v>
                      </c:pt>
                      <c:pt idx="9">
                        <c:v>5160</c:v>
                      </c:pt>
                      <c:pt idx="10">
                        <c:v>5740</c:v>
                      </c:pt>
                      <c:pt idx="11">
                        <c:v>6246</c:v>
                      </c:pt>
                      <c:pt idx="12">
                        <c:v>6877</c:v>
                      </c:pt>
                      <c:pt idx="13">
                        <c:v>7660</c:v>
                      </c:pt>
                      <c:pt idx="14">
                        <c:v>7940</c:v>
                      </c:pt>
                      <c:pt idx="15">
                        <c:v>8959</c:v>
                      </c:pt>
                      <c:pt idx="16">
                        <c:v>8900</c:v>
                      </c:pt>
                      <c:pt idx="17">
                        <c:v>8964</c:v>
                      </c:pt>
                      <c:pt idx="18">
                        <c:v>9553</c:v>
                      </c:pt>
                      <c:pt idx="19">
                        <c:v>9942</c:v>
                      </c:pt>
                      <c:pt idx="20">
                        <c:v>10547</c:v>
                      </c:pt>
                      <c:pt idx="21">
                        <c:v>8332</c:v>
                      </c:pt>
                    </c:numCache>
                  </c:numRef>
                </c:val>
                <c:extLst xmlns:c15="http://schemas.microsoft.com/office/drawing/2012/chart">
                  <c:ext xmlns:c16="http://schemas.microsoft.com/office/drawing/2014/chart" uri="{C3380CC4-5D6E-409C-BE32-E72D297353CC}">
                    <c16:uniqueId val="{0000000A-FA52-47A8-82A7-FC9A3E39D355}"/>
                  </c:ext>
                </c:extLst>
              </c15:ser>
            </c15:filteredBarSeries>
          </c:ext>
        </c:extLst>
      </c:barChart>
      <c:catAx>
        <c:axId val="1208456544"/>
        <c:scaling>
          <c:orientation val="minMax"/>
        </c:scaling>
        <c:delete val="0"/>
        <c:axPos val="b"/>
        <c:numFmt formatCode="General" sourceLinked="1"/>
        <c:majorTickMark val="none"/>
        <c:minorTickMark val="none"/>
        <c:tickLblPos val="nextTo"/>
        <c:spPr>
          <a:noFill/>
          <a:ln w="9525" cap="flat" cmpd="sng" algn="ctr">
            <a:noFill/>
            <a:prstDash val="solid"/>
            <a:round/>
          </a:ln>
          <a:effectLst/>
          <a:extLst>
            <a:ext uri="{909E8E84-426E-40DD-AFC4-6F175D3DCCD1}">
              <a14:hiddenFill xmlns:a14="http://schemas.microsoft.com/office/drawing/2010/main">
                <a:noFill/>
              </a14:hiddenFill>
            </a:ext>
          </a:extLst>
        </c:spPr>
        <c:txPr>
          <a:bodyPr rot="-5400000" spcFirstLastPara="1" vertOverflow="ellipsis" wrap="square" anchor="ctr" anchorCtr="1"/>
          <a:lstStyle/>
          <a:p>
            <a:pPr>
              <a:defRPr sz="700" b="0" i="0" u="none" strike="noStrike" kern="1200" baseline="0">
                <a:solidFill>
                  <a:sysClr val="windowText" lastClr="000000"/>
                </a:solidFill>
                <a:latin typeface="EYInterstate Light" panose="02000506000000020004" pitchFamily="2" charset="0"/>
                <a:ea typeface="Arial"/>
                <a:cs typeface="Arial"/>
              </a:defRPr>
            </a:pPr>
            <a:endParaRPr lang="en-US"/>
          </a:p>
        </c:txPr>
        <c:crossAx val="1208461792"/>
        <c:crosses val="autoZero"/>
        <c:auto val="1"/>
        <c:lblAlgn val="ctr"/>
        <c:lblOffset val="100"/>
        <c:tickMarkSkip val="1"/>
        <c:noMultiLvlLbl val="0"/>
      </c:catAx>
      <c:valAx>
        <c:axId val="1208461792"/>
        <c:scaling>
          <c:orientation val="minMax"/>
          <c:max val="260000"/>
          <c:min val="0"/>
        </c:scaling>
        <c:delete val="0"/>
        <c:axPos val="l"/>
        <c:majorGridlines>
          <c:spPr>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EYInterstate Light" panose="02000506000000020004" pitchFamily="2" charset="0"/>
                    <a:ea typeface="Arial"/>
                    <a:cs typeface="Arial"/>
                  </a:defRPr>
                </a:pPr>
                <a:r>
                  <a:rPr lang="en-AU"/>
                  <a:t>Total publications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EYInterstate Light" panose="02000506000000020004" pitchFamily="2" charset="0"/>
                  <a:ea typeface="Arial"/>
                  <a:cs typeface="Arial"/>
                </a:defRPr>
              </a:pPr>
              <a:endParaRPr lang="en-US"/>
            </a:p>
          </c:txPr>
        </c:title>
        <c:numFmt formatCode="_-* #,##0_-;\-* #,##0_-;_-* &quot;-&quot;??_-;_-@_-" sourceLinked="1"/>
        <c:majorTickMark val="none"/>
        <c:minorTickMark val="none"/>
        <c:tickLblPos val="nextTo"/>
        <c:spPr>
          <a:noFill/>
          <a:ln w="9525">
            <a:no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800" b="0" i="0" u="none" strike="noStrike" kern="1200" baseline="0">
                <a:solidFill>
                  <a:sysClr val="windowText" lastClr="000000"/>
                </a:solidFill>
                <a:latin typeface="EYInterstate Light" panose="02000506000000020004" pitchFamily="2" charset="0"/>
                <a:ea typeface="Arial"/>
                <a:cs typeface="Arial"/>
              </a:defRPr>
            </a:pPr>
            <a:endParaRPr lang="en-US"/>
          </a:p>
        </c:txPr>
        <c:crossAx val="1208456544"/>
        <c:crossesAt val="2"/>
        <c:crossBetween val="between"/>
      </c:valAx>
      <c:spPr>
        <a:noFill/>
        <a:ln w="25400">
          <a:noFill/>
        </a:ln>
        <a:effectLst/>
      </c:spPr>
    </c:plotArea>
    <c:legend>
      <c:legendPos val="b"/>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900" b="0" i="0" u="none" strike="noStrike" kern="1200" baseline="0">
              <a:solidFill>
                <a:sysClr val="windowText" lastClr="000000"/>
              </a:solidFill>
              <a:latin typeface="EYInterstate Light" panose="02000506000000020004" pitchFamily="2" charset="0"/>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c:spPr>
  <c:txPr>
    <a:bodyPr/>
    <a:lstStyle/>
    <a:p>
      <a:pPr>
        <a:defRPr sz="900">
          <a:solidFill>
            <a:sysClr val="windowText" lastClr="000000"/>
          </a:solidFill>
          <a:latin typeface="EYInterstate Light" panose="02000506000000020004" pitchFamily="2" charset="0"/>
          <a:ea typeface="Arial"/>
          <a:cs typeface="Arial"/>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tx2"/>
            </a:solidFill>
            <a:ln>
              <a:noFill/>
            </a:ln>
            <a:effectLst/>
          </c:spPr>
          <c:invertIfNegative val="0"/>
          <c:cat>
            <c:strRef>
              <c:f>'[Report visuals.xlsx]BusR&amp;D'!$A$13:$A$22</c:f>
              <c:strCache>
                <c:ptCount val="10"/>
                <c:pt idx="0">
                  <c:v>Retail Trade</c:v>
                </c:pt>
                <c:pt idx="1">
                  <c:v>Construction</c:v>
                </c:pt>
                <c:pt idx="2">
                  <c:v>Other Services</c:v>
                </c:pt>
                <c:pt idx="3">
                  <c:v>Agriculture, Forestry and Fishing</c:v>
                </c:pt>
                <c:pt idx="4">
                  <c:v>Information Media and Telecommunications</c:v>
                </c:pt>
                <c:pt idx="5">
                  <c:v>Wholesale Trade</c:v>
                </c:pt>
                <c:pt idx="6">
                  <c:v>Mining</c:v>
                </c:pt>
                <c:pt idx="7">
                  <c:v>Financial and Insurance Services</c:v>
                </c:pt>
                <c:pt idx="8">
                  <c:v>Manufacturing</c:v>
                </c:pt>
                <c:pt idx="9">
                  <c:v>Professional, Scientific and Technical Services (incl Health)</c:v>
                </c:pt>
              </c:strCache>
            </c:strRef>
          </c:cat>
          <c:val>
            <c:numRef>
              <c:f>'[Report visuals.xlsx]BusR&amp;D'!$I$13:$I$22</c:f>
              <c:numCache>
                <c:formatCode>_-* #,##0_-;\-* #,##0_-;_-* "-"??_-;_-@_-</c:formatCode>
                <c:ptCount val="10"/>
                <c:pt idx="0">
                  <c:v>240.93</c:v>
                </c:pt>
                <c:pt idx="1">
                  <c:v>243.87100000000001</c:v>
                </c:pt>
                <c:pt idx="2">
                  <c:v>316.63099999999997</c:v>
                </c:pt>
                <c:pt idx="3">
                  <c:v>328.75799999999998</c:v>
                </c:pt>
                <c:pt idx="4">
                  <c:v>513.17499999999995</c:v>
                </c:pt>
                <c:pt idx="5">
                  <c:v>834.654</c:v>
                </c:pt>
                <c:pt idx="6">
                  <c:v>889.87300000000005</c:v>
                </c:pt>
                <c:pt idx="7">
                  <c:v>2714.2240000000002</c:v>
                </c:pt>
                <c:pt idx="8">
                  <c:v>4762.982</c:v>
                </c:pt>
                <c:pt idx="9">
                  <c:v>6101.0739999999996</c:v>
                </c:pt>
              </c:numCache>
            </c:numRef>
          </c:val>
          <c:extLst>
            <c:ext xmlns:c16="http://schemas.microsoft.com/office/drawing/2014/chart" uri="{C3380CC4-5D6E-409C-BE32-E72D297353CC}">
              <c16:uniqueId val="{00000000-F8B3-408D-9C98-F4DEC314610F}"/>
            </c:ext>
          </c:extLst>
        </c:ser>
        <c:dLbls>
          <c:showLegendKey val="0"/>
          <c:showVal val="0"/>
          <c:showCatName val="0"/>
          <c:showSerName val="0"/>
          <c:showPercent val="0"/>
          <c:showBubbleSize val="0"/>
        </c:dLbls>
        <c:gapWidth val="75"/>
        <c:overlap val="-25"/>
        <c:axId val="1047602592"/>
        <c:axId val="1047605544"/>
      </c:barChart>
      <c:catAx>
        <c:axId val="1047602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EYInterstate Light" panose="02000506000000020004" pitchFamily="2" charset="0"/>
                <a:ea typeface="+mn-ea"/>
                <a:cs typeface="+mn-cs"/>
              </a:defRPr>
            </a:pPr>
            <a:endParaRPr lang="en-US"/>
          </a:p>
        </c:txPr>
        <c:crossAx val="1047605544"/>
        <c:crosses val="autoZero"/>
        <c:auto val="1"/>
        <c:lblAlgn val="ctr"/>
        <c:lblOffset val="100"/>
        <c:noMultiLvlLbl val="0"/>
      </c:catAx>
      <c:valAx>
        <c:axId val="1047605544"/>
        <c:scaling>
          <c:orientation val="minMax"/>
        </c:scaling>
        <c:delete val="0"/>
        <c:axPos val="b"/>
        <c:title>
          <c:tx>
            <c:rich>
              <a:bodyPr rot="0" spcFirstLastPara="1" vertOverflow="ellipsis" vert="horz" wrap="square" anchor="ctr" anchorCtr="1"/>
              <a:lstStyle/>
              <a:p>
                <a:pPr>
                  <a:defRPr sz="700" b="0" i="0" u="none" strike="noStrike" kern="1200" baseline="0">
                    <a:ln>
                      <a:noFill/>
                    </a:ln>
                    <a:solidFill>
                      <a:schemeClr val="tx1">
                        <a:lumMod val="65000"/>
                        <a:lumOff val="35000"/>
                      </a:schemeClr>
                    </a:solidFill>
                    <a:latin typeface="EYInterstate Light" panose="02000506000000020004" pitchFamily="2" charset="0"/>
                    <a:ea typeface="+mn-ea"/>
                    <a:cs typeface="+mn-cs"/>
                  </a:defRPr>
                </a:pPr>
                <a:r>
                  <a:rPr lang="en-AU"/>
                  <a:t>$m</a:t>
                </a:r>
              </a:p>
            </c:rich>
          </c:tx>
          <c:overlay val="0"/>
          <c:spPr>
            <a:noFill/>
            <a:ln>
              <a:noFill/>
            </a:ln>
            <a:effectLst/>
          </c:spPr>
          <c:txPr>
            <a:bodyPr rot="0" spcFirstLastPara="1" vertOverflow="ellipsis" vert="horz" wrap="square" anchor="ctr" anchorCtr="1"/>
            <a:lstStyle/>
            <a:p>
              <a:pPr>
                <a:defRPr sz="700" b="0" i="0" u="none" strike="noStrike" kern="1200" baseline="0">
                  <a:ln>
                    <a:noFill/>
                  </a:ln>
                  <a:solidFill>
                    <a:schemeClr val="tx1">
                      <a:lumMod val="65000"/>
                      <a:lumOff val="35000"/>
                    </a:schemeClr>
                  </a:solidFill>
                  <a:latin typeface="EYInterstate Light" panose="02000506000000020004" pitchFamily="2" charset="0"/>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EYInterstate Light" panose="02000506000000020004" pitchFamily="2" charset="0"/>
                <a:ea typeface="+mn-ea"/>
                <a:cs typeface="+mn-cs"/>
              </a:defRPr>
            </a:pPr>
            <a:endParaRPr lang="en-US"/>
          </a:p>
        </c:txPr>
        <c:crossAx val="1047602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n>
            <a:noFill/>
          </a:ln>
          <a:latin typeface="EYInterstate Light" panose="02000506000000020004" pitchFamily="2"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Low scenario</c:v>
          </c:tx>
          <c:spPr>
            <a:ln w="19050" cap="rnd">
              <a:solidFill>
                <a:srgbClr val="FFE600"/>
              </a:solidFill>
              <a:prstDash val="solid"/>
              <a:round/>
            </a:ln>
            <a:effectLst/>
          </c:spPr>
          <c:marker>
            <c:symbol val="none"/>
          </c:marker>
          <c:xVal>
            <c:numRef>
              <c:f>'Charts (emma)'!$D$35:$AE$35</c:f>
              <c:numCache>
                <c:formatCode>General</c:formatCode>
                <c:ptCount val="2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numCache>
            </c:numRef>
          </c:xVal>
          <c:yVal>
            <c:numRef>
              <c:f>'Charts (emma)'!$D$36:$AE$36</c:f>
              <c:numCache>
                <c:formatCode>_-* #,##0_-;\-* #,##0_-;_-* "-"??_-;_-@_-</c:formatCode>
                <c:ptCount val="28"/>
                <c:pt idx="0">
                  <c:v>11.371948757208884</c:v>
                </c:pt>
                <c:pt idx="1">
                  <c:v>25.026524379383773</c:v>
                </c:pt>
                <c:pt idx="2">
                  <c:v>44.789434892591089</c:v>
                </c:pt>
                <c:pt idx="3">
                  <c:v>86.017348385998048</c:v>
                </c:pt>
                <c:pt idx="4">
                  <c:v>122.4347555412678</c:v>
                </c:pt>
                <c:pt idx="5">
                  <c:v>155.27916699263733</c:v>
                </c:pt>
                <c:pt idx="6">
                  <c:v>185.52626416180283</c:v>
                </c:pt>
                <c:pt idx="7">
                  <c:v>213.95550498866942</c:v>
                </c:pt>
                <c:pt idx="8">
                  <c:v>241.21752008923795</c:v>
                </c:pt>
                <c:pt idx="9">
                  <c:v>267.99921002425253</c:v>
                </c:pt>
                <c:pt idx="10">
                  <c:v>294.31891030760016</c:v>
                </c:pt>
                <c:pt idx="11">
                  <c:v>320.49926798709203</c:v>
                </c:pt>
                <c:pt idx="12">
                  <c:v>346.80390614247881</c:v>
                </c:pt>
                <c:pt idx="13">
                  <c:v>373.45396032906137</c:v>
                </c:pt>
                <c:pt idx="14">
                  <c:v>400.64921222033445</c:v>
                </c:pt>
                <c:pt idx="15">
                  <c:v>428.64155601814855</c:v>
                </c:pt>
                <c:pt idx="16">
                  <c:v>457.37052056519315</c:v>
                </c:pt>
                <c:pt idx="17">
                  <c:v>486.94988779339474</c:v>
                </c:pt>
                <c:pt idx="18">
                  <c:v>517.47872840811033</c:v>
                </c:pt>
                <c:pt idx="19">
                  <c:v>549.04481744323857</c:v>
                </c:pt>
                <c:pt idx="20">
                  <c:v>581.72733269329183</c:v>
                </c:pt>
                <c:pt idx="21">
                  <c:v>615.59898527525365</c:v>
                </c:pt>
                <c:pt idx="22">
                  <c:v>650.72770691057667</c:v>
                </c:pt>
                <c:pt idx="23">
                  <c:v>687.17798910639249</c:v>
                </c:pt>
                <c:pt idx="24">
                  <c:v>725.01195140986238</c:v>
                </c:pt>
                <c:pt idx="25">
                  <c:v>764.29019473912194</c:v>
                </c:pt>
                <c:pt idx="26">
                  <c:v>805.07248787384015</c:v>
                </c:pt>
                <c:pt idx="27">
                  <c:v>883.54090765968431</c:v>
                </c:pt>
              </c:numCache>
            </c:numRef>
          </c:yVal>
          <c:smooth val="0"/>
          <c:extLst>
            <c:ext xmlns:c16="http://schemas.microsoft.com/office/drawing/2014/chart" uri="{C3380CC4-5D6E-409C-BE32-E72D297353CC}">
              <c16:uniqueId val="{00000000-4944-423D-8D92-5F708D62428C}"/>
            </c:ext>
          </c:extLst>
        </c:ser>
        <c:ser>
          <c:idx val="1"/>
          <c:order val="1"/>
          <c:tx>
            <c:v>High scenario</c:v>
          </c:tx>
          <c:spPr>
            <a:ln w="19050" cap="rnd">
              <a:solidFill>
                <a:srgbClr val="2E2E38"/>
              </a:solidFill>
              <a:prstDash val="solid"/>
              <a:round/>
            </a:ln>
            <a:effectLst/>
          </c:spPr>
          <c:marker>
            <c:symbol val="none"/>
          </c:marker>
          <c:xVal>
            <c:numRef>
              <c:f>'Charts (emma)'!$D$35:$AE$35</c:f>
              <c:numCache>
                <c:formatCode>General</c:formatCode>
                <c:ptCount val="2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numCache>
            </c:numRef>
          </c:xVal>
          <c:yVal>
            <c:numRef>
              <c:f>'Charts (emma)'!$D$37:$AE$37</c:f>
              <c:numCache>
                <c:formatCode>_-* #,##0_-;\-* #,##0_-;_-* "-"??_-;_-@_-</c:formatCode>
                <c:ptCount val="28"/>
                <c:pt idx="0">
                  <c:v>22.743777463561855</c:v>
                </c:pt>
                <c:pt idx="1">
                  <c:v>50.053124700090848</c:v>
                </c:pt>
                <c:pt idx="2">
                  <c:v>89.579745164490305</c:v>
                </c:pt>
                <c:pt idx="3">
                  <c:v>172.03900229674764</c:v>
                </c:pt>
                <c:pt idx="4">
                  <c:v>244.87884366896469</c:v>
                </c:pt>
                <c:pt idx="5">
                  <c:v>310.57316969695967</c:v>
                </c:pt>
                <c:pt idx="6">
                  <c:v>371.07293052820023</c:v>
                </c:pt>
                <c:pt idx="7">
                  <c:v>427.93697613209952</c:v>
                </c:pt>
                <c:pt idx="8">
                  <c:v>482.46665947174188</c:v>
                </c:pt>
                <c:pt idx="9">
                  <c:v>536.03595182218123</c:v>
                </c:pt>
                <c:pt idx="10">
                  <c:v>588.68163101398386</c:v>
                </c:pt>
                <c:pt idx="11">
                  <c:v>641.04913220671006</c:v>
                </c:pt>
                <c:pt idx="12">
                  <c:v>693.66582393017597</c:v>
                </c:pt>
                <c:pt idx="13">
                  <c:v>746.97408359404653</c:v>
                </c:pt>
                <c:pt idx="14">
                  <c:v>801.37356548616663</c:v>
                </c:pt>
                <c:pt idx="15">
                  <c:v>857.36814758006949</c:v>
                </c:pt>
                <c:pt idx="16">
                  <c:v>914.83692907216027</c:v>
                </c:pt>
                <c:pt idx="17">
                  <c:v>974.00753525609616</c:v>
                </c:pt>
                <c:pt idx="18">
                  <c:v>1035.0781654897146</c:v>
                </c:pt>
                <c:pt idx="19">
                  <c:v>1098.224425902823</c:v>
                </c:pt>
                <c:pt idx="20">
                  <c:v>1163.6047277400503</c:v>
                </c:pt>
                <c:pt idx="21">
                  <c:v>1231.3645506176399</c:v>
                </c:pt>
                <c:pt idx="22">
                  <c:v>1301.639816251467</c:v>
                </c:pt>
                <c:pt idx="23">
                  <c:v>1374.5595699228579</c:v>
                </c:pt>
                <c:pt idx="24">
                  <c:v>1450.2481151748216</c:v>
                </c:pt>
                <c:pt idx="25">
                  <c:v>1528.8267219057307</c:v>
                </c:pt>
                <c:pt idx="26">
                  <c:v>1610.4149996220367</c:v>
                </c:pt>
                <c:pt idx="27">
                  <c:v>1767.4070301669417</c:v>
                </c:pt>
              </c:numCache>
            </c:numRef>
          </c:yVal>
          <c:smooth val="0"/>
          <c:extLst>
            <c:ext xmlns:c16="http://schemas.microsoft.com/office/drawing/2014/chart" uri="{C3380CC4-5D6E-409C-BE32-E72D297353CC}">
              <c16:uniqueId val="{00000001-4944-423D-8D92-5F708D62428C}"/>
            </c:ext>
          </c:extLst>
        </c:ser>
        <c:dLbls>
          <c:showLegendKey val="0"/>
          <c:showVal val="0"/>
          <c:showCatName val="0"/>
          <c:showSerName val="0"/>
          <c:showPercent val="0"/>
          <c:showBubbleSize val="0"/>
        </c:dLbls>
        <c:axId val="1287685088"/>
        <c:axId val="1287685416"/>
      </c:scatterChart>
      <c:valAx>
        <c:axId val="1287685088"/>
        <c:scaling>
          <c:orientation val="minMax"/>
          <c:max val="2050"/>
        </c:scaling>
        <c:delete val="0"/>
        <c:axPos val="b"/>
        <c:numFmt formatCode="General" sourceLinked="1"/>
        <c:majorTickMark val="none"/>
        <c:minorTickMark val="none"/>
        <c:tickLblPos val="nextTo"/>
        <c:spPr>
          <a:noFill/>
          <a:ln w="9525" cap="flat" cmpd="sng" algn="ctr">
            <a:no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endParaRPr lang="en-US"/>
          </a:p>
        </c:txPr>
        <c:crossAx val="1287685416"/>
        <c:crosses val="autoZero"/>
        <c:crossBetween val="midCat"/>
      </c:valAx>
      <c:valAx>
        <c:axId val="1287685416"/>
        <c:scaling>
          <c:orientation val="minMax"/>
        </c:scaling>
        <c:delete val="0"/>
        <c:axPos val="l"/>
        <c:majorGridlines>
          <c:spPr>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r>
                  <a:rPr lang="en-AU"/>
                  <a:t>Investment ($ millions)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endParaRPr lang="en-US"/>
            </a:p>
          </c:txPr>
        </c:title>
        <c:numFmt formatCode="_-* #,##0_-;\-* #,##0_-;_-* &quot;-&quot;??_-;_-@_-" sourceLinked="1"/>
        <c:majorTickMark val="none"/>
        <c:minorTickMark val="none"/>
        <c:tickLblPos val="nextTo"/>
        <c:spPr>
          <a:noFill/>
          <a:ln w="9525" cap="flat" cmpd="sng" algn="ctr">
            <a:no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endParaRPr lang="en-US"/>
          </a:p>
        </c:txPr>
        <c:crossAx val="1287685088"/>
        <c:crosses val="autoZero"/>
        <c:crossBetween val="midCat"/>
      </c:valAx>
      <c:spPr>
        <a:noFill/>
        <a:ln w="25400">
          <a:noFill/>
        </a:ln>
        <a:effectLst/>
      </c:spPr>
    </c:plotArea>
    <c:legend>
      <c:legendPos val="b"/>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c:spPr>
  <c:txPr>
    <a:bodyPr/>
    <a:lstStyle/>
    <a:p>
      <a:pPr>
        <a:defRPr sz="800">
          <a:latin typeface="EYInterstate Light" panose="02000506000000020004" pitchFamily="2" charset="0"/>
          <a:ea typeface="Arial"/>
          <a:cs typeface="Arial"/>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0408436825893"/>
          <c:y val="4.9182535164420442E-2"/>
          <c:w val="0.83795240082024713"/>
          <c:h val="0.77730959401805055"/>
        </c:manualLayout>
      </c:layout>
      <c:scatterChart>
        <c:scatterStyle val="lineMarker"/>
        <c:varyColors val="0"/>
        <c:ser>
          <c:idx val="0"/>
          <c:order val="0"/>
          <c:tx>
            <c:v>Low scenario</c:v>
          </c:tx>
          <c:spPr>
            <a:ln w="19050" cap="rnd">
              <a:solidFill>
                <a:srgbClr val="FFE600"/>
              </a:solidFill>
              <a:prstDash val="solid"/>
              <a:round/>
            </a:ln>
            <a:effectLst/>
          </c:spPr>
          <c:marker>
            <c:symbol val="circle"/>
            <c:size val="5"/>
            <c:spPr>
              <a:noFill/>
              <a:ln w="9525">
                <a:noFill/>
              </a:ln>
              <a:effectLst/>
            </c:spPr>
          </c:marker>
          <c:xVal>
            <c:numRef>
              <c:f>'Charts (emma)'!$D$28:$AE$28</c:f>
              <c:numCache>
                <c:formatCode>General</c:formatCode>
                <c:ptCount val="2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numCache>
            </c:numRef>
          </c:xVal>
          <c:yVal>
            <c:numRef>
              <c:f>'Charts (emma)'!$D$29:$AE$29</c:f>
              <c:numCache>
                <c:formatCode>_(* #,##0.00_);_(* \(#,##0.00\);_(* "-"??_);_(@_)</c:formatCode>
                <c:ptCount val="28"/>
                <c:pt idx="0">
                  <c:v>12.972826737677678</c:v>
                </c:pt>
                <c:pt idx="1">
                  <c:v>31.354297793237492</c:v>
                </c:pt>
                <c:pt idx="2">
                  <c:v>60.026853836141527</c:v>
                </c:pt>
                <c:pt idx="3">
                  <c:v>118.14258187543601</c:v>
                </c:pt>
                <c:pt idx="4">
                  <c:v>180.51342974603176</c:v>
                </c:pt>
                <c:pt idx="5">
                  <c:v>247.07547061517835</c:v>
                </c:pt>
                <c:pt idx="6">
                  <c:v>317.82871335977688</c:v>
                </c:pt>
                <c:pt idx="7">
                  <c:v>392.8508721315302</c:v>
                </c:pt>
                <c:pt idx="8">
                  <c:v>472.36855837050825</c:v>
                </c:pt>
                <c:pt idx="9">
                  <c:v>557.21504503209144</c:v>
                </c:pt>
                <c:pt idx="10">
                  <c:v>646.42196640372276</c:v>
                </c:pt>
                <c:pt idx="11">
                  <c:v>740.08888448309153</c:v>
                </c:pt>
                <c:pt idx="12">
                  <c:v>838.33508007694036</c:v>
                </c:pt>
                <c:pt idx="13">
                  <c:v>941.30167534016073</c:v>
                </c:pt>
                <c:pt idx="14">
                  <c:v>1049.1647280757315</c:v>
                </c:pt>
                <c:pt idx="15">
                  <c:v>1162.2214618539438</c:v>
                </c:pt>
                <c:pt idx="16">
                  <c:v>1280.4346505757421</c:v>
                </c:pt>
                <c:pt idx="17">
                  <c:v>1403.9729459173977</c:v>
                </c:pt>
                <c:pt idx="18">
                  <c:v>1533.0143245048821</c:v>
                </c:pt>
                <c:pt idx="19">
                  <c:v>1667.7456128448248</c:v>
                </c:pt>
                <c:pt idx="20">
                  <c:v>1808.3621542844921</c:v>
                </c:pt>
                <c:pt idx="21">
                  <c:v>1955.0675876475871</c:v>
                </c:pt>
                <c:pt idx="22">
                  <c:v>2108.0737172761001</c:v>
                </c:pt>
                <c:pt idx="23">
                  <c:v>2267.600455834996</c:v>
                </c:pt>
                <c:pt idx="24">
                  <c:v>2433.8758297003806</c:v>
                </c:pt>
                <c:pt idx="25">
                  <c:v>2607.1360322302207</c:v>
                </c:pt>
                <c:pt idx="26">
                  <c:v>2787.6255201129243</c:v>
                </c:pt>
                <c:pt idx="27">
                  <c:v>2887.9424384967424</c:v>
                </c:pt>
              </c:numCache>
            </c:numRef>
          </c:yVal>
          <c:smooth val="0"/>
          <c:extLst>
            <c:ext xmlns:c16="http://schemas.microsoft.com/office/drawing/2014/chart" uri="{C3380CC4-5D6E-409C-BE32-E72D297353CC}">
              <c16:uniqueId val="{00000000-C824-49FB-8771-3C45B3ADC735}"/>
            </c:ext>
          </c:extLst>
        </c:ser>
        <c:ser>
          <c:idx val="1"/>
          <c:order val="1"/>
          <c:tx>
            <c:v>High scenario</c:v>
          </c:tx>
          <c:spPr>
            <a:ln w="19050" cap="rnd">
              <a:solidFill>
                <a:srgbClr val="2E2E38"/>
              </a:solidFill>
              <a:prstDash val="solid"/>
              <a:round/>
            </a:ln>
            <a:effectLst/>
          </c:spPr>
          <c:marker>
            <c:symbol val="circle"/>
            <c:size val="5"/>
            <c:spPr>
              <a:noFill/>
              <a:ln w="9525">
                <a:noFill/>
              </a:ln>
              <a:effectLst/>
            </c:spPr>
          </c:marker>
          <c:xVal>
            <c:numRef>
              <c:f>'Charts (emma)'!$D$28:$AE$28</c:f>
              <c:numCache>
                <c:formatCode>General</c:formatCode>
                <c:ptCount val="2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numCache>
            </c:numRef>
          </c:xVal>
          <c:yVal>
            <c:numRef>
              <c:f>'Charts (emma)'!$D$30:$AE$30</c:f>
              <c:numCache>
                <c:formatCode>_(* #,##0.00_);_(* \(#,##0.00\);_(* "-"??_);_(@_)</c:formatCode>
                <c:ptCount val="28"/>
                <c:pt idx="0">
                  <c:v>25.945514999795705</c:v>
                </c:pt>
                <c:pt idx="1">
                  <c:v>62.708482930669561</c:v>
                </c:pt>
                <c:pt idx="2">
                  <c:v>120.05407380545512</c:v>
                </c:pt>
                <c:pt idx="3">
                  <c:v>236.28809620067477</c:v>
                </c:pt>
                <c:pt idx="4">
                  <c:v>361.03456300403923</c:v>
                </c:pt>
                <c:pt idx="5">
                  <c:v>494.16557826148346</c:v>
                </c:pt>
                <c:pt idx="6">
                  <c:v>635.68125713709742</c:v>
                </c:pt>
                <c:pt idx="7">
                  <c:v>785.73720892006531</c:v>
                </c:pt>
                <c:pt idx="8">
                  <c:v>944.78689843975008</c:v>
                </c:pt>
                <c:pt idx="9">
                  <c:v>1114.4972206694074</c:v>
                </c:pt>
                <c:pt idx="10">
                  <c:v>1292.931608483661</c:v>
                </c:pt>
                <c:pt idx="11">
                  <c:v>1480.2894633449614</c:v>
                </c:pt>
                <c:pt idx="12">
                  <c:v>1676.8096333383583</c:v>
                </c:pt>
                <c:pt idx="13">
                  <c:v>1882.7746614268981</c:v>
                </c:pt>
                <c:pt idx="14">
                  <c:v>2098.536973293405</c:v>
                </c:pt>
                <c:pt idx="15">
                  <c:v>2324.6913537401706</c:v>
                </c:pt>
                <c:pt idx="16">
                  <c:v>2561.1636483366601</c:v>
                </c:pt>
                <c:pt idx="17">
                  <c:v>2808.2914968486875</c:v>
                </c:pt>
                <c:pt idx="18">
                  <c:v>3066.4312009289861</c:v>
                </c:pt>
                <c:pt idx="19">
                  <c:v>3335.9567751907744</c:v>
                </c:pt>
                <c:pt idx="20">
                  <c:v>3617.2592822685838</c:v>
                </c:pt>
                <c:pt idx="21">
                  <c:v>3910.7463912810199</c:v>
                </c:pt>
                <c:pt idx="22">
                  <c:v>4216.8421175251715</c:v>
                </c:pt>
                <c:pt idx="23">
                  <c:v>4535.986711631529</c:v>
                </c:pt>
                <c:pt idx="24">
                  <c:v>4868.6366686685942</c:v>
                </c:pt>
                <c:pt idx="25">
                  <c:v>5215.2648373642005</c:v>
                </c:pt>
                <c:pt idx="26">
                  <c:v>5576.3606132646091</c:v>
                </c:pt>
                <c:pt idx="27">
                  <c:v>5777.079039376229</c:v>
                </c:pt>
              </c:numCache>
            </c:numRef>
          </c:yVal>
          <c:smooth val="0"/>
          <c:extLst>
            <c:ext xmlns:c16="http://schemas.microsoft.com/office/drawing/2014/chart" uri="{C3380CC4-5D6E-409C-BE32-E72D297353CC}">
              <c16:uniqueId val="{00000001-C824-49FB-8771-3C45B3ADC735}"/>
            </c:ext>
          </c:extLst>
        </c:ser>
        <c:dLbls>
          <c:showLegendKey val="0"/>
          <c:showVal val="0"/>
          <c:showCatName val="0"/>
          <c:showSerName val="0"/>
          <c:showPercent val="0"/>
          <c:showBubbleSize val="0"/>
        </c:dLbls>
        <c:axId val="553244720"/>
        <c:axId val="553248328"/>
      </c:scatterChart>
      <c:valAx>
        <c:axId val="553244720"/>
        <c:scaling>
          <c:orientation val="minMax"/>
          <c:max val="2050"/>
        </c:scaling>
        <c:delete val="0"/>
        <c:axPos val="b"/>
        <c:numFmt formatCode="General" sourceLinked="1"/>
        <c:majorTickMark val="none"/>
        <c:minorTickMark val="none"/>
        <c:tickLblPos val="nextTo"/>
        <c:spPr>
          <a:noFill/>
          <a:ln w="9525" cap="flat" cmpd="sng" algn="ctr">
            <a:no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endParaRPr lang="en-US"/>
          </a:p>
        </c:txPr>
        <c:crossAx val="553248328"/>
        <c:crosses val="autoZero"/>
        <c:crossBetween val="midCat"/>
      </c:valAx>
      <c:valAx>
        <c:axId val="553248328"/>
        <c:scaling>
          <c:orientation val="minMax"/>
        </c:scaling>
        <c:delete val="0"/>
        <c:axPos val="l"/>
        <c:majorGridlines>
          <c:spPr>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r>
                  <a:rPr lang="en-AU"/>
                  <a:t>Economic output (GDP $ millions)</a:t>
                </a:r>
              </a:p>
            </c:rich>
          </c:tx>
          <c:layout>
            <c:manualLayout>
              <c:xMode val="edge"/>
              <c:yMode val="edge"/>
              <c:x val="2.4500883274596508E-4"/>
              <c:y val="0.1637169841143049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endParaRPr lang="en-US"/>
            </a:p>
          </c:txPr>
        </c:title>
        <c:numFmt formatCode="_(* #,##0_);_(* \(#,##0\);_(* &quot;-&quot;_);_(@_)"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endParaRPr lang="en-US"/>
          </a:p>
        </c:txPr>
        <c:crossAx val="553244720"/>
        <c:crosses val="autoZero"/>
        <c:crossBetween val="midCat"/>
      </c:valAx>
      <c:spPr>
        <a:noFill/>
        <a:ln w="25400">
          <a:noFill/>
        </a:ln>
        <a:effectLst/>
      </c:spPr>
    </c:plotArea>
    <c:legend>
      <c:legendPos val="b"/>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c:spPr>
  <c:txPr>
    <a:bodyPr/>
    <a:lstStyle/>
    <a:p>
      <a:pPr>
        <a:defRPr sz="800">
          <a:latin typeface="EYInterstate Light" panose="02000506000000020004" pitchFamily="2" charset="0"/>
          <a:ea typeface="Arial"/>
          <a:cs typeface="Arial"/>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1172874448092"/>
          <c:y val="5.3789731051344741E-2"/>
          <c:w val="0.84182044605456807"/>
          <c:h val="0.73729126157518821"/>
        </c:manualLayout>
      </c:layout>
      <c:scatterChart>
        <c:scatterStyle val="lineMarker"/>
        <c:varyColors val="0"/>
        <c:ser>
          <c:idx val="0"/>
          <c:order val="0"/>
          <c:tx>
            <c:v>Low scenario</c:v>
          </c:tx>
          <c:spPr>
            <a:ln w="19050" cap="rnd">
              <a:solidFill>
                <a:srgbClr val="FFE600"/>
              </a:solidFill>
              <a:prstDash val="solid"/>
              <a:round/>
            </a:ln>
            <a:effectLst/>
          </c:spPr>
          <c:marker>
            <c:symbol val="none"/>
          </c:marker>
          <c:xVal>
            <c:numRef>
              <c:f>'Charts (emma)'!$D$41:$AE$41</c:f>
              <c:numCache>
                <c:formatCode>General</c:formatCode>
                <c:ptCount val="2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numCache>
            </c:numRef>
          </c:xVal>
          <c:yVal>
            <c:numRef>
              <c:f>'Charts (emma)'!$D$42:$AE$42</c:f>
              <c:numCache>
                <c:formatCode>_-* #,##0_-;\-* #,##0_-;_-* "-"??_-;_-@_-</c:formatCode>
                <c:ptCount val="28"/>
                <c:pt idx="0">
                  <c:v>22.308487353846431</c:v>
                </c:pt>
                <c:pt idx="1">
                  <c:v>51.0914221778512</c:v>
                </c:pt>
                <c:pt idx="2">
                  <c:v>93.981702180579305</c:v>
                </c:pt>
                <c:pt idx="3">
                  <c:v>181.28272594511509</c:v>
                </c:pt>
                <c:pt idx="4">
                  <c:v>266.13140080310404</c:v>
                </c:pt>
                <c:pt idx="5">
                  <c:v>349.64724712818861</c:v>
                </c:pt>
                <c:pt idx="6">
                  <c:v>432.71887154318392</c:v>
                </c:pt>
                <c:pt idx="7">
                  <c:v>516.07574448548257</c:v>
                </c:pt>
                <c:pt idx="8">
                  <c:v>600.38541349582374</c:v>
                </c:pt>
                <c:pt idx="9">
                  <c:v>686.60864751413465</c:v>
                </c:pt>
                <c:pt idx="10">
                  <c:v>774.28363387100399</c:v>
                </c:pt>
                <c:pt idx="11">
                  <c:v>863.70812854729593</c:v>
                </c:pt>
                <c:pt idx="12">
                  <c:v>955.13434181362391</c:v>
                </c:pt>
                <c:pt idx="13">
                  <c:v>1048.7887649033219</c:v>
                </c:pt>
                <c:pt idx="14">
                  <c:v>1144.9088289830834</c:v>
                </c:pt>
                <c:pt idx="15">
                  <c:v>1243.9155239816755</c:v>
                </c:pt>
                <c:pt idx="16">
                  <c:v>1345.5158020071685</c:v>
                </c:pt>
                <c:pt idx="17">
                  <c:v>1449.8307138457894</c:v>
                </c:pt>
                <c:pt idx="18">
                  <c:v>1556.9701183959842</c:v>
                </c:pt>
                <c:pt idx="19">
                  <c:v>1667.0354517400265</c:v>
                </c:pt>
                <c:pt idx="20">
                  <c:v>1780.1218916997313</c:v>
                </c:pt>
                <c:pt idx="21">
                  <c:v>1896.3200443293899</c:v>
                </c:pt>
                <c:pt idx="22">
                  <c:v>2015.717261062935</c:v>
                </c:pt>
                <c:pt idx="23">
                  <c:v>2138.3986704275012</c:v>
                </c:pt>
                <c:pt idx="24">
                  <c:v>2264.4479903709143</c:v>
                </c:pt>
                <c:pt idx="25">
                  <c:v>2393.9481678642333</c:v>
                </c:pt>
                <c:pt idx="26">
                  <c:v>2526.9818868990988</c:v>
                </c:pt>
                <c:pt idx="27">
                  <c:v>2651.7808404639363</c:v>
                </c:pt>
              </c:numCache>
            </c:numRef>
          </c:yVal>
          <c:smooth val="0"/>
          <c:extLst>
            <c:ext xmlns:c16="http://schemas.microsoft.com/office/drawing/2014/chart" uri="{C3380CC4-5D6E-409C-BE32-E72D297353CC}">
              <c16:uniqueId val="{00000000-7216-4074-A5B1-D21C794F5CE7}"/>
            </c:ext>
          </c:extLst>
        </c:ser>
        <c:ser>
          <c:idx val="1"/>
          <c:order val="1"/>
          <c:tx>
            <c:v>High scenario</c:v>
          </c:tx>
          <c:spPr>
            <a:ln w="19050" cap="rnd">
              <a:solidFill>
                <a:srgbClr val="2E2E38"/>
              </a:solidFill>
              <a:prstDash val="solid"/>
              <a:round/>
            </a:ln>
            <a:effectLst/>
          </c:spPr>
          <c:marker>
            <c:symbol val="none"/>
          </c:marker>
          <c:xVal>
            <c:numRef>
              <c:f>'Charts (emma)'!$D$41:$AE$41</c:f>
              <c:numCache>
                <c:formatCode>General</c:formatCode>
                <c:ptCount val="2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numCache>
            </c:numRef>
          </c:xVal>
          <c:yVal>
            <c:numRef>
              <c:f>'Charts (emma)'!$D$43:$AE$43</c:f>
              <c:numCache>
                <c:formatCode>_-* #,##0_-;\-* #,##0_-;_-* "-"??_-;_-@_-</c:formatCode>
                <c:ptCount val="28"/>
                <c:pt idx="0">
                  <c:v>44.616738418117166</c:v>
                </c:pt>
                <c:pt idx="1">
                  <c:v>102.18270565383136</c:v>
                </c:pt>
                <c:pt idx="2">
                  <c:v>187.96396912075579</c:v>
                </c:pt>
                <c:pt idx="3">
                  <c:v>362.56961496733129</c:v>
                </c:pt>
                <c:pt idx="4">
                  <c:v>532.27169723249972</c:v>
                </c:pt>
                <c:pt idx="5">
                  <c:v>699.30777174420655</c:v>
                </c:pt>
                <c:pt idx="6">
                  <c:v>865.45456319861114</c:v>
                </c:pt>
                <c:pt idx="7">
                  <c:v>1032.171000123024</c:v>
                </c:pt>
                <c:pt idx="8">
                  <c:v>1200.7923742383718</c:v>
                </c:pt>
                <c:pt idx="9">
                  <c:v>1373.240525631234</c:v>
                </c:pt>
                <c:pt idx="10">
                  <c:v>1548.59199366346</c:v>
                </c:pt>
                <c:pt idx="11">
                  <c:v>1727.4425131734461</c:v>
                </c:pt>
                <c:pt idx="12">
                  <c:v>1910.2966914381832</c:v>
                </c:pt>
                <c:pt idx="13">
                  <c:v>2097.6076661981642</c:v>
                </c:pt>
                <c:pt idx="14">
                  <c:v>2289.8504253160208</c:v>
                </c:pt>
                <c:pt idx="15">
                  <c:v>2487.8670641258359</c:v>
                </c:pt>
                <c:pt idx="16">
                  <c:v>2691.0715320520103</c:v>
                </c:pt>
                <c:pt idx="17">
                  <c:v>2899.7059949878603</c:v>
                </c:pt>
                <c:pt idx="18">
                  <c:v>3113.9902244787663</c:v>
                </c:pt>
                <c:pt idx="19">
                  <c:v>3334.1271385103464</c:v>
                </c:pt>
                <c:pt idx="20">
                  <c:v>3560.3071331176907</c:v>
                </c:pt>
                <c:pt idx="21">
                  <c:v>3792.7114577349275</c:v>
                </c:pt>
                <c:pt idx="22">
                  <c:v>4031.5148496124893</c:v>
                </c:pt>
                <c:pt idx="23">
                  <c:v>4276.8876011203974</c:v>
                </c:pt>
                <c:pt idx="24">
                  <c:v>4528.9971817899495</c:v>
                </c:pt>
                <c:pt idx="25">
                  <c:v>4788.0095198918134</c:v>
                </c:pt>
                <c:pt idx="26">
                  <c:v>5054.0900187585503</c:v>
                </c:pt>
                <c:pt idx="27">
                  <c:v>5303.702994313091</c:v>
                </c:pt>
              </c:numCache>
            </c:numRef>
          </c:yVal>
          <c:smooth val="0"/>
          <c:extLst>
            <c:ext xmlns:c16="http://schemas.microsoft.com/office/drawing/2014/chart" uri="{C3380CC4-5D6E-409C-BE32-E72D297353CC}">
              <c16:uniqueId val="{00000001-7216-4074-A5B1-D21C794F5CE7}"/>
            </c:ext>
          </c:extLst>
        </c:ser>
        <c:dLbls>
          <c:showLegendKey val="0"/>
          <c:showVal val="0"/>
          <c:showCatName val="0"/>
          <c:showSerName val="0"/>
          <c:showPercent val="0"/>
          <c:showBubbleSize val="0"/>
        </c:dLbls>
        <c:axId val="1261339624"/>
        <c:axId val="1261340280"/>
      </c:scatterChart>
      <c:valAx>
        <c:axId val="1261339624"/>
        <c:scaling>
          <c:orientation val="minMax"/>
          <c:max val="2050"/>
        </c:scaling>
        <c:delete val="0"/>
        <c:axPos val="b"/>
        <c:numFmt formatCode="General" sourceLinked="1"/>
        <c:majorTickMark val="none"/>
        <c:minorTickMark val="none"/>
        <c:tickLblPos val="nextTo"/>
        <c:spPr>
          <a:noFill/>
          <a:ln w="9525" cap="flat" cmpd="sng" algn="ctr">
            <a:no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endParaRPr lang="en-US"/>
          </a:p>
        </c:txPr>
        <c:crossAx val="1261340280"/>
        <c:crosses val="autoZero"/>
        <c:crossBetween val="midCat"/>
      </c:valAx>
      <c:valAx>
        <c:axId val="1261340280"/>
        <c:scaling>
          <c:orientation val="minMax"/>
        </c:scaling>
        <c:delete val="0"/>
        <c:axPos val="l"/>
        <c:majorGridlines>
          <c:spPr>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r>
                  <a:rPr lang="en-AU"/>
                  <a:t>Employment</a:t>
                </a:r>
                <a:r>
                  <a:rPr lang="en-AU" baseline="0"/>
                  <a:t> (FTE)</a:t>
                </a:r>
                <a:endParaRPr lang="en-AU"/>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endParaRPr lang="en-US"/>
            </a:p>
          </c:txPr>
        </c:title>
        <c:numFmt formatCode="_-* #,##0_-;\-* #,##0_-;_-* &quot;-&quot;??_-;_-@_-" sourceLinked="1"/>
        <c:majorTickMark val="none"/>
        <c:minorTickMark val="none"/>
        <c:tickLblPos val="nextTo"/>
        <c:spPr>
          <a:noFill/>
          <a:ln w="9525" cap="flat" cmpd="sng" algn="ctr">
            <a:no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endParaRPr lang="en-US"/>
          </a:p>
        </c:txPr>
        <c:crossAx val="1261339624"/>
        <c:crosses val="autoZero"/>
        <c:crossBetween val="midCat"/>
      </c:valAx>
      <c:spPr>
        <a:noFill/>
        <a:ln w="25400">
          <a:noFill/>
        </a:ln>
        <a:effectLst/>
      </c:spPr>
    </c:plotArea>
    <c:legend>
      <c:legendPos val="b"/>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EYInterstate Light" panose="02000506000000020004" pitchFamily="2" charset="0"/>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c:spPr>
  <c:txPr>
    <a:bodyPr/>
    <a:lstStyle/>
    <a:p>
      <a:pPr>
        <a:defRPr sz="800">
          <a:latin typeface="EYInterstate Light" panose="02000506000000020004" pitchFamily="2" charset="0"/>
          <a:ea typeface="Arial"/>
          <a:cs typeface="Arial"/>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0.01109</cdr:x>
      <cdr:y>0.01818</cdr:y>
    </cdr:from>
    <cdr:to>
      <cdr:x>0.01109</cdr:x>
      <cdr:y>0.01818</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A8837AD5-552D-4FB0-AC3C-6B4F6B28D6E7}"/>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0.00757</cdr:x>
      <cdr:y>0.01451</cdr:y>
    </cdr:from>
    <cdr:to>
      <cdr:x>0.00757</cdr:x>
      <cdr:y>0.01451</cdr:y>
    </cdr:to>
    <cdr:sp macro="" textlink="">
      <cdr:nvSpPr>
        <cdr:cNvPr id="3" name="UpSlideExportSave" hidden="1">
          <a:extLst xmlns:a="http://schemas.openxmlformats.org/drawingml/2006/main">
            <a:ext uri="{FF2B5EF4-FFF2-40B4-BE49-F238E27FC236}">
              <a16:creationId xmlns:a16="http://schemas.microsoft.com/office/drawing/2014/main" id="{ACF31490-FEE2-48A5-BAA9-9437B71A68A0}"/>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666C12E8-7A0D-4A01-AFE3-4B1FCBE35207}"/>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0.00637</cdr:x>
      <cdr:y>0.0131</cdr:y>
    </cdr:from>
    <cdr:to>
      <cdr:x>0.00637</cdr:x>
      <cdr:y>0.0131</cdr:y>
    </cdr:to>
    <cdr:sp macro="" textlink="">
      <cdr:nvSpPr>
        <cdr:cNvPr id="3" name="UpSlideExportSave" hidden="1">
          <a:extLst xmlns:a="http://schemas.openxmlformats.org/drawingml/2006/main">
            <a:ext uri="{FF2B5EF4-FFF2-40B4-BE49-F238E27FC236}">
              <a16:creationId xmlns:a16="http://schemas.microsoft.com/office/drawing/2014/main" id="{FA639B6B-A796-4B4A-8158-1FD905BE14DA}"/>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0.01113</cdr:x>
      <cdr:y>0.01884</cdr:y>
    </cdr:from>
    <cdr:to>
      <cdr:x>0.01113</cdr:x>
      <cdr:y>0.01884</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A2639F48-B4F1-4AE6-9398-850D3C46B6ED}"/>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B622599F-2663-41BF-875A-FB24E60E6842}"/>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0.00483</cdr:x>
      <cdr:y>0.01457</cdr:y>
    </cdr:from>
    <cdr:to>
      <cdr:x>0.00483</cdr:x>
      <cdr:y>0.01457</cdr:y>
    </cdr:to>
    <cdr:sp macro="" textlink="">
      <cdr:nvSpPr>
        <cdr:cNvPr id="3" name="UpSlideExportSave" hidden="1">
          <a:extLst xmlns:a="http://schemas.openxmlformats.org/drawingml/2006/main">
            <a:ext uri="{FF2B5EF4-FFF2-40B4-BE49-F238E27FC236}">
              <a16:creationId xmlns:a16="http://schemas.microsoft.com/office/drawing/2014/main" id="{1006819E-EE01-49B3-813D-63BAB0FF04D7}"/>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0.01107</cdr:x>
      <cdr:y>0.01818</cdr:y>
    </cdr:from>
    <cdr:to>
      <cdr:x>0.01107</cdr:x>
      <cdr:y>0.01818</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C4BDDB0D-8B30-4936-B3F6-D6D8A9A28803}"/>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0.0132</cdr:x>
      <cdr:y>0.01816</cdr:y>
    </cdr:from>
    <cdr:to>
      <cdr:x>0.0132</cdr:x>
      <cdr:y>0.01816</cdr:y>
    </cdr:to>
    <cdr:sp macro="" textlink="">
      <cdr:nvSpPr>
        <cdr:cNvPr id="3" name="UpSlideExportSave" hidden="1">
          <a:extLst xmlns:a="http://schemas.openxmlformats.org/drawingml/2006/main">
            <a:ext uri="{FF2B5EF4-FFF2-40B4-BE49-F238E27FC236}">
              <a16:creationId xmlns:a16="http://schemas.microsoft.com/office/drawing/2014/main" id="{F92C6294-0665-4FA9-A4CC-1008E1BC4D33}"/>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0.01109</cdr:x>
      <cdr:y>0.01818</cdr:y>
    </cdr:from>
    <cdr:to>
      <cdr:x>0.01109</cdr:x>
      <cdr:y>0.01818</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A8837AD5-552D-4FB0-AC3C-6B4F6B28D6E7}"/>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0.00757</cdr:x>
      <cdr:y>0.01451</cdr:y>
    </cdr:from>
    <cdr:to>
      <cdr:x>0.00757</cdr:x>
      <cdr:y>0.01451</cdr:y>
    </cdr:to>
    <cdr:sp macro="" textlink="">
      <cdr:nvSpPr>
        <cdr:cNvPr id="3" name="UpSlideExportSave" hidden="1">
          <a:extLst xmlns:a="http://schemas.openxmlformats.org/drawingml/2006/main">
            <a:ext uri="{FF2B5EF4-FFF2-40B4-BE49-F238E27FC236}">
              <a16:creationId xmlns:a16="http://schemas.microsoft.com/office/drawing/2014/main" id="{ACF31490-FEE2-48A5-BAA9-9437B71A68A0}"/>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0.01107</cdr:x>
      <cdr:y>0.01816</cdr:y>
    </cdr:from>
    <cdr:to>
      <cdr:x>0.01107</cdr:x>
      <cdr:y>0.01816</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8C913D77-8E00-4E59-8177-7FC4B85C65CE}"/>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0.00953</cdr:x>
      <cdr:y>0.01984</cdr:y>
    </cdr:from>
    <cdr:to>
      <cdr:x>0.00953</cdr:x>
      <cdr:y>0.01984</cdr:y>
    </cdr:to>
    <cdr:sp macro="" textlink="">
      <cdr:nvSpPr>
        <cdr:cNvPr id="3" name="UpSlideExportSave" hidden="1">
          <a:extLst xmlns:a="http://schemas.openxmlformats.org/drawingml/2006/main">
            <a:ext uri="{FF2B5EF4-FFF2-40B4-BE49-F238E27FC236}">
              <a16:creationId xmlns:a16="http://schemas.microsoft.com/office/drawing/2014/main" id="{DA743AF0-0D14-4734-B6D3-FAD8E351620C}"/>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EY Color">
      <a:dk1>
        <a:srgbClr val="2E2E38"/>
      </a:dk1>
      <a:lt1>
        <a:sysClr val="window" lastClr="FFFFFF"/>
      </a:lt1>
      <a:dk2>
        <a:srgbClr val="FFE600"/>
      </a:dk2>
      <a:lt2>
        <a:srgbClr val="000000"/>
      </a:lt2>
      <a:accent1>
        <a:srgbClr val="2DB757"/>
      </a:accent1>
      <a:accent2>
        <a:srgbClr val="27ACAA"/>
      </a:accent2>
      <a:accent3>
        <a:srgbClr val="188CE5"/>
      </a:accent3>
      <a:accent4>
        <a:srgbClr val="3D108A"/>
      </a:accent4>
      <a:accent5>
        <a:srgbClr val="FF4136"/>
      </a:accent5>
      <a:accent6>
        <a:srgbClr val="FF6D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EY colors">
        <a:dk1>
          <a:srgbClr val="000000"/>
        </a:dk1>
        <a:lt1>
          <a:srgbClr val="646464"/>
        </a:lt1>
        <a:dk2>
          <a:srgbClr val="FFFFFF"/>
        </a:dk2>
        <a:lt2>
          <a:srgbClr val="646464"/>
        </a:lt2>
        <a:accent1>
          <a:srgbClr val="808080"/>
        </a:accent1>
        <a:accent2>
          <a:srgbClr val="FFE600"/>
        </a:accent2>
        <a:accent3>
          <a:srgbClr val="999999"/>
        </a:accent3>
        <a:accent4>
          <a:srgbClr val="F0F0F0"/>
        </a:accent4>
        <a:accent5>
          <a:srgbClr val="00A3AE"/>
        </a:accent5>
        <a:accent6>
          <a:srgbClr val="C0C0C0"/>
        </a:accent6>
        <a:hlink>
          <a:srgbClr val="336699"/>
        </a:hlink>
        <a:folHlink>
          <a:srgbClr val="91278F"/>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0c908b1-f277-4340-90a9-4611d0b0f078" xsi:nil="true"/>
    <lcf76f155ced4ddcb4097134ff3c332f xmlns="c47d59ae-2dda-4c7b-8346-d303f4b2ab6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C4CAA7736BCE48B5DF157C817F9E47" ma:contentTypeVersion="16" ma:contentTypeDescription="Create a new document." ma:contentTypeScope="" ma:versionID="3e08ba4de521eccfedc20cfb8346e043">
  <xsd:schema xmlns:xsd="http://www.w3.org/2001/XMLSchema" xmlns:xs="http://www.w3.org/2001/XMLSchema" xmlns:p="http://schemas.microsoft.com/office/2006/metadata/properties" xmlns:ns2="c47d59ae-2dda-4c7b-8346-d303f4b2ab63" xmlns:ns3="ea8ed8fc-1eab-45de-8390-dd496a2aa038" xmlns:ns4="50c908b1-f277-4340-90a9-4611d0b0f078" targetNamespace="http://schemas.microsoft.com/office/2006/metadata/properties" ma:root="true" ma:fieldsID="e46123b6dde40ea3e033f6dbe484fd58" ns2:_="" ns3:_="" ns4:_="">
    <xsd:import namespace="c47d59ae-2dda-4c7b-8346-d303f4b2ab63"/>
    <xsd:import namespace="ea8ed8fc-1eab-45de-8390-dd496a2aa038"/>
    <xsd:import namespace="50c908b1-f277-4340-90a9-4611d0b0f0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d59ae-2dda-4c7b-8346-d303f4b2ab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8ed8fc-1eab-45de-8390-dd496a2aa03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c908b1-f277-4340-90a9-4611d0b0f07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4c53951-3f66-4f26-8fd2-0ec3d3ca09ea}" ma:internalName="TaxCatchAll" ma:showField="CatchAllData" ma:web="ea8ed8fc-1eab-45de-8390-dd496a2aa0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68E297-837C-4BEA-92B6-6D6560EED26D}">
  <ds:schemaRefs>
    <ds:schemaRef ds:uri="http://schemas.openxmlformats.org/officeDocument/2006/bibliography"/>
  </ds:schemaRefs>
</ds:datastoreItem>
</file>

<file path=customXml/itemProps2.xml><?xml version="1.0" encoding="utf-8"?>
<ds:datastoreItem xmlns:ds="http://schemas.openxmlformats.org/officeDocument/2006/customXml" ds:itemID="{65E03BF5-24C7-431F-9513-B36B2E29BDBC}">
  <ds:schemaRefs>
    <ds:schemaRef ds:uri="http://schemas.microsoft.com/office/2006/metadata/properties"/>
    <ds:schemaRef ds:uri="http://schemas.microsoft.com/office/infopath/2007/PartnerControls"/>
    <ds:schemaRef ds:uri="86c96d13-3f4b-48aa-a619-a126d8504f5d"/>
    <ds:schemaRef ds:uri="http://schemas.microsoft.com/sharepoint/v3"/>
    <ds:schemaRef ds:uri="5794fa97-a54a-4f8a-81fb-ebdc27eb9654"/>
  </ds:schemaRefs>
</ds:datastoreItem>
</file>

<file path=customXml/itemProps3.xml><?xml version="1.0" encoding="utf-8"?>
<ds:datastoreItem xmlns:ds="http://schemas.openxmlformats.org/officeDocument/2006/customXml" ds:itemID="{E1BDAD79-0656-458C-8741-72566E965E27}"/>
</file>

<file path=customXml/itemProps4.xml><?xml version="1.0" encoding="utf-8"?>
<ds:datastoreItem xmlns:ds="http://schemas.openxmlformats.org/officeDocument/2006/customXml" ds:itemID="{3514305B-F054-4032-9D98-DA6F40D5D06F}">
  <ds:schemaRefs>
    <ds:schemaRef ds:uri="http://schemas.microsoft.com/sharepoint/v3/contenttype/forms"/>
  </ds:schemaRefs>
</ds:datastoreItem>
</file>

<file path=docMetadata/LabelInfo.xml><?xml version="1.0" encoding="utf-8"?>
<clbl:labelList xmlns:clbl="http://schemas.microsoft.com/office/2020/mipLabelMetadata">
  <clbl:label id="{ce1483ae-17d1-40b0-9515-e03b22939689}" enabled="1" method="Standard" siteId="{8f73f427-32e5-4a3b-8d42-b369b956a96b}" removed="0"/>
</clbl:labelList>
</file>

<file path=docProps/app.xml><?xml version="1.0" encoding="utf-8"?>
<Properties xmlns="http://schemas.openxmlformats.org/officeDocument/2006/extended-properties" xmlns:vt="http://schemas.openxmlformats.org/officeDocument/2006/docPropsVTypes">
  <Template>AUS_EY_Report_Portrait_Cover_Included.dotx</Template>
  <TotalTime>13</TotalTime>
  <Pages>75</Pages>
  <Words>24278</Words>
  <Characters>138387</Characters>
  <Application>Microsoft Office Word</Application>
  <DocSecurity>0</DocSecurity>
  <Lines>1153</Lines>
  <Paragraphs>324</Paragraphs>
  <ScaleCrop>false</ScaleCrop>
  <Company/>
  <LinksUpToDate>false</LinksUpToDate>
  <CharactersWithSpaces>162341</CharactersWithSpaces>
  <SharedDoc>false</SharedDoc>
  <HLinks>
    <vt:vector size="210" baseType="variant">
      <vt:variant>
        <vt:i4>1441844</vt:i4>
      </vt:variant>
      <vt:variant>
        <vt:i4>200</vt:i4>
      </vt:variant>
      <vt:variant>
        <vt:i4>0</vt:i4>
      </vt:variant>
      <vt:variant>
        <vt:i4>5</vt:i4>
      </vt:variant>
      <vt:variant>
        <vt:lpwstr/>
      </vt:variant>
      <vt:variant>
        <vt:lpwstr>_Toc115717102</vt:lpwstr>
      </vt:variant>
      <vt:variant>
        <vt:i4>1441844</vt:i4>
      </vt:variant>
      <vt:variant>
        <vt:i4>194</vt:i4>
      </vt:variant>
      <vt:variant>
        <vt:i4>0</vt:i4>
      </vt:variant>
      <vt:variant>
        <vt:i4>5</vt:i4>
      </vt:variant>
      <vt:variant>
        <vt:lpwstr/>
      </vt:variant>
      <vt:variant>
        <vt:lpwstr>_Toc115717101</vt:lpwstr>
      </vt:variant>
      <vt:variant>
        <vt:i4>1441844</vt:i4>
      </vt:variant>
      <vt:variant>
        <vt:i4>188</vt:i4>
      </vt:variant>
      <vt:variant>
        <vt:i4>0</vt:i4>
      </vt:variant>
      <vt:variant>
        <vt:i4>5</vt:i4>
      </vt:variant>
      <vt:variant>
        <vt:lpwstr/>
      </vt:variant>
      <vt:variant>
        <vt:lpwstr>_Toc115717100</vt:lpwstr>
      </vt:variant>
      <vt:variant>
        <vt:i4>2031669</vt:i4>
      </vt:variant>
      <vt:variant>
        <vt:i4>182</vt:i4>
      </vt:variant>
      <vt:variant>
        <vt:i4>0</vt:i4>
      </vt:variant>
      <vt:variant>
        <vt:i4>5</vt:i4>
      </vt:variant>
      <vt:variant>
        <vt:lpwstr/>
      </vt:variant>
      <vt:variant>
        <vt:lpwstr>_Toc115717099</vt:lpwstr>
      </vt:variant>
      <vt:variant>
        <vt:i4>2031669</vt:i4>
      </vt:variant>
      <vt:variant>
        <vt:i4>176</vt:i4>
      </vt:variant>
      <vt:variant>
        <vt:i4>0</vt:i4>
      </vt:variant>
      <vt:variant>
        <vt:i4>5</vt:i4>
      </vt:variant>
      <vt:variant>
        <vt:lpwstr/>
      </vt:variant>
      <vt:variant>
        <vt:lpwstr>_Toc115717098</vt:lpwstr>
      </vt:variant>
      <vt:variant>
        <vt:i4>2031669</vt:i4>
      </vt:variant>
      <vt:variant>
        <vt:i4>170</vt:i4>
      </vt:variant>
      <vt:variant>
        <vt:i4>0</vt:i4>
      </vt:variant>
      <vt:variant>
        <vt:i4>5</vt:i4>
      </vt:variant>
      <vt:variant>
        <vt:lpwstr/>
      </vt:variant>
      <vt:variant>
        <vt:lpwstr>_Toc115717097</vt:lpwstr>
      </vt:variant>
      <vt:variant>
        <vt:i4>2031669</vt:i4>
      </vt:variant>
      <vt:variant>
        <vt:i4>164</vt:i4>
      </vt:variant>
      <vt:variant>
        <vt:i4>0</vt:i4>
      </vt:variant>
      <vt:variant>
        <vt:i4>5</vt:i4>
      </vt:variant>
      <vt:variant>
        <vt:lpwstr/>
      </vt:variant>
      <vt:variant>
        <vt:lpwstr>_Toc115717096</vt:lpwstr>
      </vt:variant>
      <vt:variant>
        <vt:i4>2031669</vt:i4>
      </vt:variant>
      <vt:variant>
        <vt:i4>158</vt:i4>
      </vt:variant>
      <vt:variant>
        <vt:i4>0</vt:i4>
      </vt:variant>
      <vt:variant>
        <vt:i4>5</vt:i4>
      </vt:variant>
      <vt:variant>
        <vt:lpwstr/>
      </vt:variant>
      <vt:variant>
        <vt:lpwstr>_Toc115717095</vt:lpwstr>
      </vt:variant>
      <vt:variant>
        <vt:i4>2031669</vt:i4>
      </vt:variant>
      <vt:variant>
        <vt:i4>152</vt:i4>
      </vt:variant>
      <vt:variant>
        <vt:i4>0</vt:i4>
      </vt:variant>
      <vt:variant>
        <vt:i4>5</vt:i4>
      </vt:variant>
      <vt:variant>
        <vt:lpwstr/>
      </vt:variant>
      <vt:variant>
        <vt:lpwstr>_Toc115717094</vt:lpwstr>
      </vt:variant>
      <vt:variant>
        <vt:i4>2031669</vt:i4>
      </vt:variant>
      <vt:variant>
        <vt:i4>146</vt:i4>
      </vt:variant>
      <vt:variant>
        <vt:i4>0</vt:i4>
      </vt:variant>
      <vt:variant>
        <vt:i4>5</vt:i4>
      </vt:variant>
      <vt:variant>
        <vt:lpwstr/>
      </vt:variant>
      <vt:variant>
        <vt:lpwstr>_Toc115717093</vt:lpwstr>
      </vt:variant>
      <vt:variant>
        <vt:i4>2031669</vt:i4>
      </vt:variant>
      <vt:variant>
        <vt:i4>140</vt:i4>
      </vt:variant>
      <vt:variant>
        <vt:i4>0</vt:i4>
      </vt:variant>
      <vt:variant>
        <vt:i4>5</vt:i4>
      </vt:variant>
      <vt:variant>
        <vt:lpwstr/>
      </vt:variant>
      <vt:variant>
        <vt:lpwstr>_Toc115717092</vt:lpwstr>
      </vt:variant>
      <vt:variant>
        <vt:i4>2031669</vt:i4>
      </vt:variant>
      <vt:variant>
        <vt:i4>134</vt:i4>
      </vt:variant>
      <vt:variant>
        <vt:i4>0</vt:i4>
      </vt:variant>
      <vt:variant>
        <vt:i4>5</vt:i4>
      </vt:variant>
      <vt:variant>
        <vt:lpwstr/>
      </vt:variant>
      <vt:variant>
        <vt:lpwstr>_Toc115717091</vt:lpwstr>
      </vt:variant>
      <vt:variant>
        <vt:i4>2031669</vt:i4>
      </vt:variant>
      <vt:variant>
        <vt:i4>128</vt:i4>
      </vt:variant>
      <vt:variant>
        <vt:i4>0</vt:i4>
      </vt:variant>
      <vt:variant>
        <vt:i4>5</vt:i4>
      </vt:variant>
      <vt:variant>
        <vt:lpwstr/>
      </vt:variant>
      <vt:variant>
        <vt:lpwstr>_Toc115717090</vt:lpwstr>
      </vt:variant>
      <vt:variant>
        <vt:i4>1966133</vt:i4>
      </vt:variant>
      <vt:variant>
        <vt:i4>122</vt:i4>
      </vt:variant>
      <vt:variant>
        <vt:i4>0</vt:i4>
      </vt:variant>
      <vt:variant>
        <vt:i4>5</vt:i4>
      </vt:variant>
      <vt:variant>
        <vt:lpwstr/>
      </vt:variant>
      <vt:variant>
        <vt:lpwstr>_Toc115717089</vt:lpwstr>
      </vt:variant>
      <vt:variant>
        <vt:i4>1966133</vt:i4>
      </vt:variant>
      <vt:variant>
        <vt:i4>116</vt:i4>
      </vt:variant>
      <vt:variant>
        <vt:i4>0</vt:i4>
      </vt:variant>
      <vt:variant>
        <vt:i4>5</vt:i4>
      </vt:variant>
      <vt:variant>
        <vt:lpwstr/>
      </vt:variant>
      <vt:variant>
        <vt:lpwstr>_Toc115717088</vt:lpwstr>
      </vt:variant>
      <vt:variant>
        <vt:i4>1966133</vt:i4>
      </vt:variant>
      <vt:variant>
        <vt:i4>110</vt:i4>
      </vt:variant>
      <vt:variant>
        <vt:i4>0</vt:i4>
      </vt:variant>
      <vt:variant>
        <vt:i4>5</vt:i4>
      </vt:variant>
      <vt:variant>
        <vt:lpwstr/>
      </vt:variant>
      <vt:variant>
        <vt:lpwstr>_Toc115717087</vt:lpwstr>
      </vt:variant>
      <vt:variant>
        <vt:i4>1966133</vt:i4>
      </vt:variant>
      <vt:variant>
        <vt:i4>104</vt:i4>
      </vt:variant>
      <vt:variant>
        <vt:i4>0</vt:i4>
      </vt:variant>
      <vt:variant>
        <vt:i4>5</vt:i4>
      </vt:variant>
      <vt:variant>
        <vt:lpwstr/>
      </vt:variant>
      <vt:variant>
        <vt:lpwstr>_Toc115717086</vt:lpwstr>
      </vt:variant>
      <vt:variant>
        <vt:i4>1966133</vt:i4>
      </vt:variant>
      <vt:variant>
        <vt:i4>98</vt:i4>
      </vt:variant>
      <vt:variant>
        <vt:i4>0</vt:i4>
      </vt:variant>
      <vt:variant>
        <vt:i4>5</vt:i4>
      </vt:variant>
      <vt:variant>
        <vt:lpwstr/>
      </vt:variant>
      <vt:variant>
        <vt:lpwstr>_Toc115717085</vt:lpwstr>
      </vt:variant>
      <vt:variant>
        <vt:i4>1966133</vt:i4>
      </vt:variant>
      <vt:variant>
        <vt:i4>92</vt:i4>
      </vt:variant>
      <vt:variant>
        <vt:i4>0</vt:i4>
      </vt:variant>
      <vt:variant>
        <vt:i4>5</vt:i4>
      </vt:variant>
      <vt:variant>
        <vt:lpwstr/>
      </vt:variant>
      <vt:variant>
        <vt:lpwstr>_Toc115717084</vt:lpwstr>
      </vt:variant>
      <vt:variant>
        <vt:i4>1966133</vt:i4>
      </vt:variant>
      <vt:variant>
        <vt:i4>86</vt:i4>
      </vt:variant>
      <vt:variant>
        <vt:i4>0</vt:i4>
      </vt:variant>
      <vt:variant>
        <vt:i4>5</vt:i4>
      </vt:variant>
      <vt:variant>
        <vt:lpwstr/>
      </vt:variant>
      <vt:variant>
        <vt:lpwstr>_Toc115717083</vt:lpwstr>
      </vt:variant>
      <vt:variant>
        <vt:i4>1966133</vt:i4>
      </vt:variant>
      <vt:variant>
        <vt:i4>80</vt:i4>
      </vt:variant>
      <vt:variant>
        <vt:i4>0</vt:i4>
      </vt:variant>
      <vt:variant>
        <vt:i4>5</vt:i4>
      </vt:variant>
      <vt:variant>
        <vt:lpwstr/>
      </vt:variant>
      <vt:variant>
        <vt:lpwstr>_Toc115717082</vt:lpwstr>
      </vt:variant>
      <vt:variant>
        <vt:i4>1966133</vt:i4>
      </vt:variant>
      <vt:variant>
        <vt:i4>74</vt:i4>
      </vt:variant>
      <vt:variant>
        <vt:i4>0</vt:i4>
      </vt:variant>
      <vt:variant>
        <vt:i4>5</vt:i4>
      </vt:variant>
      <vt:variant>
        <vt:lpwstr/>
      </vt:variant>
      <vt:variant>
        <vt:lpwstr>_Toc115717081</vt:lpwstr>
      </vt:variant>
      <vt:variant>
        <vt:i4>1966133</vt:i4>
      </vt:variant>
      <vt:variant>
        <vt:i4>68</vt:i4>
      </vt:variant>
      <vt:variant>
        <vt:i4>0</vt:i4>
      </vt:variant>
      <vt:variant>
        <vt:i4>5</vt:i4>
      </vt:variant>
      <vt:variant>
        <vt:lpwstr/>
      </vt:variant>
      <vt:variant>
        <vt:lpwstr>_Toc115717080</vt:lpwstr>
      </vt:variant>
      <vt:variant>
        <vt:i4>1114165</vt:i4>
      </vt:variant>
      <vt:variant>
        <vt:i4>62</vt:i4>
      </vt:variant>
      <vt:variant>
        <vt:i4>0</vt:i4>
      </vt:variant>
      <vt:variant>
        <vt:i4>5</vt:i4>
      </vt:variant>
      <vt:variant>
        <vt:lpwstr/>
      </vt:variant>
      <vt:variant>
        <vt:lpwstr>_Toc115717079</vt:lpwstr>
      </vt:variant>
      <vt:variant>
        <vt:i4>1114165</vt:i4>
      </vt:variant>
      <vt:variant>
        <vt:i4>56</vt:i4>
      </vt:variant>
      <vt:variant>
        <vt:i4>0</vt:i4>
      </vt:variant>
      <vt:variant>
        <vt:i4>5</vt:i4>
      </vt:variant>
      <vt:variant>
        <vt:lpwstr/>
      </vt:variant>
      <vt:variant>
        <vt:lpwstr>_Toc115717078</vt:lpwstr>
      </vt:variant>
      <vt:variant>
        <vt:i4>1114165</vt:i4>
      </vt:variant>
      <vt:variant>
        <vt:i4>50</vt:i4>
      </vt:variant>
      <vt:variant>
        <vt:i4>0</vt:i4>
      </vt:variant>
      <vt:variant>
        <vt:i4>5</vt:i4>
      </vt:variant>
      <vt:variant>
        <vt:lpwstr/>
      </vt:variant>
      <vt:variant>
        <vt:lpwstr>_Toc115717077</vt:lpwstr>
      </vt:variant>
      <vt:variant>
        <vt:i4>1114165</vt:i4>
      </vt:variant>
      <vt:variant>
        <vt:i4>44</vt:i4>
      </vt:variant>
      <vt:variant>
        <vt:i4>0</vt:i4>
      </vt:variant>
      <vt:variant>
        <vt:i4>5</vt:i4>
      </vt:variant>
      <vt:variant>
        <vt:lpwstr/>
      </vt:variant>
      <vt:variant>
        <vt:lpwstr>_Toc115717076</vt:lpwstr>
      </vt:variant>
      <vt:variant>
        <vt:i4>1114165</vt:i4>
      </vt:variant>
      <vt:variant>
        <vt:i4>38</vt:i4>
      </vt:variant>
      <vt:variant>
        <vt:i4>0</vt:i4>
      </vt:variant>
      <vt:variant>
        <vt:i4>5</vt:i4>
      </vt:variant>
      <vt:variant>
        <vt:lpwstr/>
      </vt:variant>
      <vt:variant>
        <vt:lpwstr>_Toc115717075</vt:lpwstr>
      </vt:variant>
      <vt:variant>
        <vt:i4>1114165</vt:i4>
      </vt:variant>
      <vt:variant>
        <vt:i4>32</vt:i4>
      </vt:variant>
      <vt:variant>
        <vt:i4>0</vt:i4>
      </vt:variant>
      <vt:variant>
        <vt:i4>5</vt:i4>
      </vt:variant>
      <vt:variant>
        <vt:lpwstr/>
      </vt:variant>
      <vt:variant>
        <vt:lpwstr>_Toc115717074</vt:lpwstr>
      </vt:variant>
      <vt:variant>
        <vt:i4>1114165</vt:i4>
      </vt:variant>
      <vt:variant>
        <vt:i4>26</vt:i4>
      </vt:variant>
      <vt:variant>
        <vt:i4>0</vt:i4>
      </vt:variant>
      <vt:variant>
        <vt:i4>5</vt:i4>
      </vt:variant>
      <vt:variant>
        <vt:lpwstr/>
      </vt:variant>
      <vt:variant>
        <vt:lpwstr>_Toc115717073</vt:lpwstr>
      </vt:variant>
      <vt:variant>
        <vt:i4>1114165</vt:i4>
      </vt:variant>
      <vt:variant>
        <vt:i4>20</vt:i4>
      </vt:variant>
      <vt:variant>
        <vt:i4>0</vt:i4>
      </vt:variant>
      <vt:variant>
        <vt:i4>5</vt:i4>
      </vt:variant>
      <vt:variant>
        <vt:lpwstr/>
      </vt:variant>
      <vt:variant>
        <vt:lpwstr>_Toc115717072</vt:lpwstr>
      </vt:variant>
      <vt:variant>
        <vt:i4>1114165</vt:i4>
      </vt:variant>
      <vt:variant>
        <vt:i4>14</vt:i4>
      </vt:variant>
      <vt:variant>
        <vt:i4>0</vt:i4>
      </vt:variant>
      <vt:variant>
        <vt:i4>5</vt:i4>
      </vt:variant>
      <vt:variant>
        <vt:lpwstr/>
      </vt:variant>
      <vt:variant>
        <vt:lpwstr>_Toc115717071</vt:lpwstr>
      </vt:variant>
      <vt:variant>
        <vt:i4>1114165</vt:i4>
      </vt:variant>
      <vt:variant>
        <vt:i4>8</vt:i4>
      </vt:variant>
      <vt:variant>
        <vt:i4>0</vt:i4>
      </vt:variant>
      <vt:variant>
        <vt:i4>5</vt:i4>
      </vt:variant>
      <vt:variant>
        <vt:lpwstr/>
      </vt:variant>
      <vt:variant>
        <vt:lpwstr>_Toc115717070</vt:lpwstr>
      </vt:variant>
      <vt:variant>
        <vt:i4>1048629</vt:i4>
      </vt:variant>
      <vt:variant>
        <vt:i4>2</vt:i4>
      </vt:variant>
      <vt:variant>
        <vt:i4>0</vt:i4>
      </vt:variant>
      <vt:variant>
        <vt:i4>5</vt:i4>
      </vt:variant>
      <vt:variant>
        <vt:lpwstr/>
      </vt:variant>
      <vt:variant>
        <vt:lpwstr>_Toc115717069</vt:lpwstr>
      </vt:variant>
      <vt:variant>
        <vt:i4>1835023</vt:i4>
      </vt:variant>
      <vt:variant>
        <vt:i4>0</vt:i4>
      </vt:variant>
      <vt:variant>
        <vt:i4>0</vt:i4>
      </vt:variant>
      <vt:variant>
        <vt:i4>5</vt:i4>
      </vt:variant>
      <vt:variant>
        <vt:lpwstr>https://scienceandtechnologyaustralia.org.au/australians-overwhelmingly-trust-in-science/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Emma Gillingham</cp:lastModifiedBy>
  <cp:revision>15</cp:revision>
  <dcterms:created xsi:type="dcterms:W3CDTF">2024-09-29T20:53:00Z</dcterms:created>
  <dcterms:modified xsi:type="dcterms:W3CDTF">2024-10-01T23:49:00Z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0x010100C5C4CAA7736BCE48B5DF157C817F9E47</vt:lpwstr>
  </property>
  <property fmtid="{D5CDD505-2E9C-101B-9397-08002B2CF9AE}" pid="4" name="Stratus_WorkActivity">
    <vt:lpwstr/>
  </property>
  <property fmtid="{D5CDD505-2E9C-101B-9397-08002B2CF9AE}" pid="5" name="Stratus_OCSProjects">
    <vt:lpwstr>9;#Open Access|3c47eee3-40a4-41fc-a25c-21cc9e22d114</vt:lpwstr>
  </property>
  <property fmtid="{D5CDD505-2E9C-101B-9397-08002B2CF9AE}" pid="6" name="Stratus_Year">
    <vt:lpwstr/>
  </property>
  <property fmtid="{D5CDD505-2E9C-101B-9397-08002B2CF9AE}" pid="7" name="Stratus_DocumentType">
    <vt:lpwstr>11;#Report|48effc76-1fc0-4a04-a22f-09c13f277e05</vt:lpwstr>
  </property>
  <property fmtid="{D5CDD505-2E9C-101B-9397-08002B2CF9AE}" pid="8" name="Stratus_SecurityClassification">
    <vt:lpwstr>2;#OFFICIAL|1077e141-03cb-4307-8c0f-d43dc85f509f</vt:lpwstr>
  </property>
</Properties>
</file>